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Retaliatory Criminal Prosecution Threats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an Emergency Protective Order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Post-Filing Asset Dissipation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Evidence of active business operations and financial transactions during the divorce proceedings, violating automatic restraining orders.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pattern highlights Freddy's attempts to conceal assets and income, violating family law disclosure requirements and automatic restraining orders.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an Emergency Asset Freeze (FC § 2045, CCP § 564) to prevent further dissipation of assets, a Contempt Motion (CCP § 1209, FC § 2107) for perjury in financial declarations, and subpoenas to uncover additional financial records and business operations.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Property Fraud Scheme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Identified: Systematic manipulation of property ownership and financial records to minimize Nuha's share of community property.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Evidence: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pattern demonstrates a fraudulent scheme to conceal community property and reduce Nuha's rightful share of marital assets.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Impact: This evidence supports motions for a Fraud Finding (FC § 2102, CCP § 128.5) to challenge the legitimacy of the lien and shift the presumption of the property to community ownership. It also supports Evidence Destruction Sanctions (CCP § 2023.010) due to the suspicious claim of the promissory note being destroyed in a fire.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Patterns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Professional Misconduct: Freddy's involvement in unauthorized legal practice during a USPTO discipline investigation (Case No. 24-O-30088) undermines his credibility and provides grounds for Professional Sanctions (CCP § 128.5, Bus. &amp; Prof. Code § 6068).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Victim-Blaming Strategy: Freddy's attempt to discredit Nuha's domestic violence claims by using a cosmetic expert to allege her injuries were due to cosmetic procedures rather than abuse. This supports motions for Sanctions and Expert Witness Exclusion (Evid. Code § 352).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identified patterns of evidence create a strong case for Nuha Sayegh, providing grounds for multiple legal motions: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Protective Order: To prevent further retaliatory criminal filings and protect Nuha and her children.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Freeze and Receivership: To halt ongoing asset dissipation and ensure proper disclosure of financial and business records.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and Evidence Destruction Sanctions: To address the property fraud scheme and suspicious destruction of critical evidence.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and Discovery Sanctions: To penalize Freddy for misconduct and systematic concealment of assets.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detailed examples of the three nuclear-level smoking guns in the evidence.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legal argument outline based on identified evidence patterns for court presentation.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