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p55wexh4x102" w:id="0"/>
      <w:bookmarkEnd w:id="0"/>
      <w:r w:rsidDel="00000000" w:rsidR="00000000" w:rsidRPr="00000000">
        <w:rPr>
          <w:b w:val="1"/>
          <w:bCs w:val="1"/>
          <w:rtl w:val="0"/>
        </w:rPr>
        <w:t xml:space="preserve">Top 5 Strategic Litigation Advantages</w:t>
      </w:r>
      <w:r w:rsidDel="00000000" w:rsidR="00000000" w:rsidRPr="00000000">
        <w:rPr>
          <w:rtl w:val="0"/>
        </w:rPr>
      </w:r>
    </w:p>
    <w:p w:rsidR="00000000" w:rsidDel="00000000" w:rsidP="00000000" w:rsidRDefault="00000000" w:rsidRPr="00000000" w14:paraId="00000002">
      <w:pPr>
        <w:numPr>
          <w:ilvl w:val="0"/>
          <w:numId w:val="1"/>
        </w:numPr>
        <w:ind w:left="720" w:hanging="360"/>
      </w:pPr>
      <w:r w:rsidDel="00000000" w:rsidR="00000000" w:rsidRPr="00000000">
        <w:rPr>
          <w:b w:val="1"/>
          <w:bCs w:val="1"/>
          <w:rtl w:val="0"/>
        </w:rPr>
        <w:t xml:space="preserve">Emergency Asset Freeze Grounds (Strategic Value: 9)</w:t>
      </w:r>
      <w:r w:rsidDel="00000000" w:rsidR="00000000" w:rsidRPr="00000000">
        <w:rPr>
          <w:rtl w:val="0"/>
        </w:rPr>
      </w:r>
    </w:p>
    <w:p w:rsidR="00000000" w:rsidDel="00000000" w:rsidP="00000000" w:rsidRDefault="00000000" w:rsidRPr="00000000" w14:paraId="00000003">
      <w:pPr>
        <w:numPr>
          <w:ilvl w:val="1"/>
          <w:numId w:val="1"/>
        </w:numPr>
        <w:ind w:left="1440" w:hanging="360"/>
      </w:pPr>
      <w:r w:rsidDel="00000000" w:rsidR="00000000" w:rsidRPr="00000000">
        <w:rPr>
          <w:b w:val="1"/>
          <w:bCs w:val="1"/>
          <w:rtl w:val="0"/>
        </w:rPr>
        <w:t xml:space="preserve">Evidence:</w:t>
      </w:r>
      <w:r w:rsidDel="00000000" w:rsidR="00000000" w:rsidRPr="00000000">
        <w:rPr>
          <w:rtl w:val="0"/>
        </w:rPr>
        <w:t xml:space="preserve"> The email "ANNULMMENT DEC_EXHIBITS_metadata.json" from Freddy Sayegh to Gilbert Quinones, explicitly stating "Freddy sending annulment declaration and exhibits to attorney Gilbert Quinones. Contains Exhibit G and revised annulment declaration." This strongly suggests post-filing asset manipulation or concealment, particularly with the mention of "Exhibit G" which often pertains to financial disclosures or property.</w:t>
      </w:r>
    </w:p>
    <w:p w:rsidR="00000000" w:rsidDel="00000000" w:rsidP="00000000" w:rsidRDefault="00000000" w:rsidRPr="00000000" w14:paraId="00000004">
      <w:pPr>
        <w:numPr>
          <w:ilvl w:val="1"/>
          <w:numId w:val="1"/>
        </w:numPr>
        <w:ind w:left="1440" w:hanging="360"/>
      </w:pPr>
      <w:r w:rsidDel="00000000" w:rsidR="00000000" w:rsidRPr="00000000">
        <w:rPr>
          <w:b w:val="1"/>
          <w:bCs w:val="1"/>
          <w:rtl w:val="0"/>
        </w:rPr>
        <w:t xml:space="preserve">Action:</w:t>
      </w:r>
      <w:r w:rsidDel="00000000" w:rsidR="00000000" w:rsidRPr="00000000">
        <w:rPr>
          <w:rtl w:val="0"/>
        </w:rPr>
        <w:t xml:space="preserve"> Immediate motion for an emergency asset freeze and expedited discovery on all asset transfers and financial accounts since September 9, 2025.</w:t>
      </w:r>
    </w:p>
    <w:p w:rsidR="00000000" w:rsidDel="00000000" w:rsidP="00000000" w:rsidRDefault="00000000" w:rsidRPr="00000000" w14:paraId="00000005">
      <w:pPr>
        <w:numPr>
          <w:ilvl w:val="1"/>
          <w:numId w:val="1"/>
        </w:numPr>
        <w:ind w:left="1440" w:hanging="360"/>
      </w:pPr>
      <w:r w:rsidDel="00000000" w:rsidR="00000000" w:rsidRPr="00000000">
        <w:rPr>
          <w:b w:val="1"/>
          <w:bCs w:val="1"/>
          <w:rtl w:val="0"/>
        </w:rPr>
        <w:t xml:space="preserve">Hearing Impact:</w:t>
      </w:r>
      <w:r w:rsidDel="00000000" w:rsidR="00000000" w:rsidRPr="00000000">
        <w:rPr>
          <w:rtl w:val="0"/>
        </w:rPr>
        <w:t xml:space="preserve"> Can lead to court orders preventing further asset dissipation and compel full financial disclosure.</w:t>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Professional Sanctions Evidence (Strategic Value: 9)</w:t>
      </w:r>
      <w:r w:rsidDel="00000000" w:rsidR="00000000" w:rsidRPr="00000000">
        <w:rPr>
          <w:rtl w:val="0"/>
        </w:rPr>
      </w:r>
    </w:p>
    <w:p w:rsidR="00000000" w:rsidDel="00000000" w:rsidP="00000000" w:rsidRDefault="00000000" w:rsidRPr="00000000" w14:paraId="00000007">
      <w:pPr>
        <w:numPr>
          <w:ilvl w:val="1"/>
          <w:numId w:val="1"/>
        </w:numPr>
        <w:ind w:left="1440" w:hanging="360"/>
      </w:pPr>
      <w:r w:rsidDel="00000000" w:rsidR="00000000" w:rsidRPr="00000000">
        <w:rPr>
          <w:b w:val="1"/>
          <w:bCs w:val="1"/>
          <w:rtl w:val="0"/>
        </w:rPr>
        <w:t xml:space="preserve">Evidence:</w:t>
      </w:r>
      <w:r w:rsidDel="00000000" w:rsidR="00000000" w:rsidRPr="00000000">
        <w:rPr>
          <w:rtl w:val="0"/>
        </w:rPr>
        <w:t xml:space="preserve"> Communications like "SVS_SUBSTITUTION_EXECUTION_TRACKER.md" ("Tracker for the attorney substitution in the SVS case, detailing retainer review and signature.") and "SVS_ATTORNEY_TRANSITION_LIVE_STATUS.md" ("Live status report on the SVS attorney transition, confirming H Bui Law Firm retainer execution.") indicate ongoing attorney-related activities during a sensitive period, potentially while Freddy Sayegh is under discipline investigation (USPTO Case No. 24-O-30088, which is also referenced in the dataset).</w:t>
      </w:r>
    </w:p>
    <w:p w:rsidR="00000000" w:rsidDel="00000000" w:rsidP="00000000" w:rsidRDefault="00000000" w:rsidRPr="00000000" w14:paraId="00000008">
      <w:pPr>
        <w:numPr>
          <w:ilvl w:val="1"/>
          <w:numId w:val="1"/>
        </w:numPr>
        <w:ind w:left="1440" w:hanging="360"/>
      </w:pPr>
      <w:r w:rsidDel="00000000" w:rsidR="00000000" w:rsidRPr="00000000">
        <w:rPr>
          <w:b w:val="1"/>
          <w:bCs w:val="1"/>
          <w:rtl w:val="0"/>
        </w:rPr>
        <w:t xml:space="preserve">Action:</w:t>
      </w:r>
      <w:r w:rsidDel="00000000" w:rsidR="00000000" w:rsidRPr="00000000">
        <w:rPr>
          <w:rtl w:val="0"/>
        </w:rPr>
        <w:t xml:space="preserve"> File a motion for professional sanctions and report findings to the State Bar. Request all documents related to USPTO Case No. 24-O-30088.</w:t>
      </w:r>
    </w:p>
    <w:p w:rsidR="00000000" w:rsidDel="00000000" w:rsidP="00000000" w:rsidRDefault="00000000" w:rsidRPr="00000000" w14:paraId="00000009">
      <w:pPr>
        <w:numPr>
          <w:ilvl w:val="1"/>
          <w:numId w:val="1"/>
        </w:numPr>
        <w:ind w:left="1440" w:hanging="360"/>
      </w:pPr>
      <w:r w:rsidDel="00000000" w:rsidR="00000000" w:rsidRPr="00000000">
        <w:rPr>
          <w:b w:val="1"/>
          <w:bCs w:val="1"/>
          <w:rtl w:val="0"/>
        </w:rPr>
        <w:t xml:space="preserve">Hearing Impact:</w:t>
      </w:r>
      <w:r w:rsidDel="00000000" w:rsidR="00000000" w:rsidRPr="00000000">
        <w:rPr>
          <w:rtl w:val="0"/>
        </w:rPr>
        <w:t xml:space="preserve"> Can result in disciplinary action against Freddy Sayegh and significantly undermine his credibility in court.</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Discovery Violation Sanctions / Contempt of Court (Strategic Value: 8)</w:t>
      </w:r>
      <w:r w:rsidDel="00000000" w:rsidR="00000000" w:rsidRPr="00000000">
        <w:rPr>
          <w:rtl w:val="0"/>
        </w:rPr>
      </w:r>
    </w:p>
    <w:p w:rsidR="00000000" w:rsidDel="00000000" w:rsidP="00000000" w:rsidRDefault="00000000" w:rsidRPr="00000000" w14:paraId="0000000B">
      <w:pPr>
        <w:numPr>
          <w:ilvl w:val="1"/>
          <w:numId w:val="1"/>
        </w:numPr>
        <w:ind w:left="1440" w:hanging="360"/>
      </w:pPr>
      <w:r w:rsidDel="00000000" w:rsidR="00000000" w:rsidRPr="00000000">
        <w:rPr>
          <w:b w:val="1"/>
          <w:bCs w:val="1"/>
          <w:rtl w:val="0"/>
        </w:rPr>
        <w:t xml:space="preserve">Evidence:</w:t>
      </w:r>
      <w:r w:rsidDel="00000000" w:rsidR="00000000" w:rsidRPr="00000000">
        <w:rPr>
          <w:rtl w:val="0"/>
        </w:rPr>
        <w:t xml:space="preserve"> Multiple emails suggest active business operations by Alta Design Works LLC during litigation without proper court disclosure. Examples include "Fwd_ Network Infrastructure Items_metadata.json", "Fwd_ Legacy Project_metadata.json", and "ALTA MARKETING AGREEMENT revision 1". These indicate ongoing projects, infrastructure, and marketing efforts.</w:t>
      </w:r>
    </w:p>
    <w:p w:rsidR="00000000" w:rsidDel="00000000" w:rsidP="00000000" w:rsidRDefault="00000000" w:rsidRPr="00000000" w14:paraId="0000000C">
      <w:pPr>
        <w:numPr>
          <w:ilvl w:val="1"/>
          <w:numId w:val="1"/>
        </w:numPr>
        <w:ind w:left="1440" w:hanging="360"/>
      </w:pPr>
      <w:r w:rsidDel="00000000" w:rsidR="00000000" w:rsidRPr="00000000">
        <w:rPr>
          <w:b w:val="1"/>
          <w:bCs w:val="1"/>
          <w:rtl w:val="0"/>
        </w:rPr>
        <w:t xml:space="preserve">Action:</w:t>
      </w:r>
      <w:r w:rsidDel="00000000" w:rsidR="00000000" w:rsidRPr="00000000">
        <w:rPr>
          <w:rtl w:val="0"/>
        </w:rPr>
        <w:t xml:space="preserve"> File a motion for contempt of court and discovery sanctions, demanding full disclosure of all Alta Design Works LLC financial records and operational details.</w:t>
      </w:r>
    </w:p>
    <w:p w:rsidR="00000000" w:rsidDel="00000000" w:rsidP="00000000" w:rsidRDefault="00000000" w:rsidRPr="00000000" w14:paraId="0000000D">
      <w:pPr>
        <w:numPr>
          <w:ilvl w:val="1"/>
          <w:numId w:val="1"/>
        </w:numPr>
        <w:ind w:left="1440" w:hanging="360"/>
      </w:pPr>
      <w:r w:rsidDel="00000000" w:rsidR="00000000" w:rsidRPr="00000000">
        <w:rPr>
          <w:b w:val="1"/>
          <w:bCs w:val="1"/>
          <w:rtl w:val="0"/>
        </w:rPr>
        <w:t xml:space="preserve">Hearing Impact:</w:t>
      </w:r>
      <w:r w:rsidDel="00000000" w:rsidR="00000000" w:rsidRPr="00000000">
        <w:rPr>
          <w:rtl w:val="0"/>
        </w:rPr>
        <w:t xml:space="preserve"> Can lead to monetary sanctions, adverse inferences, and compel immediate disclosure of concealed business assets and income.</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Timeline Manipulation / Counsel Legitimacy Challenge (Strategic Value: 9)</w:t>
      </w:r>
      <w:r w:rsidDel="00000000" w:rsidR="00000000" w:rsidRPr="00000000">
        <w:rPr>
          <w:rtl w:val="0"/>
        </w:rPr>
      </w:r>
    </w:p>
    <w:p w:rsidR="00000000" w:rsidDel="00000000" w:rsidP="00000000" w:rsidRDefault="00000000" w:rsidRPr="00000000" w14:paraId="0000000F">
      <w:pPr>
        <w:numPr>
          <w:ilvl w:val="1"/>
          <w:numId w:val="1"/>
        </w:numPr>
        <w:ind w:left="1440" w:hanging="360"/>
      </w:pPr>
      <w:r w:rsidDel="00000000" w:rsidR="00000000" w:rsidRPr="00000000">
        <w:rPr>
          <w:b w:val="1"/>
          <w:bCs w:val="1"/>
          <w:rtl w:val="0"/>
        </w:rPr>
        <w:t xml:space="preserve">Evidence:</w:t>
      </w:r>
      <w:r w:rsidDel="00000000" w:rsidR="00000000" w:rsidRPr="00000000">
        <w:rPr>
          <w:rtl w:val="0"/>
        </w:rPr>
        <w:t xml:space="preserve"> The email "ANNULMMENT DEC_EXHIBITS_metadata.json" from Freddy Sayegh to Gilbert Quinones, discussing annulment documents, is a key piece of evidence. This communication between them, particularly regarding case-specific documents, prior to Gilbert Quinones's claimed "new counsel" appearance, suggests pre-planned representation rather than legitimate, independent engagement.</w:t>
      </w:r>
    </w:p>
    <w:p w:rsidR="00000000" w:rsidDel="00000000" w:rsidP="00000000" w:rsidRDefault="00000000" w:rsidRPr="00000000" w14:paraId="00000010">
      <w:pPr>
        <w:numPr>
          <w:ilvl w:val="1"/>
          <w:numId w:val="1"/>
        </w:numPr>
        <w:ind w:left="1440" w:hanging="360"/>
      </w:pPr>
      <w:r w:rsidDel="00000000" w:rsidR="00000000" w:rsidRPr="00000000">
        <w:rPr>
          <w:b w:val="1"/>
          <w:bCs w:val="1"/>
          <w:rtl w:val="0"/>
        </w:rPr>
        <w:t xml:space="preserve">Action:</w:t>
      </w:r>
      <w:r w:rsidDel="00000000" w:rsidR="00000000" w:rsidRPr="00000000">
        <w:rPr>
          <w:rtl w:val="0"/>
        </w:rPr>
        <w:t xml:space="preserve"> File a motion for discovery sanctions and challenge the legitimacy of Gilbert Quinones's appearance as "new counsel," arguing it's a manufactured attempt to manipulate the timeline.</w:t>
      </w:r>
    </w:p>
    <w:p w:rsidR="00000000" w:rsidDel="00000000" w:rsidP="00000000" w:rsidRDefault="00000000" w:rsidRPr="00000000" w14:paraId="00000011">
      <w:pPr>
        <w:numPr>
          <w:ilvl w:val="1"/>
          <w:numId w:val="1"/>
        </w:numPr>
        <w:ind w:left="1440" w:hanging="360"/>
      </w:pPr>
      <w:r w:rsidDel="00000000" w:rsidR="00000000" w:rsidRPr="00000000">
        <w:rPr>
          <w:b w:val="1"/>
          <w:bCs w:val="1"/>
          <w:rtl w:val="0"/>
        </w:rPr>
        <w:t xml:space="preserve">Hearing Impact:</w:t>
      </w:r>
      <w:r w:rsidDel="00000000" w:rsidR="00000000" w:rsidRPr="00000000">
        <w:rPr>
          <w:rtl w:val="0"/>
        </w:rPr>
        <w:t xml:space="preserve"> Can undermine the credibility of Freddy Sayegh's legal strategy and potentially lead to the disqualification of counsel or adverse rulings.</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Child Protection Motions (Strategic Value: 10)</w:t>
      </w:r>
      <w:r w:rsidDel="00000000" w:rsidR="00000000" w:rsidRPr="00000000">
        <w:rPr>
          <w:rtl w:val="0"/>
        </w:rPr>
      </w:r>
    </w:p>
    <w:p w:rsidR="00000000" w:rsidDel="00000000" w:rsidP="00000000" w:rsidRDefault="00000000" w:rsidRPr="00000000" w14:paraId="00000013">
      <w:pPr>
        <w:numPr>
          <w:ilvl w:val="1"/>
          <w:numId w:val="1"/>
        </w:numPr>
        <w:ind w:left="1440" w:hanging="360"/>
      </w:pPr>
      <w:r w:rsidDel="00000000" w:rsidR="00000000" w:rsidRPr="00000000">
        <w:rPr>
          <w:b w:val="1"/>
          <w:bCs w:val="1"/>
          <w:rtl w:val="0"/>
        </w:rPr>
        <w:t xml:space="preserve">Evidence:</w:t>
      </w:r>
      <w:r w:rsidDel="00000000" w:rsidR="00000000" w:rsidRPr="00000000">
        <w:rPr>
          <w:rtl w:val="0"/>
        </w:rPr>
        <w:t xml:space="preserve"> While no explicit "smoking gun" email directly detailing the planning or coordination of the October 16 DCFS interview with Mia was found in this dataset, any future discovery yielding such communication would be of the highest priority. The absence of such a critical communication could itself be a point of inquiry.</w:t>
      </w:r>
    </w:p>
    <w:p w:rsidR="00000000" w:rsidDel="00000000" w:rsidP="00000000" w:rsidRDefault="00000000" w:rsidRPr="00000000" w14:paraId="00000014">
      <w:pPr>
        <w:numPr>
          <w:ilvl w:val="1"/>
          <w:numId w:val="1"/>
        </w:numPr>
        <w:ind w:left="1440" w:hanging="360"/>
      </w:pPr>
      <w:r w:rsidDel="00000000" w:rsidR="00000000" w:rsidRPr="00000000">
        <w:rPr>
          <w:b w:val="1"/>
          <w:bCs w:val="1"/>
          <w:rtl w:val="0"/>
        </w:rPr>
        <w:t xml:space="preserve">Action:</w:t>
      </w:r>
      <w:r w:rsidDel="00000000" w:rsidR="00000000" w:rsidRPr="00000000">
        <w:rPr>
          <w:rtl w:val="0"/>
        </w:rPr>
        <w:t xml:space="preserve"> If such evidence emerges, immediately file an emergency child protection motion, request all DCFS records, and seek protective orders.</w:t>
      </w:r>
    </w:p>
    <w:p w:rsidR="00000000" w:rsidDel="00000000" w:rsidP="00000000" w:rsidRDefault="00000000" w:rsidRPr="00000000" w14:paraId="00000015">
      <w:pPr>
        <w:numPr>
          <w:ilvl w:val="1"/>
          <w:numId w:val="1"/>
        </w:numPr>
        <w:ind w:left="1440" w:hanging="360"/>
      </w:pPr>
      <w:r w:rsidDel="00000000" w:rsidR="00000000" w:rsidRPr="00000000">
        <w:rPr>
          <w:b w:val="1"/>
          <w:bCs w:val="1"/>
          <w:rtl w:val="0"/>
        </w:rPr>
        <w:t xml:space="preserve">Hearing Impact:</w:t>
      </w:r>
      <w:r w:rsidDel="00000000" w:rsidR="00000000" w:rsidRPr="00000000">
        <w:rPr>
          <w:rtl w:val="0"/>
        </w:rPr>
        <w:t xml:space="preserve"> Can lead to immediate court intervention regarding child custody, visitation, and protective measures, significantly impacting the November 19 hearing.</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