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 QUESTIONS ANALYSIS - SARA MEMARI ALIGNMENT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Alignment Score: 4.5/10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CRITICAL FINDING: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 is competent but conventional. She dismissed Eric's evidence package as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'criminal realm, not family law.' This is THE critical gap - she doesn't see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Freddy's criminal sophistication affects support, custody, and discovery.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IMMEDIATE ACTIONS: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Nuha completes I&amp;E by Friday Nov 15 [P0 CRITICAL]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Eric writes memo: 'Why Criminal Evidence Matters' [P1 HIGH]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Nuha asks Sara about supervised visitation strategy [P1 HIGH]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Prepare for Freddy non-compliance / hearing continuance [P2 MEDIUM]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 STRENGTHS: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organized: Clear action items, timeline, document management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tactical: Smart move filing Nuha's I&amp;E early to avoid continuance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support_focused: Good on spousal/child support calculations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pragmatic: Understands settlement vs trial tradeoffs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 WEAKNESSES: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✗ traditional: Standard family law playbook - doesn't adapt to narcissist/criminal opponent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✗ evidence_blindness: Can't see relevance of criminal pattern to family law case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✗ child_safety_gap: Not prioritizing child protection despite evidence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✗ underestimates_opponent: Thinks Freddy will play by rules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BOTTOM LINE: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 will get Nuha money. She WON'T protect the kids or leverage the criminal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 unless Eric/Nuha explicitly push for it. Nuha must advocate for Mia.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