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help you analyze this information in greater detail. The "context-bridge-memorandum" folder contains 10 files, primarily PDFs and documents, offering a comprehensive look into the "Sayegh v. Sayegh" case (25PDFL01441).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an in-depth summary, analysis, and out-of-the-box opportunities based on the reviewed files: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folder provides a robust collection of legal and intelligence documents related to a complex domestic violence case, "Sayegh v. Sayegh." The materials detail a multi-generational criminal enterprise, severe child endangerment, and strategic legal maneuvers. The overarching goal is to prepare for a November 19 hearing, prioritizing child protection and leveraging overwhelming evidentiary advantages.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Topics and Analysis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Multi-Generational Criminal Enterprise: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The "Intelligence Report: Sayegh Family Network Analysis" (September 5, 2025) and "Critical Threat Assessment - Multi-Vector Criminal Enterprise Operation" (September 20, 2025) paint a picture of a deeply entrenched criminal network. Key figures include Fahed "Freddy" Sayegh (disbarred attorney, alleged abuser), Nabiel Sayegh (convicted felon, brother of Freddy), and Margie Sayegh (mother of Nuha, alleged drug supplier and orchestrator). The network employs coercive control, psychological manipulation, and weaponization of institutions, with a strong emphasis on maintaining public image despite private realities of violence, addiction, and fraud.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Opportunities: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Federal Interagency Collaboration: Given the cross-state victim patterns (Joyce in Georgia, Nuha in California) and potential RICO elements (drug distribution, financial fraud, witness intimidation), exploring deeper collaboration with federal agencies beyond victim assistance (e.g., FBI, DEA) could expand the scope of prosecution and victim protection.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Forensic Accounting: The "Adobe Acrobat Evidence Verification Summary" (November 5-6, 2025) mentions significant financial fraud, including a $704,493 property lien fraud and a $10 million cannabis investment. A dedicated forensic accounting investigation could uncover additional hidden assets, illicit financial flows, and expand the financial fraud claims, potentially leading to greater asset recovery for victims.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 Protection Priority: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The "Evidence Package for November 12 Meeting" (November 6, 2025) and "Critical Threat Assessment" highlight immediate child endangerment factors, including physical violence against Mia (13) and Jordan (6). The "EXHIBIT G — AUDIO RECORDING &amp; CERTIFIED TRANSCRIPT" provides chilling testimony of physical abuse witnessed by Mia. The "November 4, 2025 Case Developments Summary" emphasizes emergency protective orders and preventing unnoticed DCFS interviews.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Opportunities: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Child Advocacy Network: Beyond the immediate legal actions, establishing a long-term child advocacy network with specialized therapists, child psychologists, and educational support could provide holistic and sustained care for Mia and Jordan, addressing the deep-seated trauma they have experienced.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Digital Footprint Monitoring for Minors: Given the systematic nature of the abuse and the opponent's exploitation of system vulnerabilities, implementing a proactive digital footprint monitoring service for the children could identify and mitigate potential online harassment, tracking, or manipulation attempts.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Legal Positioning and Workflows: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The "5BIRD_WORKFLOWS_COMPLETE" document (November 5-6, 2025) outlines ten detailed workflows, demonstrating a highly organized and strategic approach to litigation. These include strategic gap analysis, opponent reassessment, physical security deployment, force multiplier activation, RICO pattern recognition, AI elimination protocol, minimalist email strategy, Bates stamping, 72-hour emergency deployment, and attorney psychological profiling. The "November 4, 2025 Case Developments Summary" asserts a "superior strategic position" with "three nuclear smoking guns weaponized."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Opportunities: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Predictive Analytics for Case Outcomes: Leveraging the detailed data and strategic assessments, developing a predictive analytics model could forecast potential case outcomes, settlement ranges, and the effectiveness of different legal strategies with greater precision, offering a data-driven edge.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Public Awareness Campaign (Controlled): While maintaining attorney-client privilege, a carefully controlled public awareness campaign (e.g., through legal aid organizations or victim advocacy groups) could shed light on the systemic issues exposed in this case, potentially garnering broader support, influencing public opinion, and even pressuring the opposing party for a more favorable settlement. The "INTELLIGENCE REPORT: SAYEGH FAMILY NETWORK ANALYSIS" mentions a "LA TIMES EXCLUSIVE ARTICLE PENDING," indicating a potential avenue for this.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Authentication and Legal Admissibility: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Analysis: The "Adobe Acrobat Evidence Verification Summary" meticulously details the authentication of all evidence, including Bates stamping, verification of critical dollar amounts, legal admissibility under California Penal Code and Evidence Code, and chain of custody. This rigorous approach ensures the "zero legal risk" and "overwhelming 10+ nuclear smoking gun evidence advantage."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Opportunities: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Blockchain for Evidence Integrity: For future cases, exploring the use of blockchain technology to timestamp and immutably record evidence collection and chain of custody could provide an even higher level of verifiable integrity, particularly for digital evidence.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Expert Witness Network Expansion: Given the complexity of the case, expanding the network of expert witnesses beyond legal and intelligence (e.g., psychologists specializing in coercive control, financial experts in multi-state fraud, digital forensics specialists) could further strengthen the evidentiary foundation and provide diverse perspectives in court.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Exploration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can the "AI Elimination Protocol" be further enhanced to proactively identify and neutralize AI-generated deepfakes or manipulated digital evidence that an opposing party might attempt to introduce?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the long-term support mechanisms being considered for the victims, particularly the children, beyond the immediate legal proceedings?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there any opportunities to collaborate with academic institutions or research organizations to study the "multi-generational criminal enterprise" patterns identified in this case to develop better intervention strategies for similar situations?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detailed summary and analysis, along with the suggested out-of-the-box opportunities, are helpful for your understanding of the folder's contents and potential next steps.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context-bridge-memorandum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