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HYBRID CONTEXT BRIDGE — SVS DISCOVERY SYNC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Rapidly ingest 40+ new emails/attachments (PDF, Sheets, CSV, EML) tied to hidden assets and litigation strategy.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Produce structured, deduped, evidentiary outputs for counsel motion practice (fees, FC §271, lis pendens, custody).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 chain‑of‑custody and PII hygiene while maximizing extraction for anomaly detection and subpoenas.​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anchors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Matter: Sayegh v. Sayegh — 25PDRO01260 (DVRO), 25PDFL01441 (family law).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Parties: Freddy/“Frederick” Sayegh, Nuha Sayegh, children Mia (13), Jordan (6), “Margie,” known family enablers.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focus: Last 36 months, with special emphasis on post‑filing period (from 2025‑09‑09).​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Extraction priorities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Transactions: ACH/wires/cash/crypto, originator/beneficiary, memos, counterparties, amounts, dates/times.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Hidden assets: real property (APN, escrow/title/deeds), vehicles (VIN), business entities (LLC/EIN/agent), crypto (wallets/txid).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Litigation playbook: draft declarations, strategy notes, deadlines, evaluators/mediators, settlement positions, fee strategy.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Chain‑of‑custody: message_id/thread_id, source filename/path, attachment SHA‑256, collected timestamp, extractor version.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People/org directory: banks, title/escrow, accountants/CPAs, attorneys/evaluators, contact details, roles, linkage to parties.​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Normalization and safety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Dates/times: ISO 8601 with timezone; keep original display date in separate column for exhibits.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Currency: normalize to USD; retain original currency and FX rate if present.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PII hygiene: display masked account/wallet IDs; store raw identifiers as hashes with source link.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Deduping: hash‑based with thread stitching; prefer most recent version by timestamp/hash.​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Outputs (tabs/views)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Transactions, Accounts &amp; Wallets, Real Property &amp; Vehicles, Entities/People Directory, Litigation Calendar &amp; Strategy, Summary Dashboard.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intel views: Post‑Filing Transfers (&gt;= 2025‑09‑09, amount &gt;= $1,000) and Property Chain (escrow/deed/APN/title activity).​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Immediate deliverables to counsel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CSV: Post‑Filing Transactions with chain‑of‑custody fields.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PDF: Summary Dashboard (top counterparties, top transfers, new entities/accounts, upcoming deadlines).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Subpoena Target List: banks/title/escrow/exchanges/CPA with precise records to request.​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