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[PROPOSED] PROTECTIVE ORDER (HIPAA QUALIFIED PROTECTIVE ORDER; AEO FOR CHILD INTERVIEW)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Court, having considered the parties’ papers and good cause appearing, issues the following Protective Order. Each provision below may be granted, denied, or modified as indicated.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PURPOSE. This Order permits production of narrowly tailored confidential information for use only in this action and protects against unnecessary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2. SCOPE. “Protected Material” includes: (a) medical “personal records” (CCP § 1985.3) produced by Keck Medicine, Medical Weight Loss &amp; Beauty/Dr. James Kojian, and LA Beauty Skin Center/Dr. Arman F. Karapetyan; (b) any WIC § 827 materials disclosed by Court order; and (c) native text exports/forensic extracts limited to the June 1–15, 2025 Nuha↔Mia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HIPAA QUALIFIED PROTECTIVE ORDER. Under 45 C.F.R. § 164.512(e), parties may use Protected Health Information solely for this litigation; they shall return or destroy it (including all copies) within 60 days after final disposition; and they shall safeguard it from disclosure to any person except as allowed by this Order or further Court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ATTORNEYS’ EYES ONLY (AEO). Any child-welfare interview materials disclosed under WIC § 827 shall be designated AEO and may be viewed only by counsel, experts, and the Court; no dissemination to parties or third persons absent further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FILING UNDER SEAL. Any filing that quotes or attaches Protected Material shall be accompanied by a motion or application to seal per CRC 2.550–2.551.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REDACTIONS. Producing entities may redact Social Security numbers and non-responsive medical information not related to the limited categories authorized by the Court.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CHALLENGES. Any confidentiality designation may be challenged for good cause; the producing party bears the burden of showing protection remains warranted.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DISCOVERY AUTHORIZATIONS (if presented with this Protective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WIC § 827 IN-CAMERA: Custodian to lodge ONLY the Oct. 16, 2025 school interview of the minor (Tyler Polk, DCFS) and minimal intake/conclusion tied to Aug. 26, 2025 allegation; limited disclosure per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          Return/Production by: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SUBPOENA — DR. KOJIAN: Medical Weight Loss &amp; Beauty / James Kojian, M.D.; procedure notes/consents/photos/diagnosis/billing for Nov. 3–4, 2023 (±7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          Return/Production by: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SUBPOENA — LA BEAUTY SKIN CENTER: Arman F. Karapetyan, M.D.; same limited categories and date window as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          Return/Production by: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SUBPOENA — KECK MEDICINE: Problem list; diagnostics; imaging/pathology; provider notes limited to the timeframe of the claimed ‘respiratory carcinoma.’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          Return/Production by: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PARTY PRODUCTION — NUHA↔MIA TEXTS: Native iMessage thread, June 1–15, 2025, plus PDFs; limited forensic protocol only if authenticity is disputed.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☐ GRANTED     ☐ DENIED     ☐ MODIFIED: _________________________________          Return/Production by: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 IS SO ORDERED.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Date: 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JUDGE OF THE SUPERIOR COURT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