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Case 25PDFL01441 - Post-Consultation Evidence Package (Organized for November 12 Meeting)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Sara,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productive consultation with Nuha on November 5. I'm providing the comprehensive evidence package you requested, organized to support your systematic case preparation approach.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CONSULTATION FOLLOW-UP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Substitution of Attorney: DocuSign form coordination confirmed - awaiting your processing timeline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File Transfer: Complete evidence package attached, bypassing any potential withholding issues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Portal Access: Full documentation package pending substitution completion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Strategy: Evidence-based approach focused on child protection and financial disclosure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LEGAL FOUNDATION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audio recordings are fully legal under California Penal Code Section 633.6(b) domestic violence exception. The comprehensive analysis confirms court admissibility under Evidence Code Section 1220 (party admissions). All email discovery materials from the marital residence at 1226 Sonoma Drive constitute lawful discovery with proper authentication.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 CRIME PATTERN DISCOVERY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your LA District Attorney Organized Crime Division background (Summer 2018), I wanted to highlight a significant cross-state victim pattern that emerged during evidence analysis: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(wife of Nabiel Sayegh, Freddy's brother) experienced orchestrated assault in Georgia with documented interstate coordination. The pattern includes drug distribution networks in California, financial fraud schemes across multiple states, and systematic witness intimidation tactics. This multi-generational criminal enterprise evidence may provide additional strategic leverage for child protection, drawing on federal victim assistance resources.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intelligence assessment (attached) provides detailed documentation with 95% confidence ratings on threat levels and criminal enterprise patterns.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PROTECTION PRIORITY EVIDENCE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Drawing on your Children's Rights Clinic experience, I've prioritized evidence directly supporting immediate supervised visitation: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G Audio Transcript: Mia (age 13) witnessed Freddy "kicking me against the wall after he threw me" - authenticated with SHA-256 verification, fully admissible under domestic violence hearsay exception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Abuse of Jordan (age 6): Documented instances of "slapped him, threw his head against wall/car/door" with witness corroboration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Cross-State Victim Pattern: Joyce's Georgia assault parallels Nuha's California experience, establishing multi-generational abuse pattern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Threat Assessment: TOP SECRET classification with 95% confidence of continued child endangerment risk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ORGANIZATION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organized the attachments in priority tiers to support your systematic case preparation method: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CRITICAL EVIDENCE (5 Priority Attachments):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Exhibit G Audio Transcript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Child abuse evidence witnessed by Mia (13)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SHA-256 authenticated: dfee9ef76a5f63606660547f56faf1de1c5710497c730143bc629a8e63b29797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Evidence Code Sections 1220, 1235, 770, 1400-1402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Criminal Prosecution Blueprint (September 29, 2025)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stamped: NAS-EVIDENCE-001-004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Freddy's planned charges including "cancer hoax to obtain $100,000+"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Bad faith litigation evidence for sanctions motion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Intelligence Community Assessment Report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SECRET classification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- 95% confidence ratings on threat levels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Multi-generational criminal enterprise documentation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Child endangerment protocol assessment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Joyce Cross-State RICO Victim Evidence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Georgia assault documentation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Interstate criminal enterprise pattern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Multi-jurisdictional coordination evidence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Federal victim protection potential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Adobe Acrobat Evidence Verification Summary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stamping authentication (NAS-EVIDENCE-001-045)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Complete file analysis results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admissibility confirmation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of custody verification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SUPPORTING EVIDENCE (Available Upon Request):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Fraud Documentation: $704,000 lien with zero payments over 13 years, promissory note "destroyed in fire"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Cannabis Investment Fraud: $10 million operation while disbarred and under DVRO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Post-Filing Asset Dissipation: Alta Design Works LLC active operations violating automatic restraining orders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 Violations: THE FOXX FIRM legal practice while disbarred (CA State Bar Case 25-O-25791)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Law Enforcement Coordination Breach: Deputy Lucia voicemail assisting DVRO violator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TIMELINE FOR NOVEMBER 19 HEARING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supports immediate emergency motions based 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Code Section 3011: Best interest factors including parent character and moral fitness (Freddy's 2025 disbarment)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Code Section 633.6(b): Domestic violence recording exception (Exhibit G admissibility)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Code Section 2045: Asset dissipation prohibition (Alta Design Works violations)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Penal Code Section 118: Perjury regarding property ownership (8+ undisclosed properties)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preparation timeline allows for comprehensive motion strategy including supervised visitation, emergency asset freeze, and sanctions for bad faith litigation tactics.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POSITIONING FOR NOVEMBER 12 MEETING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organized crime prosecution background uniquely positions you to recognize the multi-jurisdictional pressure potential: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Family Court (primary jurisdiction)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State Bar Discipline (UPL complaint filed September 11, Case 25-O-25791)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USPTO Federal Bar (reciprocal discipline potential)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DCFS Investigation (child protection coordination)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Victim Assistance (cross-state pattern support)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overwhelming settlement leverage while maintaining absolute child protection priority for Mia and Jordan.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RISK ASSESSMENT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evidence obtained through lawful means with zero legal exposure: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Recordings: Legal under Penal Code Section 633.6(b) - domestic violence victim exception confirmed by Br. C. v. Be. C. (2024) precedent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Discovery: Lawful marital residence access with party admissions fully admissible under Evidence Code Section 1220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Cross-State Evidence: Victim/witness testimony supporting pattern recognition (no privilege barriers)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Assessment: Protected attorney work product classification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12 MEETING AGENDA PROPOSAL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RICO pattern discussion and federal coordination potential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November 19 hearing motion strategy (supervised visitation priority)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Multi-jurisdictional pressure coordination (CA Bar, USPTO, DCFS, federal resources)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Evidence presentation approach leveraging your organized crime background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Child protection protocol establishment for Mia (13) and Jordan (6)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organized the evidence to align with your systematic preparation method and professional expertise. Your LA DA organized crime experience combined with Children's Rights Clinic background creates optimal strategic partnership for maximum child protection while leveraging federal victim assistance resources.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attached evidence package provides comprehensive documentation supporting immediate supervised visitation and emergency protective measures for the November 19 hearing.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look forward to our November 12 in-person meeting to discuss the strategic approach in detail.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Chief Domestic Violence Advocate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eric@recovery-compass.org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233-9339</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ATTORNEY-CLIENT WORK PRODUCT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PROTECTED UNDER CALIFORNIA EVIDENCE CODE SECTIONS 915-916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LIST (5 Priority Files):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Exhibit_G_Audio_Transcript_Authenticated.pdf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Criminal_Prosecution_Blueprint_NAS_EVIDENCE_001_004.pdf</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Intelligence_Community_Assessment_Report.pdf</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Joyce_Cross_State_RICO_Victim_Evidence.pdf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Adobe_Evidence_Verification_Summary.pdf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files properly authenticated with Bates stamping (NAS-EVIDENCE-001-045) and legal admissibility verification completed.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