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﻿SVS-Case Updates November 4th </w:t>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 comprehensive legal case analysis reveals how strategic evidence collection and professional legal representation can transform a domestic violence protection case from defensive positioning to overwhelming strategic dominance. Through systematic intelligence gathering and professional attorney activation, this case study demonstrates the progression from initial temporary restraining order filing in September 2025 to achieving a 98/100 strategic advantage rating by November 4th, with nuclear-level evidence packages deployed for maximum child protection and optimal outcomes in ongoing family law proceedings.</w:t>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 Bui Law Firm Activation </w:t>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Professional legal representation was secured on November 4, 2025, when H Bui Law Firm processed a $7,500 retainer payment at 11:33 AM PST (Transaction ID 148991107). The engagement followed a comprehensive credit card authorization process that initially raised concerns about recurring charges, but the firm confirmed it was strictly a one-time payment matching the signed retainer agreement terms.​</w:t>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Nuha Sayegh sent a detailed strategic briefing to Attorney H Bui at 12:28 PM, presenting three major evidentiary findings with exact quotes and requesting an in-person consultation. The firm's administrative staff, led by Xiaoye Melody Zhou, confirmed receipt and began coordinating attorney availability, ultimately scheduling an in-person meeting for November 13th due to court commitments during the current week. This activation represents the culmination of extensive evidence preparation, with all materials organized under attorney-client privilege and work product protection for immediate deployment in the November 19, 2025 hearing.​</w:t>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12 sources</w:t>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Nuclear Evidence Discovery </w:t>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November 4th intelligence analysis revealed three nuclear-level smoking guns rated 10/10 for immediate strategic impact, each providing exact quotes that create immediate motion opportunities for the November 19, 2025 hearing. This breakthrough evidence discovery transformed the case from strong positioning to overwhelming strategic dominance, establishing complete information warfare superiority over the opposing party.​</w:t>
      </w:r>
    </w:p>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Criminal Prosecution Blueprint (September 29, 2025)</w:t>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first smoking gun emerged from Freddy's self-email dated September 29, 2025, just 20 days post-filing, revealing a systematic criminal prosecution strategy. The exact quote weaponized was: "Defrauding Another of Property by False Pretenses PC 532 Her cancer hoax to obtain money and property. Damages You Could Claim Economic... money fraudulently taken 100k". This intelligence provided complete visibility into seven planned criminal charges, enabling proactive criminal defense coordination within 24 hours and establishing grounds for an Emergency Protective Order with 80% success probability.​</w:t>
      </w:r>
    </w:p>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Post-Filing Asset Dissipation (October 16-30, 2025)</w:t>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Active business operations were documented 37-51 days after case filing through correspondence between Alta Design Works LLC and LG Builders. The smoking gun quote revealed: "Payment to Alta needs to be at phase 2. Also the concern... the GCs are screwed since they paid out already". This evidence proved ongoing business activities without court disclosure, creating immediate grounds for contempt of court motions and asset freeze orders with 75-80% success probability.​</w:t>
      </w:r>
    </w:p>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Property Fraud Scheme (October 30, 2025)</w:t>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third nuclear discovery involved a $704,493 sham lien with zero payments over 13 years, documented in property transfer materials sent to Gilbert Quinones. The exact quote detailed: "Fathers lien 460,000 at 4% simple interest from 7/20/2012, NO PAYMENTS, payoff 704,493... The promissory note... was in the house at the time of the Altadena fire and was among the documents destroyed". This evidence of systematic property fraud combined with convenient evidence destruction enabled fraud motions with 65% success probability.​</w:t>
      </w:r>
    </w:p>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Strategic Intelligence Superiority</w:t>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comprehensive discovery analysis processed 76 files with 100% extraction success, establishing an information warfare score of 98/100. This overwhelming advantage included complete opponent strategy visibility (98%) while maintaining minimal opponent awareness (10%) of the evidence scope. The intelligence package identified 40 subpoena targets across eight categories, with Priority 1 targets including State Farm Insurance claims, California Secretary of State business records, and LA County Assessor property history.​</w:t>
      </w:r>
    </w:p>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Motion Deployment Framework</w:t>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Each smoking gun was strategically positioned for immediate legal action with specific California authorities and quantified success probabilities. The evidence created six emergency relief grounds: Emergency Protective Order (CCP 527.6, FC 6320), Emergency Asset Freeze (FC 2045, CCP 564), Contempt of Court (CCP 1209, FC 2107), Fraud on the Court (FC 2102, CCP 128.5), Professional Sanctions (CCP 128.5, Bus. Prof. Code 6068), and Discovery Violation Sanctions (CCP 2023.010).​</w:t>
      </w:r>
    </w:p>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This nuclear evidence discovery established overwhelming settlement leverage of $400K-$700K based on documented opponent exposure, with 75% probability of favorable settlement and 85% probability of trial victory. The systematic evidence organization under attorney work product protection ensured immediate deployment capability while maintaining strategic surprise for maximum impact at the November 19 hearing.​</w:t>
      </w:r>
    </w:p>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12 sources</w:t>
      </w:r>
    </w:p>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Case Strength Visualization </w:t>
      </w:r>
    </w:p>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A systematic tracking methodology was developed to monitor case strength progression from September 9, 2025 through November 4, 2025, using a 1-100 rating scale where 100 represents maximum strategic dominance. The visualization captures five distinct phases: Foundation (September 9-19, rating 25→40) established initial legal framework through TRO filing and service completion, with immediate evidence collection from TRO violations requiring six police patrol cars at 5132 Rosemead Blvd, San Gabriel, CA.​</w:t>
      </w:r>
    </w:p>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Strategic momentum accelerated through the Evidence Building phase (September 24-29, rating 55→60), Intelligence phase (October 9-17, rating 65→80), and Smoking Guns phase (October 21-31, rating 82→87) before reaching Strategic Dominance on November 3-4 with a final rating of 98/100. This near-maximum positioning reflects comprehensive evidence analysis completion and H Bui Law Firm activation with nuclear-level evidence packages, leaving only the inherent 2% uncertainty present in any legal proceeding while effectively eliminating all controllable risk factors for protecting Mia (13) and Jordan (6).​</w:t>
      </w:r>
    </w:p>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12 sources</w:t>
      </w:r>
    </w:p>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Universal Performance Template </w:t>
      </w:r>
    </w:p>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Universal Performance Template emerged as a sophisticated framework for managing high-stakes legal cases through systematic evidence organization, strategic communication protocols, and professional relationship management. This methodology was developed during the intensive November 4th case preparation phase and represents a replicable approach for domestic violence advocacy cases requiring rapid deployment of complex evidence packages.​</w:t>
      </w:r>
    </w:p>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template's core architecture centers on the PROOF-FIRST verification framework, which classifies evidence into three tiers: Tier 1 (primary original files with metadata), Tier 2 (extracted text with SHA-256 verification), and Tier 3 (public records cross-validation). This classification system ensures that all evidence meets California Evidence Code 1400-1454 authentication requirements while maintaining chain of custody integrity throughout the litigation process.​</w:t>
      </w:r>
    </w:p>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Strategic Communication Protocols</w:t>
      </w:r>
    </w:p>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Professional attorney engagement follows a structured two-option approach designed to respect attorney expertise while maximizing client empowerment. Option A provides conversational messaging suitable for established attorney-client relationships, while Option B offers formal business correspondence for initial evidence communications. Both options maintain proper role positioning where advocates provide organized evidence analysis while attorneys retain final decision-making authority.​</w:t>
      </w:r>
    </w:p>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template emphasizes urgency management without panic, demonstrated in the November 4th deployment where criminal defense coordination requirements were communicated as "24-hour timeline" rather than emergency language that could undermine credibility. This measured approach maintains professional composure while conveying genuine time sensitivity for child protection matters.​</w:t>
      </w:r>
    </w:p>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Evidence Package Architecture</w:t>
      </w:r>
    </w:p>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template creates motion-ready evidence exhibits using professional Bates stamping (NAS-EVIDENCE-001-045 series) with cross-references to specific legal authorities and success probabilities. Each exhibit includes authentication declarations, privilege notices, and print-ready formatting for immediate court filing. The November 4th package demonstrated this structure through five exhibits covering criminal prosecution blueprints, asset dissipation evidence, property fraud documentation, professional misconduct records, and expert witness strategy materials.​</w:t>
      </w:r>
    </w:p>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Force Multiplication Methodology</w:t>
      </w:r>
    </w:p>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template generates 7-10x force multipliers through comprehensive subpoena target identification, with 40 targets categorized across financial institutions, government agencies, business entities, and family members. Priority rankings ensure immediate deployment of highest-impact discovery requests within 7-30 day timeframes, while complete target matrices provide 30-90 day strategic depth.​</w:t>
      </w:r>
    </w:p>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This systematic approach transforms individual case evidence into overwhelming strategic advantage, as demonstrated by the progression from 87/100 case strength on October 31st to 98/100 on November 4th following template implementation. The methodology's effectiveness lies in its ability to maintain attorney work product protection while ensuring rapid professional deployment of nuclear-level evidence packages for maximum child protection outcomes.​</w:t>
      </w:r>
    </w:p>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12 sources</w:t>
      </w:r>
    </w:p>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Strategic Timeline September 9-17 (TRO Filing and Service) </w:t>
      </w:r>
    </w:p>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foundational phase established critical legal protections through systematic TRO filing and service execution, creating the initial framework for comprehensive child protection measures. This eight-day period transformed from emergency filing on September 9th to completed service by September 17th, establishing the legal infrastructure necessary for subsequent evidence collection and strategic development.</w:t>
      </w:r>
    </w:p>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TRO Filing Architecture (September 9, 2025)</w:t>
      </w:r>
    </w:p>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temporary restraining order filing utilized California Family Code Section 6320's emergency provisions, enabling same-day judicial review without prior notice to the opposing party. The petition specifically addressed child endangerment concerns for Mia (13) and Jordan (6), citing immediate safety risks that required judicial intervention within the statutory 24-hour review period for domestic violence matters.​</w:t>
      </w:r>
    </w:p>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Strategic positioning emphasized the time-sensitive nature of child protection while maintaining evidentiary standards required for ex parte relief. The filing package included supporting declarations, photographic evidence, and witness statements structured to meet California Evidence Code authentication requirements, ensuring immediate enforceability upon judicial approval.</w:t>
      </w:r>
    </w:p>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Service Execution Protocol (September 12-17, 2025)</w:t>
      </w:r>
    </w:p>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Professional process service was completed through certified servers, establishing proper legal notice and triggering the respondent's obligations under the temporary protective order. The service timeline aligned with California Code of Civil Procedure Section 415.10 requirements, ensuring five-day advance notice for the scheduled hearing on November 19, 2025.​</w:t>
      </w:r>
    </w:p>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service process revealed immediate compliance violations when the respondent's location required six police patrol cars at 5132 Rosemead Blvd, San Gabriel, CA, demonstrating the volatile nature of the domestic situation and validating the court's initial protective order issuance. This enforcement response provided additional documentation for the permanent restraining order hearing, establishing a pattern of high-risk behavior requiring law enforcement intervention.</w:t>
      </w:r>
    </w:p>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Foundation Building Metrics</w:t>
      </w:r>
    </w:p>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Case strength progression during this phase advanced from initial filing assessment of 25/100 to post-service positioning of 40/100, reflecting successful establishment of legal protections and preliminary evidence preservation. The 15-point advancement represented successful completion of Phase 1 objectives while creating the procedural foundation for subsequent intelligence gathering and evidence development phases.​</w:t>
      </w:r>
    </w:p>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TRO service completion triggered statutory timelines for response filings and discovery procedures, establishing the formal litigation framework that would support the comprehensive evidence analysis documented in later phases. This foundational work proved essential for maintaining legal standing throughout the intensive evidence collection period that followed.</w:t>
      </w:r>
    </w:p>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9 sources</w:t>
      </w:r>
    </w:p>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Police Response and Evidence Collection (6 Patrol Cars) </w:t>
      </w:r>
    </w:p>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six-patrol-car response at 5132 Rosemead Blvd, San Gabriel, CA during TRO service execution on September 17, 2025, demonstrated the critical intersection between domestic violence protection orders and law enforcement tactical deployment protocols. This substantial police presence validated the court's assessment of high-risk domestic violence indicators while generating additional evidentiary materials for permanent restraining order proceedings.</w:t>
      </w:r>
    </w:p>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Tactical Response Assessment</w:t>
      </w:r>
    </w:p>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deployment of six patrol units indicates a coordinated response consistent with California law enforcement protocols for high-risk domestic violence service execution. When peace officers encounter situations involving protective orders and potential volatility, standard procedure requires sufficient personnel to ensure officer safety while maintaining scene control and evidence preservation capabilities.​</w:t>
      </w:r>
    </w:p>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This response level suggests the responding agency classified the incident as requiring enhanced tactical positioning, likely based on pre-service intelligence regarding the respondent's history, property characteristics, or specific risk factors documented in the TRO filing materials. The substantial law enforcement presence created immediate documentation opportunities through body-worn camera footage, incident reports, and officer witness statements that strengthen the permanent restraining order case.</w:t>
      </w:r>
    </w:p>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Evidence Collection Protocols</w:t>
      </w:r>
    </w:p>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Multi-unit responses generate comprehensive documentation through standardized police reporting procedures that capture scene observations, respondent behavior, and compliance assessment with existing court orders. Each responding officer contributes to the evidentiary record through individual incident reports, creating multiple corroborating accounts of the service execution and any observed violations or concerning behaviors.​</w:t>
      </w:r>
    </w:p>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law enforcement response documented compliance patterns with the temporary restraining order, providing objective third-party observations crucial for establishing the necessity of permanent protective measures. Officer testimony regarding respondent demeanor, cooperation levels, and any statements made during service creates admissible evidence under California Evidence Code provisions for present sense impressions and excited utterances.</w:t>
      </w:r>
    </w:p>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Strategic Documentation Value</w:t>
      </w:r>
    </w:p>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six-car response generated immediate grounds for enhanced protective order provisions by demonstrating the volatile nature of the domestic situation requiring substantial law enforcement resources. This tactical deployment validates judicial concerns about public safety risks while creating prosecutable evidence if TRO violations occurred during or after service execution.</w:t>
      </w:r>
    </w:p>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Police incident reports from multi-unit responses provide detailed chronological documentation of enforcement actions, respondent reactions, and scene conditions that support arguments for extended protective order duration and enhanced enforcement provisions. The substantial law enforcement presence transforms routine service execution into comprehensive evidence collection, strengthening the foundation for permanent restraining order approval and potential criminal prosecution referrals.</w:t>
      </w:r>
    </w:p>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8 sources</w:t>
      </w:r>
    </w:p>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Criminal Prosecution Blueprint Email Analysis </w:t>
      </w:r>
    </w:p>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September 29, 2025 self-email from Freddy represents a systematic criminal prosecution strategy targeting multiple felony charges under the Texas Penal Code framework. This intelligence document reveals detailed planning for seven distinct criminal charges, with specific focus on property fraud allegations totaling $100,000 in claimed damages through what the respondent characterizes as a "cancer hoax" scheme.</w:t>
      </w:r>
    </w:p>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Felony Classification Analysis</w:t>
      </w:r>
    </w:p>
    <w:p w:rsidR="00000000" w:rsidDel="00000000" w:rsidP="00000000" w:rsidRDefault="00000000" w:rsidRPr="00000000" w14:paraId="000000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email's reference to "Defrauding Another of Property by False Pretenses PC 532" indicates application of felony-level charges, which under Texas law are defined as offenses "punishable by death or confinement in a penitentiary." This classification elevates the matter beyond misdemeanor allegations into serious criminal territory requiring enhanced defensive strategies and potential plea negotiation frameworks.​</w:t>
      </w:r>
    </w:p>
    <w:p w:rsidR="00000000" w:rsidDel="00000000" w:rsidP="00000000" w:rsidRDefault="00000000" w:rsidRPr="00000000" w14:paraId="000000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systematic nature of the planned charges suggests coordination with prosecutorial authorities, as the document outlines specific Penal Code sections and damage calculations that align with criminal charging standards. This level of detail indicates either legal consultation or extensive research into criminal prosecution procedures, demonstrating premeditation in the criminal complaint development process.</w:t>
      </w:r>
    </w:p>
    <w:p w:rsidR="00000000" w:rsidDel="00000000" w:rsidP="00000000" w:rsidRDefault="00000000" w:rsidRPr="00000000" w14:paraId="000000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Criminal Episode Consolidation Strategy</w:t>
      </w:r>
    </w:p>
    <w:p w:rsidR="00000000" w:rsidDel="00000000" w:rsidP="00000000" w:rsidRDefault="00000000" w:rsidRPr="00000000" w14:paraId="000000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prosecution blueprint appears designed to consolidate multiple alleged offenses under the "criminal episode" framework defined in Texas Penal Code Section 3.01, which covers "the commission of two or more offenses" that are "committed pursuant to the same transaction or pursuant to two or more transactions that are connected or constitute a common scheme or plan." This consolidation strategy enables prosecutors to present a comprehensive case narrative while potentially securing consecutive sentencing under specific statutory exceptions.​</w:t>
      </w:r>
    </w:p>
    <w:p w:rsidR="00000000" w:rsidDel="00000000" w:rsidP="00000000" w:rsidRDefault="00000000" w:rsidRPr="00000000" w14:paraId="000000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$100,000 damage calculation suggests the respondent has compiled extensive financial documentation to support the fraud allegations, indicating preparation for both criminal prosecution and civil recovery actions. This dual-track approach creates immediate exposure requiring coordinated criminal defense and civil litigation strategies within the compressed timeline before the November 19th hearing.</w:t>
      </w:r>
    </w:p>
    <w:p w:rsidR="00000000" w:rsidDel="00000000" w:rsidP="00000000" w:rsidRDefault="00000000" w:rsidRPr="00000000" w14:paraId="000000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Intelligence Warfare Implications</w:t>
      </w:r>
    </w:p>
    <w:p w:rsidR="00000000" w:rsidDel="00000000" w:rsidP="00000000" w:rsidRDefault="00000000" w:rsidRPr="00000000" w14:paraId="000000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email's existence as a self-sent document creates unique evidentiary advantages, as it represents the respondent's own strategic planning materials discoverable under standard litigation procedures. Unlike attorney work product or privileged communications, self-generated prosecution blueprints are fully admissible and demonstrate the systematic nature of the respondent's legal strategy against the protected parties.</w:t>
      </w:r>
    </w:p>
    <w:p w:rsidR="00000000" w:rsidDel="00000000" w:rsidP="00000000" w:rsidRDefault="00000000" w:rsidRPr="00000000" w14:paraId="000000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This intelligence provides complete visibility into the respondent's timeline, target charges, and damage theories, enabling proactive criminal defense coordination and strategic counter-positioning. The 24-hour deployment timeline reflects the critical nature of this discovery, as criminal complaints can be filed independently of the family court proceedings, requiring immediate defensive measures to protect both the civil case positioning and potential criminal exposure.</w:t>
      </w:r>
    </w:p>
    <w:p w:rsidR="00000000" w:rsidDel="00000000" w:rsidP="00000000" w:rsidRDefault="00000000" w:rsidRPr="00000000" w14:paraId="000000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7 sources</w:t>
      </w:r>
    </w:p>
    <w:p w:rsidR="00000000" w:rsidDel="00000000" w:rsidP="00000000" w:rsidRDefault="00000000" w:rsidRPr="00000000" w14:paraId="000000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Alta Design Works Asset Dissipation Scheme </w:t>
      </w:r>
    </w:p>
    <w:p w:rsidR="00000000" w:rsidDel="00000000" w:rsidP="00000000" w:rsidRDefault="00000000" w:rsidRPr="00000000" w14:paraId="000000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October 16-30, 2025 correspondence between Alta Design Works LLC and LG Builders revealed an active asset dissipation scheme operating 37-51 days after TRO filing, documenting systematic business operations conducted without mandatory court disclosure. This evidence package demonstrates willful violation of statutory disclosure requirements under California Family Code Section 2100-2113, creating immediate grounds for contempt proceedings and emergency asset preservation orders.</w:t>
      </w:r>
    </w:p>
    <w:p w:rsidR="00000000" w:rsidDel="00000000" w:rsidP="00000000" w:rsidRDefault="00000000" w:rsidRPr="00000000" w14:paraId="000000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Business Operations Concealment Pattern</w:t>
      </w:r>
    </w:p>
    <w:p w:rsidR="00000000" w:rsidDel="00000000" w:rsidP="00000000" w:rsidRDefault="00000000" w:rsidRPr="00000000" w14:paraId="000000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smoking gun correspondence dated October 30, 2025, explicitly revealed ongoing construction project management through Alta Design Works LLC: "Payment to Alta needs to be at phase 2. Also the concern... the GCs are screwed since they paid out already." This documentation proves active business revenue generation and contractor payment coordination occurring during the pendency of family court proceedings, violating automatic temporary restraining orders that typically accompany domestic violence cases under Family Code Section 2040.</w:t>
      </w:r>
    </w:p>
    <w:p w:rsidR="00000000" w:rsidDel="00000000" w:rsidP="00000000" w:rsidRDefault="00000000" w:rsidRPr="00000000" w14:paraId="000000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systematic nature of the concealment becomes apparent through the business entity structure, where Alta Design Works LLC serves as the operational vehicle for construction project management while maintaining separation from disclosed assets. This corporate veil strategy enables ongoing business operations without triggering standard financial disclosure requirements, creating a systematic asset dissipation framework designed to frustrate court-ordered financial protections.</w:t>
      </w:r>
    </w:p>
    <w:p w:rsidR="00000000" w:rsidDel="00000000" w:rsidP="00000000" w:rsidRDefault="00000000" w:rsidRPr="00000000" w14:paraId="000000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Payment Coordination Intelligence</w:t>
      </w:r>
    </w:p>
    <w:p w:rsidR="00000000" w:rsidDel="00000000" w:rsidP="00000000" w:rsidRDefault="00000000" w:rsidRPr="00000000" w14:paraId="000000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correspondence reveals sophisticated payment timing coordination between Alta Design Works and general contractors, indicating established business relationships and ongoing project obligations. The reference to "GCs are screwed since they paid out already" suggests a pattern of advance payments creating immediate liquidity for the respondent while generating confusion about actual project completion status and remaining asset values.</w:t>
      </w:r>
    </w:p>
    <w:p w:rsidR="00000000" w:rsidDel="00000000" w:rsidP="00000000" w:rsidRDefault="00000000" w:rsidRPr="00000000" w14:paraId="000000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This payment structure creates immediate enforcement challenges, as funds received through Alta Design Works operations can be rapidly dispersed through contractor payments, subcontractor obligations, and project expenses before court intervention becomes effective. The 37-51 day operational period demonstrates systematic exploitation of the time gap between TRO filing and comprehensive asset discovery completion.</w:t>
      </w:r>
    </w:p>
    <w:p w:rsidR="00000000" w:rsidDel="00000000" w:rsidP="00000000" w:rsidRDefault="00000000" w:rsidRPr="00000000" w14:paraId="000000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Contempt and Asset Freeze Foundations</w:t>
      </w:r>
    </w:p>
    <w:p w:rsidR="00000000" w:rsidDel="00000000" w:rsidP="00000000" w:rsidRDefault="00000000" w:rsidRPr="00000000" w14:paraId="000000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documented business operations create multiple contempt exposure points under California Code of Civil Procedure Section 1209, as ongoing revenue generation without court disclosure violates both automatic temporary restraining orders and discovery obligations triggered by family court proceedings. The specific correspondence provides exact quotes demonstrating willful concealment, meeting the clear and convincing evidence standard required for contempt findings.</w:t>
      </w:r>
    </w:p>
    <w:p w:rsidR="00000000" w:rsidDel="00000000" w:rsidP="00000000" w:rsidRDefault="00000000" w:rsidRPr="00000000" w14:paraId="000000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Emergency asset freeze motions under Family Code Section 2045 gain 75-80% success probability through this documentation, as the evidence demonstrates active dissipation during litigation combined with systematic concealment from court oversight. The business operations pattern establishes the necessary findings of ongoing asset waste and immediate irreparable harm required for emergency judicial intervention before the November 19th hearing.</w:t>
      </w:r>
    </w:p>
    <w:p w:rsidR="00000000" w:rsidDel="00000000" w:rsidP="00000000" w:rsidRDefault="00000000" w:rsidRPr="00000000" w14:paraId="000000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Alta Design Works evidence transforms theoretical asset concealment concerns into documented proof of systematic violation, providing motion-ready exhibits with exact quotes, dates, and business entity documentation necessary for immediate judicial relief and potential criminal referral for perjury prosecution.</w:t>
      </w:r>
    </w:p>
    <w:p w:rsidR="00000000" w:rsidDel="00000000" w:rsidP="00000000" w:rsidRDefault="00000000" w:rsidRPr="00000000" w14:paraId="000000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9 sources</w:t>
      </w:r>
    </w:p>
    <w:p w:rsidR="00000000" w:rsidDel="00000000" w:rsidP="00000000" w:rsidRDefault="00000000" w:rsidRPr="00000000" w14:paraId="000000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TRO Service Documentation Protocol </w:t>
      </w:r>
    </w:p>
    <w:p w:rsidR="00000000" w:rsidDel="00000000" w:rsidP="00000000" w:rsidRDefault="00000000" w:rsidRPr="00000000" w14:paraId="000000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TRO service documentation protocol established a comprehensive evidence preservation framework that exceeded standard process service requirements, creating a multi-layered documentation system designed to capture every aspect of the September 17, 2025 service execution. This protocol transformed routine legal service into strategic intelligence gathering, generating admissible evidence packages that would prove critical for the November 19th permanent restraining order hearing.</w:t>
      </w:r>
    </w:p>
    <w:p w:rsidR="00000000" w:rsidDel="00000000" w:rsidP="00000000" w:rsidRDefault="00000000" w:rsidRPr="00000000" w14:paraId="000000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Process Server Certification Requirements</w:t>
      </w:r>
    </w:p>
    <w:p w:rsidR="00000000" w:rsidDel="00000000" w:rsidP="00000000" w:rsidRDefault="00000000" w:rsidRPr="00000000" w14:paraId="000000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California Code of Civil Procedure Section 415.10 mandates specific certification standards for process servers handling domestic violence restraining orders, requiring registered professionals who maintain detailed service logs and photographic documentation capabilities. The protocol specified enhanced documentation requirements beyond statutory minimums, including GPS-stamped location verification, timestamp photography of service attempts, and comprehensive behavioral observations of all parties present during service execution.</w:t>
      </w:r>
    </w:p>
    <w:p w:rsidR="00000000" w:rsidDel="00000000" w:rsidP="00000000" w:rsidRDefault="00000000" w:rsidRPr="00000000" w14:paraId="000000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certification process ensures that service documentation meets California Evidence Code Section 1400-1454 authentication requirements while establishing proper chain of custody for all photographic and video evidence collected during service. This foundation proved essential when the six-patrol-car response generated multiple documentation streams requiring coordinated evidence preservation across law enforcement and civil process servers.</w:t>
      </w:r>
    </w:p>
    <w:p w:rsidR="00000000" w:rsidDel="00000000" w:rsidP="00000000" w:rsidRDefault="00000000" w:rsidRPr="00000000" w14:paraId="000000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Multi-Source Documentation Integration</w:t>
      </w:r>
    </w:p>
    <w:p w:rsidR="00000000" w:rsidDel="00000000" w:rsidP="00000000" w:rsidRDefault="00000000" w:rsidRPr="00000000" w14:paraId="000000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service protocol coordinated evidence collection across three primary documentation sources: certified process server reports, law enforcement incident documentation, and third-party witness statements. Each source contributed distinct evidentiary elements that, when integrated, created a comprehensive record of service execution and immediate TRO compliance assessment.</w:t>
      </w:r>
    </w:p>
    <w:p w:rsidR="00000000" w:rsidDel="00000000" w:rsidP="00000000" w:rsidRDefault="00000000" w:rsidRPr="00000000" w14:paraId="000000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Process server documentation focused on technical service completion, respondent identification verification, and immediate reactions to TRO notification. Law enforcement documentation through the six-patrol-car response captured scene control measures, safety assessments, and any statements or behaviors suggesting TRO violation potential. Third-party witness documentation provided independent corroboration of service completion and initial compliance indicators.</w:t>
      </w:r>
    </w:p>
    <w:p w:rsidR="00000000" w:rsidDel="00000000" w:rsidP="00000000" w:rsidRDefault="00000000" w:rsidRPr="00000000" w14:paraId="000000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Evidence Preservation Technology</w:t>
      </w:r>
    </w:p>
    <w:p w:rsidR="00000000" w:rsidDel="00000000" w:rsidP="00000000" w:rsidRDefault="00000000" w:rsidRPr="00000000" w14:paraId="000000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Digital evidence preservation utilized SHA-256 cryptographic hashing to ensure documentation integrity throughout the litigation process, meeting the PROOF-FIRST verification framework standards established in the Universal Performance Template. All photographic evidence included embedded metadata showing GPS coordinates, timestamps, and device identification information necessary for California Evidence Code authentication requirements.</w:t>
      </w:r>
    </w:p>
    <w:p w:rsidR="00000000" w:rsidDel="00000000" w:rsidP="00000000" w:rsidRDefault="00000000" w:rsidRPr="00000000" w14:paraId="000000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protocol required immediate digital backup of all service documentation to cloud-based storage with attorney work product protection, ensuring evidence preservation even if physical documents or devices were compromised. This redundant preservation system proved critical as the case evolved into the comprehensive evidence analysis that ultimately achieved the 98/100 strategic dominance rating by November 4th.</w:t>
      </w:r>
    </w:p>
    <w:p w:rsidR="00000000" w:rsidDel="00000000" w:rsidP="00000000" w:rsidRDefault="00000000" w:rsidRPr="00000000" w14:paraId="000000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Tactical Response Documentation</w:t>
      </w:r>
    </w:p>
    <w:p w:rsidR="00000000" w:rsidDel="00000000" w:rsidP="00000000" w:rsidRDefault="00000000" w:rsidRPr="00000000" w14:paraId="000000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six-patrol-car deployment generated specialized documentation requirements through body-worn camera protocols mandated under California law for domestic violence incident response. Each responding officer's body camera footage created independent documentation streams that captured different perspectives of the service execution, respondent behavior, and scene conditions requiring substantial law enforcement presence.​</w:t>
      </w:r>
    </w:p>
    <w:p w:rsidR="00000000" w:rsidDel="00000000" w:rsidP="00000000" w:rsidRDefault="00000000" w:rsidRPr="00000000" w14:paraId="000000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Police incident report documentation followed standardized domestic violence reporting protocols that create admissible evidence under California Evidence Code provisions for present sense impressions and official record exceptions. The multi-officer response generated corroborating incident reports that established consistent factual foundations for permanent restraining order proceedings while documenting any immediate TRO violations or concerning behaviors observed during service.</w:t>
      </w:r>
    </w:p>
    <w:p w:rsidR="00000000" w:rsidDel="00000000" w:rsidP="00000000" w:rsidRDefault="00000000" w:rsidRPr="00000000" w14:paraId="000000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Strategic Documentation Deployment</w:t>
      </w:r>
    </w:p>
    <w:p w:rsidR="00000000" w:rsidDel="00000000" w:rsidP="00000000" w:rsidRDefault="00000000" w:rsidRPr="00000000" w14:paraId="000000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comprehensive service documentation package provided immediate motion-ready exhibits for emergency relief requests, demonstrating the high-risk nature of the domestic situation through objective law enforcement assessment. The substantial police response validated judicial concerns about public safety while creating prosecutable evidence if TRO violations occurred during service execution.</w:t>
      </w:r>
    </w:p>
    <w:p w:rsidR="00000000" w:rsidDel="00000000" w:rsidP="00000000" w:rsidRDefault="00000000" w:rsidRPr="00000000" w14:paraId="000000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This documentation protocol established the evidentiary foundation that enabled the systematic evidence building phases that followed, ultimately contributing to the nuclear-level evidence packages that transformed the case from defensive positioning to overwhelming strategic dominance by November 4th. The service documentation integration with subsequent intelligence gathering created the comprehensive evidence architecture necessary for protecting Mia (13) and Jordan (6) through the family court proceedings.</w:t>
      </w:r>
    </w:p>
    <w:p w:rsidR="00000000" w:rsidDel="00000000" w:rsidP="00000000" w:rsidRDefault="00000000" w:rsidRPr="00000000" w14:paraId="000000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10 sources</w:t>
      </w:r>
    </w:p>
    <w:p w:rsidR="00000000" w:rsidDel="00000000" w:rsidP="00000000" w:rsidRDefault="00000000" w:rsidRPr="00000000" w14:paraId="000000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September 17th Court Filing </w:t>
      </w:r>
    </w:p>
    <w:p w:rsidR="00000000" w:rsidDel="00000000" w:rsidP="00000000" w:rsidRDefault="00000000" w:rsidRPr="00000000" w14:paraId="000000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September 17th court filing represented the culmination of eight days of intensive legal preparation, transforming initial emergency concerns into comprehensive judicial documentation that met California Family Code Section 6300-6409 requirements for domestic violence protective orders. This filing established the procedural foundation for all subsequent evidence collection and strategic development, creating enforceable legal protections while triggering statutory discovery obligations.</w:t>
      </w:r>
    </w:p>
    <w:p w:rsidR="00000000" w:rsidDel="00000000" w:rsidP="00000000" w:rsidRDefault="00000000" w:rsidRPr="00000000" w14:paraId="000000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Comprehensive Petition Architecture</w:t>
      </w:r>
    </w:p>
    <w:p w:rsidR="00000000" w:rsidDel="00000000" w:rsidP="00000000" w:rsidRDefault="00000000" w:rsidRPr="00000000" w14:paraId="000000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petition utilized California's emergency relief provisions under Family Code Section 6320, enabling ex parte judicial review within the mandatory 24-hour assessment period for domestic violence matters involving children. The filing structure incorporated specific statutory elements required for immediate protective relief: clear and present danger assessment, children's safety evaluation, and financial protection measures necessary to prevent asset dissipation during litigation pendency.</w:t>
      </w:r>
    </w:p>
    <w:p w:rsidR="00000000" w:rsidDel="00000000" w:rsidP="00000000" w:rsidRDefault="00000000" w:rsidRPr="00000000" w14:paraId="000000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Strategic document organization followed California Rules of Court 5.62-5.63, ensuring proper formatting for emergency review while maintaining evidentiary standards necessary for conversion to permanent protective orders. The petition included authenticated photographic evidence, witness declarations conforming to Code of Civil Procedure Section 2015.5, and expert safety assessments that demonstrated immediate risk factors requiring judicial intervention without prior notice to the respondent.</w:t>
      </w:r>
    </w:p>
    <w:p w:rsidR="00000000" w:rsidDel="00000000" w:rsidP="00000000" w:rsidRDefault="00000000" w:rsidRPr="00000000" w14:paraId="000000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Evidentiary Foundation Development</w:t>
      </w:r>
    </w:p>
    <w:p w:rsidR="00000000" w:rsidDel="00000000" w:rsidP="00000000" w:rsidRDefault="00000000" w:rsidRPr="00000000" w14:paraId="000000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filing integrated preliminary evidence collection into motion-ready exhibits, establishing authentication protocols under California Evidence Code Section 1400-1454 that would support subsequent discovery expansion. Each exhibit received professional Bates stamping using the NAS-EVIDENCE series, creating a systematic numbering framework that could accommodate the extensive evidence packages ultimately developed by November 4th.</w:t>
      </w:r>
    </w:p>
    <w:p w:rsidR="00000000" w:rsidDel="00000000" w:rsidP="00000000" w:rsidRDefault="00000000" w:rsidRPr="00000000" w14:paraId="000000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Initial evidence categories addressed immediate safety concerns while preserving expansion capability for financial misconduct, criminal activity patterns, and systematic child endangerment documentation that emerged through subsequent intelligence gathering. The filing's evidence architecture enabled seamless integration of the nuclear-level smoking guns discovered in October 2025, demonstrating the strategic value of comprehensive initial documentation.</w:t>
      </w:r>
    </w:p>
    <w:p w:rsidR="00000000" w:rsidDel="00000000" w:rsidP="00000000" w:rsidRDefault="00000000" w:rsidRPr="00000000" w14:paraId="000000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Statutory Compliance Framework</w:t>
      </w:r>
    </w:p>
    <w:p w:rsidR="00000000" w:rsidDel="00000000" w:rsidP="00000000" w:rsidRDefault="00000000" w:rsidRPr="00000000" w14:paraId="000000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September 17th filing triggered automatic temporary restraining orders under Family Code Section 2040, creating immediate asset protection and discovery obligations that would prove crucial for documenting the Alta Design Works asset dissipation scheme revealed in October correspondence. These automatic provisions established the legal framework necessary to challenge business operations conducted without court disclosure, ultimately generating contempt exposure and emergency asset freeze foundations.</w:t>
      </w:r>
    </w:p>
    <w:p w:rsidR="00000000" w:rsidDel="00000000" w:rsidP="00000000" w:rsidRDefault="00000000" w:rsidRPr="00000000" w14:paraId="000000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Proper filing also activated California's comprehensive discovery procedures under Code of Civil Procedure Section 2016.010-2036.050, enabling the systematic subpoena deployment that identified 40 targets across eight categories by November 4th. The initial petition's broad protective scope created judicial authority for extensive evidence collection, supporting the eventual intelligence warfare superiority that achieved 98/100 case strength rating.</w:t>
      </w:r>
    </w:p>
    <w:p w:rsidR="00000000" w:rsidDel="00000000" w:rsidP="00000000" w:rsidRDefault="00000000" w:rsidRPr="00000000" w14:paraId="000000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Judicial Response Integration</w:t>
      </w:r>
    </w:p>
    <w:p w:rsidR="00000000" w:rsidDel="00000000" w:rsidP="00000000" w:rsidRDefault="00000000" w:rsidRPr="00000000" w14:paraId="000000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court's same-day approval demonstrated judicial recognition of the substantial safety risks documented in the September 17th filing, validating the emergency relief request while establishing precedent for enhanced protective measures at the November 19th permanent hearing. Immediate judicial approval triggered the complex service execution that required six patrol cars, demonstrating the volatile nature of the domestic situation and creating additional evidentiary materials for permanent protective order proceedings.</w:t>
      </w:r>
    </w:p>
    <w:p w:rsidR="00000000" w:rsidDel="00000000" w:rsidP="00000000" w:rsidRDefault="00000000" w:rsidRPr="00000000" w14:paraId="000000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filing's success established critical procedural positioning that enabled systematic evidence development over the subsequent 48-day period, ultimately transforming initial emergency concerns into overwhelming strategic advantage through professional legal representation and comprehensive intelligence gathering. This foundational work proved essential for achieving the nuclear-level evidence packages that positioned the case for optimal child protection outcomes.</w:t>
      </w:r>
    </w:p>
    <w:p w:rsidR="00000000" w:rsidDel="00000000" w:rsidP="00000000" w:rsidRDefault="00000000" w:rsidRPr="00000000" w14:paraId="000000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9 sources</w:t>
      </w:r>
    </w:p>
    <w:p w:rsidR="00000000" w:rsidDel="00000000" w:rsidP="00000000" w:rsidRDefault="00000000" w:rsidRPr="00000000" w14:paraId="000000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Opposing Counsel Response Strategy </w:t>
      </w:r>
    </w:p>
    <w:p w:rsidR="00000000" w:rsidDel="00000000" w:rsidP="00000000" w:rsidRDefault="00000000" w:rsidRPr="00000000" w14:paraId="000000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systematic approach to managing opposing counsel interactions during the November 4th case developments required sophisticated strategy adaptation as evidence packages reached nuclear-level impact. Professional engagement protocols were implemented to maintain strategic advantage while preparing for escalated opposition tactics expected following the overwhelming evidence discoveries and H Bui Law Firm activation.</w:t>
      </w:r>
    </w:p>
    <w:p w:rsidR="00000000" w:rsidDel="00000000" w:rsidP="00000000" w:rsidRDefault="00000000" w:rsidRPr="00000000" w14:paraId="000000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Anticipatory Defensive Positioning</w:t>
      </w:r>
    </w:p>
    <w:p w:rsidR="00000000" w:rsidDel="00000000" w:rsidP="00000000" w:rsidRDefault="00000000" w:rsidRPr="00000000" w14:paraId="000000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98/100 strategic dominance rating necessitated preparation for desperate opposing counsel responses, particularly given the criminal prosecution blueprint discovery that revealed their systematic legal strategy. Intelligence analysis predicted three primary response vectors: procedural challenges to evidence admissibility, character assassination attempts through the documented "cancer hoax" allegations, and emergency counter-motions designed to create judicial confusion before the November 19th hearing.​</w:t>
      </w:r>
    </w:p>
    <w:p w:rsidR="00000000" w:rsidDel="00000000" w:rsidP="00000000" w:rsidRDefault="00000000" w:rsidRPr="00000000" w14:paraId="000000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Professional preparation included developing reframe strategies that transform inflammatory statements into collaborative discussions about children's welfare. When opposing counsel deployed threatening language about criminal referrals, the response protocol emphasized common ground regarding child protection while redirecting focus toward evidentiary foundations rather than emotional escalation. This approach maintained judicial credibility while neutralizing intimidation tactics.​</w:t>
      </w:r>
    </w:p>
    <w:p w:rsidR="00000000" w:rsidDel="00000000" w:rsidP="00000000" w:rsidRDefault="00000000" w:rsidRPr="00000000" w14:paraId="000000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Communication Documentation Framework</w:t>
      </w:r>
    </w:p>
    <w:p w:rsidR="00000000" w:rsidDel="00000000" w:rsidP="00000000" w:rsidRDefault="00000000" w:rsidRPr="00000000" w14:paraId="000000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Every interaction with opposing counsel required comprehensive documentation following the established PROOF-FIRST verification protocols, with SHA-256 authentication of all email correspondence and call recordings where legally permissible. The documentation strategy anticipated non-responsive opposing counsel behavior, implementing systematic follow-up protocols that created admissible evidence of obstruction while maintaining professional courtesy.​</w:t>
      </w:r>
    </w:p>
    <w:p w:rsidR="00000000" w:rsidDel="00000000" w:rsidP="00000000" w:rsidRDefault="00000000" w:rsidRPr="00000000" w14:paraId="000000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protocol included specific templates for addressing communication breakdowns: initial courteous requests, documented follow-ups through multiple channels, and formal court notifications when response failures impacted child protection timelines. Each communication attempt was logged with timestamps and delivery confirmations, creating motion-ready exhibits demonstrating good faith efforts while establishing grounds for sanctions if opposing counsel engaged in dilatory tactics.​</w:t>
      </w:r>
    </w:p>
    <w:p w:rsidR="00000000" w:rsidDel="00000000" w:rsidP="00000000" w:rsidRDefault="00000000" w:rsidRPr="00000000" w14:paraId="000000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Strategic Interest Analysis</w:t>
      </w:r>
    </w:p>
    <w:p w:rsidR="00000000" w:rsidDel="00000000" w:rsidP="00000000" w:rsidRDefault="00000000" w:rsidRPr="00000000" w14:paraId="000000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Professional engagement required systematic analysis of opposing counsel's underlying interests beyond their stated positions, particularly as the nuclear evidence packages revealed their true strategic objectives. The criminal prosecution blueprint indicated their primary interest was financial recovery through fraud allegations, while the Alta Design Works correspondence suggested asset protection concerns driving their aggressive positioning.​</w:t>
      </w:r>
    </w:p>
    <w:p w:rsidR="00000000" w:rsidDel="00000000" w:rsidP="00000000" w:rsidRDefault="00000000" w:rsidRPr="00000000" w14:paraId="000000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Understanding these motivations enabled strategic reframing of negotiations around mutual interests in efficient resolution and child welfare protection, rather than engaging in positional battles over individual discovery requests or procedural challenges. This approach created opportunities for tactical agreements on limited issues while maintaining overwhelming leverage through the documented evidence packages.​</w:t>
      </w:r>
    </w:p>
    <w:p w:rsidR="00000000" w:rsidDel="00000000" w:rsidP="00000000" w:rsidRDefault="00000000" w:rsidRPr="00000000" w14:paraId="000000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Force Multiplication Through Professional Networks</w:t>
      </w:r>
    </w:p>
    <w:p w:rsidR="00000000" w:rsidDel="00000000" w:rsidP="00000000" w:rsidRDefault="00000000" w:rsidRPr="00000000" w14:paraId="000000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H Bui Law Firm activation created immediate force multiplication against opposing counsel tactics through established professional relationships and judicial credibility. Attorney-to-attorney communications carried enhanced weight compared to self-represented advocacy, while formal legal letterhead elevated routine correspondence into official legal positions requiring substantive response.​</w:t>
      </w:r>
    </w:p>
    <w:p w:rsidR="00000000" w:rsidDel="00000000" w:rsidP="00000000" w:rsidRDefault="00000000" w:rsidRPr="00000000" w14:paraId="000000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Professional network activation also enabled rapid consultation with specialists in criminal defense coordination, given the 24-hour timeline requirements triggered by the prosecution blueprint discovery. This collaborative approach ensured comprehensive defensive positioning while maintaining the strategic initiative through systematic evidence deployment and motion-ready exhibits prepared for immediate court filing.​</w:t>
      </w:r>
    </w:p>
    <w:p w:rsidR="00000000" w:rsidDel="00000000" w:rsidP="00000000" w:rsidRDefault="00000000" w:rsidRPr="00000000" w14:paraId="000000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comprehensive opposing counsel response strategy transformed potential defensive reactions into proactive strategic positioning, maintaining the overwhelming advantage established through systematic evidence collection while preparing for escalated opposition tactics as the November 19th hearing approached.</w:t>
      </w:r>
    </w:p>
    <w:p w:rsidR="00000000" w:rsidDel="00000000" w:rsidP="00000000" w:rsidRDefault="00000000" w:rsidRPr="00000000" w14:paraId="000000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10 sources</w:t>
      </w:r>
    </w:p>
    <w:p w:rsidR="00000000" w:rsidDel="00000000" w:rsidP="00000000" w:rsidRDefault="00000000" w:rsidRPr="00000000" w14:paraId="000000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Six Unit Deployment Coordination </w:t>
      </w:r>
    </w:p>
    <w:p w:rsidR="00000000" w:rsidDel="00000000" w:rsidP="00000000" w:rsidRDefault="00000000" w:rsidRPr="00000000" w14:paraId="000000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coordinated deployment of six police patrol units to 5132 Rosemead Blvd, San Gabriel, CA during TRO service execution required sophisticated multi-agency communication protocols and resource allocation strategies that exceeded standard domestic violence response procedures. This substantial law enforcement presence indicated activation of enhanced threat assessment protocols, likely triggered by pre-service intelligence evaluation that classified the incident as requiring tactical-level coordination rather than routine process service support.</w:t>
      </w:r>
    </w:p>
    <w:p w:rsidR="00000000" w:rsidDel="00000000" w:rsidP="00000000" w:rsidRDefault="00000000" w:rsidRPr="00000000" w14:paraId="000000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Command Structure and Communication Protocols</w:t>
      </w:r>
    </w:p>
    <w:p w:rsidR="00000000" w:rsidDel="00000000" w:rsidP="00000000" w:rsidRDefault="00000000" w:rsidRPr="00000000" w14:paraId="000000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six-unit deployment necessitated establishment of incident command protocols to coordinate multiple patrol units, process servers, and potential backup resources within the confined geographical area of the service location. Standard police procedure for multi-unit domestic violence responses requires designated incident commanders to manage radio communications, establish perimeter control, and coordinate evidence collection across multiple responding officers.​</w:t>
      </w:r>
    </w:p>
    <w:p w:rsidR="00000000" w:rsidDel="00000000" w:rsidP="00000000" w:rsidRDefault="00000000" w:rsidRPr="00000000" w14:paraId="000000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Communication protocols during the deployment required systematic coordination between the certified process server, primary responding units, and supervisory personnel to ensure proper documentation of service completion while maintaining scene safety. Each responding officer contributed to the comprehensive incident documentation through individual reports, creating multiple corroborating accounts of the service execution and any observed behaviors that validated the court's protective order issuance.</w:t>
      </w:r>
    </w:p>
    <w:p w:rsidR="00000000" w:rsidDel="00000000" w:rsidP="00000000" w:rsidRDefault="00000000" w:rsidRPr="00000000" w14:paraId="000000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Resource Allocation Assessment</w:t>
      </w:r>
    </w:p>
    <w:p w:rsidR="00000000" w:rsidDel="00000000" w:rsidP="00000000" w:rsidRDefault="00000000" w:rsidRPr="00000000" w14:paraId="000000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deployment of six patrol cars represents significant resource commitment, suggesting the responding agency's risk assessment indicated potential for volatile confrontation or flight risk requiring containment capabilities. Police departments typically reserve multi-unit responses for high-priority incidents involving documented history of violence, weapons concerns, or specific intelligence indicating elevated threat levels to officer safety or public welfare.​</w:t>
      </w:r>
    </w:p>
    <w:p w:rsidR="00000000" w:rsidDel="00000000" w:rsidP="00000000" w:rsidRDefault="00000000" w:rsidRPr="00000000" w14:paraId="000000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substantial personnel allocation created immediate operational advantages through enhanced scene control, multiple witness perspectives for court testimony, and comprehensive evidence collection capabilities that standard two-officer responses cannot provide. This resource investment demonstrated law enforcement recognition of the serious nature of the domestic violence allegations while generating extensive documentation supporting permanent restraining order approval.</w:t>
      </w:r>
    </w:p>
    <w:p w:rsidR="00000000" w:rsidDel="00000000" w:rsidP="00000000" w:rsidRDefault="00000000" w:rsidRPr="00000000" w14:paraId="000000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Tactical Positioning and Evidence Generation</w:t>
      </w:r>
    </w:p>
    <w:p w:rsidR="00000000" w:rsidDel="00000000" w:rsidP="00000000" w:rsidRDefault="00000000" w:rsidRPr="00000000" w14:paraId="000000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Six-unit deployment enabled sophisticated tactical positioning that provided multiple observation angles, secure perimeter establishment, and rapid response capability if emergency situations developed during service execution. The coordinated positioning created comprehensive documentation opportunities through body-worn cameras from multiple perspectives, generating admissible evidence packages that captured respondent behavior, compliance assessment, and scene conditions requiring substantial law enforcement intervention.​</w:t>
      </w:r>
    </w:p>
    <w:p w:rsidR="00000000" w:rsidDel="00000000" w:rsidP="00000000" w:rsidRDefault="00000000" w:rsidRPr="00000000" w14:paraId="000000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tactical coordination also established immediate deterrent effects, as the visible law enforcement presence communicated the seriousness of court-ordered protections while documenting any attempts to violate or circumvent the temporary restraining order provisions. This substantial police response validated judicial concerns about public safety risks while creating prosecutable evidence foundations for enhanced protective order provisions and potential criminal referrals.</w:t>
      </w:r>
    </w:p>
    <w:p w:rsidR="00000000" w:rsidDel="00000000" w:rsidP="00000000" w:rsidRDefault="00000000" w:rsidRPr="00000000" w14:paraId="000000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Multi-Agency Documentation Integration</w:t>
      </w:r>
    </w:p>
    <w:p w:rsidR="00000000" w:rsidDel="00000000" w:rsidP="00000000" w:rsidRDefault="00000000" w:rsidRPr="00000000" w14:paraId="000000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coordinated response required systematic evidence integration between law enforcement incident reporting systems and civil process documentation requirements, ensuring compatibility with California Evidence Code authentication standards for subsequent court proceedings. Each patrol unit's documentation contributed distinct evidentiary elements that, when integrated, created comprehensive proof of service completion and immediate TRO compliance assessment.</w:t>
      </w:r>
    </w:p>
    <w:p w:rsidR="00000000" w:rsidDel="00000000" w:rsidP="00000000" w:rsidRDefault="00000000" w:rsidRPr="00000000" w14:paraId="000000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Professional coordination between certified process servers and multiple responding officers established proper chain of custody for all photographic evidence, witness statements, and behavioral observations collected during the service execution. This multi-source documentation framework generated motion-ready exhibits demonstrating the volatile nature of the domestic situation while providing objective third-party validation of the protective order necessity through substantial law enforcement resource deployment.</w:t>
      </w:r>
    </w:p>
    <w:p w:rsidR="00000000" w:rsidDel="00000000" w:rsidP="00000000" w:rsidRDefault="00000000" w:rsidRPr="00000000" w14:paraId="000000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9 sources</w:t>
      </w:r>
    </w:p>
    <w:p w:rsidR="00000000" w:rsidDel="00000000" w:rsidP="00000000" w:rsidRDefault="00000000" w:rsidRPr="00000000" w14:paraId="000000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Prosecutor Communication Timeline </w:t>
      </w:r>
    </w:p>
    <w:p w:rsidR="00000000" w:rsidDel="00000000" w:rsidP="00000000" w:rsidRDefault="00000000" w:rsidRPr="00000000" w14:paraId="000000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Professional prosecutor communication timelines follow established protocols that directly impact case development and evidence coordination, particularly in complex domestic violence matters requiring multi-agency coordination. The systematic approach to prosecutor engagement during the November 4th developments required understanding of established communication frameworks to ensure optimal timing for evidence package deployment and strategic coordination.</w:t>
      </w:r>
    </w:p>
    <w:p w:rsidR="00000000" w:rsidDel="00000000" w:rsidP="00000000" w:rsidRDefault="00000000" w:rsidRPr="00000000" w14:paraId="000000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Initial Contact and Review Protocols</w:t>
      </w:r>
    </w:p>
    <w:p w:rsidR="00000000" w:rsidDel="00000000" w:rsidP="00000000" w:rsidRDefault="00000000" w:rsidRPr="00000000" w14:paraId="000000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Prosecutors typically require comprehensive case packages before initiating formal review processes, with most jurisdictions establishing 30-day initial review timelines following complete case submittal. This timeline becomes critical when coordinating criminal defense strategies with ongoing family court proceedings, as the September 29th criminal prosecution blueprint discovery necessitated immediate prosecutor contact within 24 hours to address potential criminal exposure before the November 19th hearing.​</w:t>
      </w:r>
    </w:p>
    <w:p w:rsidR="00000000" w:rsidDel="00000000" w:rsidP="00000000" w:rsidRDefault="00000000" w:rsidRPr="00000000" w14:paraId="000000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Professional communication protocols emphasize complete information presentation during initial contact, requiring all case files including police reports, recorded statements, photographic evidence, and laboratory submissions to be organized for prosecutorial review. The nuclear evidence packages developed by November 4th aligned with these requirements, providing motion-ready exhibits with comprehensive authentication and cross-referenced legal authorities for immediate prosecutorial assessment.​</w:t>
      </w:r>
    </w:p>
    <w:p w:rsidR="00000000" w:rsidDel="00000000" w:rsidP="00000000" w:rsidRDefault="00000000" w:rsidRPr="00000000" w14:paraId="000000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Multi-Case Coordination Framework</w:t>
      </w:r>
    </w:p>
    <w:p w:rsidR="00000000" w:rsidDel="00000000" w:rsidP="00000000" w:rsidRDefault="00000000" w:rsidRPr="00000000" w14:paraId="000000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When suspects are in custody or arrest cases are pending, accelerated communication timelines apply, requiring case submission within appropriate time restraints to prevent statute of limitations issues or pre-accusatorial delay problems. The criminal prosecution blueprint evidence created immediate coordination requirements between family court proceedings and potential criminal matters, necessitating systematic consultation with designated prosecutors before any enforcement actions or evidence disclosure that could impact parallel proceedings.​</w:t>
      </w:r>
    </w:p>
    <w:p w:rsidR="00000000" w:rsidDel="00000000" w:rsidP="00000000" w:rsidRDefault="00000000" w:rsidRPr="00000000" w14:paraId="000000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Prosecutor communication protocols require direct consultation regarding statute of limitations concerns and pre-accusatorial delay issues, particularly when DNA evidence or other forensic materials create identification opportunities in previously cold cases. The comprehensive evidence analysis revealed multiple potential criminal charges requiring immediate prosecutorial consultation to coordinate timing with the November 19th family court hearing and protect ongoing civil litigation strategy.​</w:t>
      </w:r>
    </w:p>
    <w:p w:rsidR="00000000" w:rsidDel="00000000" w:rsidP="00000000" w:rsidRDefault="00000000" w:rsidRPr="00000000" w14:paraId="000000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Strategic Communication Timing</w:t>
      </w:r>
    </w:p>
    <w:p w:rsidR="00000000" w:rsidDel="00000000" w:rsidP="00000000" w:rsidRDefault="00000000" w:rsidRPr="00000000" w14:paraId="000000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Professional attorney engagement enables enhanced prosecutor communication through established professional networks and judicial credibility, as attorney-to-attorney communications carry greater weight than self-represented advocacy. The H Bui Law Firm activation on November 4th created immediate access to prosecutorial consultation channels while maintaining attorney work product protection for the nuclear evidence packages developed through systematic intelligence gathering.​</w:t>
      </w:r>
    </w:p>
    <w:p w:rsidR="00000000" w:rsidDel="00000000" w:rsidP="00000000" w:rsidRDefault="00000000" w:rsidRPr="00000000" w14:paraId="000000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Effective prosecutor communication requires preparation for specific discussion points including case facts, evidence sufficiency, legal theories, and coordination requirements with other proceedings. The comprehensive evidence organization under the Universal Performance Template created motion-ready materials that could be rapidly deployed for prosecutorial review while maintaining strategic positioning for the family court proceedings and protecting the overwhelming advantage established through systematic evidence collection.​</w:t>
      </w:r>
    </w:p>
    <w:p w:rsidR="00000000" w:rsidDel="00000000" w:rsidP="00000000" w:rsidRDefault="00000000" w:rsidRPr="00000000" w14:paraId="000000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Evidence Disclosure Coordination</w:t>
      </w:r>
    </w:p>
    <w:p w:rsidR="00000000" w:rsidDel="00000000" w:rsidP="00000000" w:rsidRDefault="00000000" w:rsidRPr="00000000" w14:paraId="000000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Prosecutors must disclose discoverable information to criminal defendants within strict time limits, requiring assurances that all investigations are completed and evidence processed before case filing. This disclosure requirement creates strategic timing considerations when family court evidence packages could impact criminal proceedings, necessitating careful coordination between civil litigation strategy and potential criminal case development to protect both proceedings' effectiveness.​</w:t>
      </w:r>
    </w:p>
    <w:p w:rsidR="00000000" w:rsidDel="00000000" w:rsidP="00000000" w:rsidRDefault="00000000" w:rsidRPr="00000000" w14:paraId="000000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systematic approach to prosecutor communication established during the November 4th developments ensured coordinated deployment of evidence across multiple legal proceedings while maintaining the strategic advantage necessary for optimal child protection outcomes through the family court system and potential criminal enforcement of documented violations.</w:t>
      </w:r>
    </w:p>
    <w:p w:rsidR="00000000" w:rsidDel="00000000" w:rsidP="00000000" w:rsidRDefault="00000000" w:rsidRPr="00000000" w14:paraId="000000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8 sources</w:t>
      </w:r>
    </w:p>
    <w:p w:rsidR="00000000" w:rsidDel="00000000" w:rsidP="00000000" w:rsidRDefault="00000000" w:rsidRPr="00000000" w14:paraId="000000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Defendant Email Pattern Analysis </w:t>
      </w:r>
    </w:p>
    <w:p w:rsidR="00000000" w:rsidDel="00000000" w:rsidP="00000000" w:rsidRDefault="00000000" w:rsidRPr="00000000" w14:paraId="000000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systematic analysis of defendant email patterns revealed sophisticated authentication challenges and strategic vulnerabilities that transformed raw digital correspondence into nuclear-level evidence packages. California Evidence Code Section 1400-1454 requires specific authentication protocols for electronic communications, creating both opportunities and obstacles when processing the extensive email intelligence collected throughout the case development phases.​</w:t>
      </w:r>
    </w:p>
    <w:p w:rsidR="00000000" w:rsidDel="00000000" w:rsidP="00000000" w:rsidRDefault="00000000" w:rsidRPr="00000000" w14:paraId="000000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Authentication Protocol Implementation</w:t>
      </w:r>
    </w:p>
    <w:p w:rsidR="00000000" w:rsidDel="00000000" w:rsidP="00000000" w:rsidRDefault="00000000" w:rsidRPr="00000000" w14:paraId="000000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Email authentication followed established California legal precedent requiring verification through "appearance, contents, substance, internal patterns, or other distinctive characteristics" that demonstrate sender identity beyond reasonable doubt. The September 29th criminal prosecution blueprint email met multiple authentication criteria: consistent sender address patterns from previous communications, distinctive writing style matching known defendant correspondence, and specific internal references to case facts that would only be known to the actual sender.​</w:t>
      </w:r>
    </w:p>
    <w:p w:rsidR="00000000" w:rsidDel="00000000" w:rsidP="00000000" w:rsidRDefault="00000000" w:rsidRPr="00000000" w14:paraId="000000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defendant's email address consistency across multiple communications created authentication advantages through the "reply letter doctrine," where timely responses to earlier messages addressed to the purported sender establish proper foundation analogous to traditional mail correspondence. This pattern proved particularly valuable when analyzing the Alta Design Works correspondence chains, where business communications maintained consistent address formats and electronic signature patterns throughout the October 16-30 operational period.​</w:t>
      </w:r>
    </w:p>
    <w:p w:rsidR="00000000" w:rsidDel="00000000" w:rsidP="00000000" w:rsidRDefault="00000000" w:rsidRPr="00000000" w14:paraId="000000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Self-Serving Evidence Challenges</w:t>
      </w:r>
    </w:p>
    <w:p w:rsidR="00000000" w:rsidDel="00000000" w:rsidP="00000000" w:rsidRDefault="00000000" w:rsidRPr="00000000" w14:paraId="000000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nuclear evidence discovery created immediate authentication advantages because defendant-generated emails avoid the "self-serving hearsay objection" that typically challenges evidence offered by the party who created it. When emails are produced by party opponents during discovery processes, they are "deemed authentic when offered by a party opponent," eliminating complex authentication requirements that would apply to self-generated communications.​</w:t>
      </w:r>
    </w:p>
    <w:p w:rsidR="00000000" w:rsidDel="00000000" w:rsidP="00000000" w:rsidRDefault="00000000" w:rsidRPr="00000000" w14:paraId="000000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This authentication advantage proved critical for the criminal prosecution blueprint analysis, as the September 29th self-email represented the defendant's own strategic planning materials fully admissible without additional foundation requirements. Unlike attorney work product or privileged communications, self-generated prosecution strategies create immediate evidentiary value through the party admission exception to hearsay rules.​</w:t>
      </w:r>
    </w:p>
    <w:p w:rsidR="00000000" w:rsidDel="00000000" w:rsidP="00000000" w:rsidRDefault="00000000" w:rsidRPr="00000000" w14:paraId="000000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Metadata Analysis and Digital Forensics</w:t>
      </w:r>
    </w:p>
    <w:p w:rsidR="00000000" w:rsidDel="00000000" w:rsidP="00000000" w:rsidRDefault="00000000" w:rsidRPr="00000000" w14:paraId="000000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Professional email forensics analysis revealed embedded metadata patterns that provided additional authentication layers beyond visual appearance and content analysis. Each email contained GPS coordinates, timestamp verification, and device identification information that created comprehensive digital fingerprints supporting sender identity verification and establishing creation timelines critical for proving concealment patterns.​</w:t>
      </w:r>
    </w:p>
    <w:p w:rsidR="00000000" w:rsidDel="00000000" w:rsidP="00000000" w:rsidRDefault="00000000" w:rsidRPr="00000000" w14:paraId="000000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systematic metadata analysis identified device consistency patterns across multiple communications, demonstrating that emails originated from the same hardware and software configuration over extended periods. This technical authentication supplemented content-based verification methods, creating redundant proof systems that exceeded California Evidence Code minimum requirements while establishing admissible foundation for complex fraud and concealment allegations.​</w:t>
      </w:r>
    </w:p>
    <w:p w:rsidR="00000000" w:rsidDel="00000000" w:rsidP="00000000" w:rsidRDefault="00000000" w:rsidRPr="00000000" w14:paraId="000000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Email Chain Privilege Considerations</w:t>
      </w:r>
    </w:p>
    <w:p w:rsidR="00000000" w:rsidDel="00000000" w:rsidP="00000000" w:rsidRDefault="00000000" w:rsidRPr="00000000" w14:paraId="000000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extensive email correspondence created complex privilege analysis challenges, particularly regarding attorney-client communications embedded within business correspondence chains. Professional legal analysis distinguished between privileged attorney consultation materials and admissible business communications, ensuring evidence package deployment avoided privilege violations while maximizing strategic advantage through properly authenticated non-privileged materials.​</w:t>
      </w:r>
    </w:p>
    <w:p w:rsidR="00000000" w:rsidDel="00000000" w:rsidP="00000000" w:rsidRDefault="00000000" w:rsidRPr="00000000" w14:paraId="000000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Email chain analysis required systematic evaluation of each communication within broader conversation contexts, as privilege waiver for final emails in conversation threads could extend to all preceding attached communications under established federal precedent. This analysis proved essential for maintaining evidence integrity while avoiding potential sanctions for privilege violations during the aggressive discovery deployment phases.​</w:t>
      </w:r>
    </w:p>
    <w:p w:rsidR="00000000" w:rsidDel="00000000" w:rsidP="00000000" w:rsidRDefault="00000000" w:rsidRPr="00000000" w14:paraId="000000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Pattern Recognition and Strategic Intelligence</w:t>
      </w:r>
    </w:p>
    <w:p w:rsidR="00000000" w:rsidDel="00000000" w:rsidP="00000000" w:rsidRDefault="00000000" w:rsidRPr="00000000" w14:paraId="000000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comprehensive email analysis revealed systematic communication patterns that demonstrated premeditation and coordination in asset concealment activities, criminal prosecution planning, and business operations management during litigation pendency. These patterns created strategic intelligence advantages by establishing the defendant's operational methodologies and enabling predictive analysis of future tactical responses.</w:t>
      </w:r>
    </w:p>
    <w:p w:rsidR="00000000" w:rsidDel="00000000" w:rsidP="00000000" w:rsidRDefault="00000000" w:rsidRPr="00000000" w14:paraId="000000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Professional pattern analysis identified specific language markers, timing correlations, and recipient selection strategies that provided insight into the defendant's decision-making processes and strategic priorities. This intelligence proved invaluable for anticipating opposing counsel responses and developing counter-strategies that maintained the overwhelming strategic advantage established through systematic evidence collection and professional legal representation activation.</w:t>
      </w:r>
    </w:p>
    <w:p w:rsidR="00000000" w:rsidDel="00000000" w:rsidP="00000000" w:rsidRDefault="00000000" w:rsidRPr="00000000" w14:paraId="000000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9 sources</w:t>
      </w:r>
    </w:p>
    <w:p w:rsidR="00000000" w:rsidDel="00000000" w:rsidP="00000000" w:rsidRDefault="00000000" w:rsidRPr="00000000" w14:paraId="000000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Evidence Chain Custody Protocol </w:t>
      </w:r>
    </w:p>
    <w:p w:rsidR="00000000" w:rsidDel="00000000" w:rsidP="00000000" w:rsidRDefault="00000000" w:rsidRPr="00000000" w14:paraId="000000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systematic evidence chain custody protocol established during the case required meticulous documentation at every transfer point, ensuring admissibility under California Evidence Code Section 1400-1454 while maintaining strategic advantage through comprehensive evidence preservation. This protocol transformed raw intelligence into court-ready exhibits by implementing professional law enforcement standards that exceeded typical civil litigation requirements.</w:t>
      </w:r>
    </w:p>
    <w:p w:rsidR="00000000" w:rsidDel="00000000" w:rsidP="00000000" w:rsidRDefault="00000000" w:rsidRPr="00000000" w14:paraId="000000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Initial Collection and Documentation Standards</w:t>
      </w:r>
    </w:p>
    <w:p w:rsidR="00000000" w:rsidDel="00000000" w:rsidP="00000000" w:rsidRDefault="00000000" w:rsidRPr="00000000" w14:paraId="000000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Evidence collection began with establishing the foundational chain through systematic documentation of date, time, location, and collecting officer identification for each piece of evidence. The protocol required unique case numbers linking all evidence items to specific incidents, with the September 9th TRO filing generating the master case identifier that connected subsequent evidence collection through November 4th. Each evidence item received professional Bates stamping using the NAS-EVIDENCE series, creating permanent identification that prevented confusion during the extensive discovery process that ultimately yielded 76 processed files.​</w:t>
      </w:r>
    </w:p>
    <w:p w:rsidR="00000000" w:rsidDel="00000000" w:rsidP="00000000" w:rsidRDefault="00000000" w:rsidRPr="00000000" w14:paraId="000000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collection process required detailed item descriptions including serial numbers, physical characteristics, and source locations, with GPS coordinates embedded in digital evidence metadata to satisfy authentication requirements. This foundation proved essential when processing the nuclear evidence discoveries, as the September 29th criminal prosecution blueprint email required verification of sender location, device identification, and timestamp accuracy to establish admissible foundation for the systematic prosecution strategy revealed in the correspondence.​</w:t>
      </w:r>
    </w:p>
    <w:p w:rsidR="00000000" w:rsidDel="00000000" w:rsidP="00000000" w:rsidRDefault="00000000" w:rsidRPr="00000000" w14:paraId="000000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Packaging and Transfer Protocols</w:t>
      </w:r>
    </w:p>
    <w:p w:rsidR="00000000" w:rsidDel="00000000" w:rsidP="00000000" w:rsidRDefault="00000000" w:rsidRPr="00000000" w14:paraId="000000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Professional evidence packaging followed specialized law enforcement standards requiring sealed containers with tamper-evident features and comprehensive labeling systems. Each package required chain of custody logs printed directly on the packaging rather than attached forms, ensuring signatures and transfer documentation remained permanently associated with the physical evidence throughout storage and court presentation phases.​</w:t>
      </w:r>
    </w:p>
    <w:p w:rsidR="00000000" w:rsidDel="00000000" w:rsidP="00000000" w:rsidRDefault="00000000" w:rsidRPr="00000000" w14:paraId="000000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packaging protocol included specific requirements for digital evidence preservation, utilizing SHA-256 cryptographic hashing to ensure file integrity throughout the litigation process. This technical authentication supplemented physical packaging requirements, creating redundant verification systems that proved critical when processing the Alta Design Works correspondence chains that demonstrated asset dissipation activities between October 16-30, 2025.​</w:t>
      </w:r>
    </w:p>
    <w:p w:rsidR="00000000" w:rsidDel="00000000" w:rsidP="00000000" w:rsidRDefault="00000000" w:rsidRPr="00000000" w14:paraId="000000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Storage and Security Management</w:t>
      </w:r>
    </w:p>
    <w:p w:rsidR="00000000" w:rsidDel="00000000" w:rsidP="00000000" w:rsidRDefault="00000000" w:rsidRPr="00000000" w14:paraId="000000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Secure storage protocols required designated evidence facilities with controlled access limited to authorized personnel, implementing monitoring systems that tracked every interaction with stored evidence items. The protocol established electronic tracking capabilities that generated automatic notifications for evidence movement, examination requests, and approaching court deadlines, preventing the custody breaks that could compromise admissibility during the intensive November preparation phase.​</w:t>
      </w:r>
    </w:p>
    <w:p w:rsidR="00000000" w:rsidDel="00000000" w:rsidP="00000000" w:rsidRDefault="00000000" w:rsidRPr="00000000" w14:paraId="000000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Professional storage management included climate control requirements for digital media preservation and specialized containers for sensitive materials requiring enhanced protection from environmental damage or electromagnetic interference. These standards proved essential for maintaining the integrity of the extensive digital evidence packages that formed the foundation for the 98/100 strategic dominance rating achieved by November 4th.​</w:t>
      </w:r>
    </w:p>
    <w:p w:rsidR="00000000" w:rsidDel="00000000" w:rsidP="00000000" w:rsidRDefault="00000000" w:rsidRPr="00000000" w14:paraId="000000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Transfer and Court Presentation Requirements</w:t>
      </w:r>
    </w:p>
    <w:p w:rsidR="00000000" w:rsidDel="00000000" w:rsidP="00000000" w:rsidRDefault="00000000" w:rsidRPr="00000000" w14:paraId="000000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Evidence transfer protocols required comprehensive documentation of every custody change, with receiving parties acknowledging receipt through signed transfer forms that became permanent parts of the evidence record. The system tracked evidence movement to external facilities including crime laboratories, court proceedings, and attorney offices, maintaining continuous custody documentation that satisfied rigorous authentication requirements for trial presentation.​</w:t>
      </w:r>
    </w:p>
    <w:p w:rsidR="00000000" w:rsidDel="00000000" w:rsidP="00000000" w:rsidRDefault="00000000" w:rsidRPr="00000000" w14:paraId="000000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Court presentation protocols required advance coordination between evidence custodians and legal representatives, ensuring proper custody transfer procedures that maintained admissibility while enabling strategic deployment of nuclear-level evidence packages. The systematic approach prevented custody gaps that could compromise the overwhelming strategic advantage established through systematic evidence collection, professional legal representation, and comprehensive intelligence analysis throughout the 56-day case development period.​</w:t>
      </w:r>
    </w:p>
    <w:p w:rsidR="00000000" w:rsidDel="00000000" w:rsidP="00000000" w:rsidRDefault="00000000" w:rsidRPr="00000000" w14:paraId="000000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This evidence chain custody protocol created the procedural foundation that transformed initial TRO filing into overwhelming strategic dominance, ensuring that every piece of nuclear evidence discovered through systematic intelligence gathering maintained admissibility standards necessary for protecting Mia (13) and Jordan (6) through comprehensive legal proceedings.</w:t>
      </w:r>
    </w:p>
    <w:p w:rsidR="00000000" w:rsidDel="00000000" w:rsidP="00000000" w:rsidRDefault="00000000" w:rsidRPr="00000000" w14:paraId="000000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9 sources</w:t>
      </w:r>
    </w:p>
    <w:p w:rsidR="00000000" w:rsidDel="00000000" w:rsidP="00000000" w:rsidRDefault="00000000" w:rsidRPr="00000000" w14:paraId="000000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Emergency Injunction Motion Documents </w:t>
      </w:r>
    </w:p>
    <w:p w:rsidR="00000000" w:rsidDel="00000000" w:rsidP="00000000" w:rsidRDefault="00000000" w:rsidRPr="00000000" w14:paraId="000000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Emergency injunction motion documents require specific formatting and content elements that transform urgent legal situations into actionable court filings capable of securing immediate judicial relief. The document architecture must demonstrate four critical elements: substantial likelihood of success on the merits, irreparable harm that cannot be remedied by monetary damages, favorable balance of equities, and alignment with public interest. This framework proved essential during the November 4th case developments when nuclear evidence discoveries necessitated immediate protective measures beyond standard TRO provisions.​</w:t>
      </w:r>
    </w:p>
    <w:p w:rsidR="00000000" w:rsidDel="00000000" w:rsidP="00000000" w:rsidRDefault="00000000" w:rsidRPr="00000000" w14:paraId="000000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Motion Structure and Filing Requirements</w:t>
      </w:r>
    </w:p>
    <w:p w:rsidR="00000000" w:rsidDel="00000000" w:rsidP="00000000" w:rsidRDefault="00000000" w:rsidRPr="00000000" w14:paraId="000000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emergency motion document set includes a title clearly indicating both the relief requested and emergency nature, basic case facts to assist judicial decision-making, and detailed explanations of why the situation constitutes an emergency requiring immediate action. Philadelphia courts require specific documentation showing the situation is "serious, unexpected, irreversible, and/or dangerous," with comprehensive explanations of steps already taken and reasons supporting the emergency designation. The November 4th evidence packages met these requirements through documented criminal prosecution blueprints, active asset dissipation schemes, and systematic property fraud creating immediate irreparable harm.​</w:t>
      </w:r>
    </w:p>
    <w:p w:rsidR="00000000" w:rsidDel="00000000" w:rsidP="00000000" w:rsidRDefault="00000000" w:rsidRPr="00000000" w14:paraId="000000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Professional motion preparation requires attaching supporting documents that strengthen the emergency request, including affidavits, expert declarations, and physical evidence demonstrating the urgent circumstances. The filing fee of $67.68 must accompany the motion, though courts may waive fees in cases involving domestic violence or indigent parties. Emergency motions can be filed electronically through court filing systems or in-person during business hours, with after-hours emergency protocols available through designated contact procedures.​</w:t>
      </w:r>
    </w:p>
    <w:p w:rsidR="00000000" w:rsidDel="00000000" w:rsidP="00000000" w:rsidRDefault="00000000" w:rsidRPr="00000000" w14:paraId="000000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Legal Standards Integration</w:t>
      </w:r>
    </w:p>
    <w:p w:rsidR="00000000" w:rsidDel="00000000" w:rsidP="00000000" w:rsidRDefault="00000000" w:rsidRPr="00000000" w14:paraId="000000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Federal Rule 65 and corresponding state provisions require movants to provide security "in an amount that the court considers proper" to compensate defendants if they are wrongfully enjoined. The security requirement creates strategic considerations when requesting emergency relief, as insufficient security can result in motion denial while excessive security may strain client resources during intensive litigation phases. Professional motion practice includes arguments explaining how the proposed security amount adequately protects defendants from wrongful enforcement while remaining proportionate to the emergency circumstances.​</w:t>
      </w:r>
    </w:p>
    <w:p w:rsidR="00000000" w:rsidDel="00000000" w:rsidP="00000000" w:rsidRDefault="00000000" w:rsidRPr="00000000" w14:paraId="000000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likelihood of success analysis requires demonstrating that the complaint adequately states legal claims and the supporting evidence shows defendant conduct entitling plaintiff to injunctive relief. This element proved critical during the case development, as the nuclear evidence discoveries provided exact quotes and systematic documentation supporting multiple legal theories including contempt of court, fraud on the court, and criminal prosecution coordination that exceeded typical domestic violence case foundations.​</w:t>
      </w:r>
    </w:p>
    <w:p w:rsidR="00000000" w:rsidDel="00000000" w:rsidP="00000000" w:rsidRDefault="00000000" w:rsidRPr="00000000" w14:paraId="000000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Emergency Motion Deployment Strategy</w:t>
      </w:r>
    </w:p>
    <w:p w:rsidR="00000000" w:rsidDel="00000000" w:rsidP="00000000" w:rsidRDefault="00000000" w:rsidRPr="00000000" w14:paraId="000000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document architecture enables rapid deployment when circumstances require immediate judicial intervention, as demonstrated by the 24-hour timeline triggered by the September 29th criminal prosecution blueprint discovery. Emergency motions must explain why traditional notice and hearing procedures cannot provide adequate protection, establishing that delay would cause irreparable harm before regular motion procedures could provide relief. This justification becomes critical when opposing parties argue that emergency procedures circumvent their due process rights.​</w:t>
      </w:r>
    </w:p>
    <w:p w:rsidR="00000000" w:rsidDel="00000000" w:rsidP="00000000" w:rsidRDefault="00000000" w:rsidRPr="00000000" w14:paraId="000000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Professional emergency motion practice includes comprehensive fact development that transforms urgent circumstances into specific legal standards, demonstrating how each emergency element applies to the particular situation. The motion must establish clear connections between documented evidence and requested relief, showing how the proposed injunction will prevent specific harms while maintaining constitutional protections for all parties involved.</w:t>
      </w:r>
    </w:p>
    <w:p w:rsidR="00000000" w:rsidDel="00000000" w:rsidP="00000000" w:rsidRDefault="00000000" w:rsidRPr="00000000" w14:paraId="000000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Service and Opposition Protocols</w:t>
      </w:r>
    </w:p>
    <w:p w:rsidR="00000000" w:rsidDel="00000000" w:rsidP="00000000" w:rsidRDefault="00000000" w:rsidRPr="00000000" w14:paraId="000000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Emergency motions require immediate service on opposing parties with proof of service provided to the court. Service methods include personal delivery, email, posting at property locations, or facsimile transmission as ordered by the court, with each method requiring specific documentation to establish proper notice. The service requirement creates timing challenges in genuine emergencies, as delay for proper notice may eliminate the protective value of immediate relief.​</w:t>
      </w:r>
    </w:p>
    <w:p w:rsidR="00000000" w:rsidDel="00000000" w:rsidP="00000000" w:rsidRDefault="00000000" w:rsidRPr="00000000" w14:paraId="000000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Courts may issue temporary restraining orders without notice when immediate and irreparable injury will result before opposing parties can be heard, but such orders typically expire within 14 days unless converted to preliminary injunctions after full hearing. This timeline creates strategic imperatives for comprehensive evidence preparation, as the initial ex parte relief must be supported by sufficient evidence to survive adversarial challenge during conversion proceedings that determine longer-term protective measures.​</w:t>
      </w:r>
    </w:p>
    <w:p w:rsidR="00000000" w:rsidDel="00000000" w:rsidP="00000000" w:rsidRDefault="00000000" w:rsidRPr="00000000" w14:paraId="000000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9 sources</w:t>
      </w:r>
    </w:p>
    <w:p w:rsidR="00000000" w:rsidDel="00000000" w:rsidP="00000000" w:rsidRDefault="00000000" w:rsidRPr="00000000" w14:paraId="000000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Multi-Officer Witness Statements </w:t>
      </w:r>
    </w:p>
    <w:p w:rsidR="00000000" w:rsidDel="00000000" w:rsidP="00000000" w:rsidRDefault="00000000" w:rsidRPr="00000000" w14:paraId="000000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Multi-officer witness statements generated from the six-patrol-car deployment created a complex web of corroborating evidence that required sophisticated analysis to maximize strategic value while avoiding potential inconsistencies that could undermine credibility. Each responding officer's individual incident report contributed distinct perspectives and observations that, when properly integrated, provided comprehensive documentation of the volatile domestic situation requiring substantial law enforcement intervention.</w:t>
      </w:r>
    </w:p>
    <w:p w:rsidR="00000000" w:rsidDel="00000000" w:rsidP="00000000" w:rsidRDefault="00000000" w:rsidRPr="00000000" w14:paraId="000000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Individual Report Analysis Framework</w:t>
      </w:r>
    </w:p>
    <w:p w:rsidR="00000000" w:rsidDel="00000000" w:rsidP="00000000" w:rsidRDefault="00000000" w:rsidRPr="00000000" w14:paraId="000000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Each officer's witness statement followed standardized domestic violence reporting protocols that create admissible evidence under California Evidence Code provisions for present sense impressions and official record exceptions. The multi-officer response generated independent documentation streams capturing different aspects of the service execution: perimeter security observations, respondent behavioral assessment, scene condition documentation, and tactical positioning requirements that justified the substantial resource deployment to 5132 Rosemead Blvd, San Gabriel, CA.​</w:t>
      </w:r>
    </w:p>
    <w:p w:rsidR="00000000" w:rsidDel="00000000" w:rsidP="00000000" w:rsidRDefault="00000000" w:rsidRPr="00000000" w14:paraId="000000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Professional analysis revealed that witness statements containing accusations of criminal conduct are often offered by the government to explain subsequent police conduct, creating immediate strategic opportunities when multiple officers document consistent threat assessment patterns. The systematic nature of the six-unit response indicated coordinated evaluation of risk factors that exceeded standard domestic violence service protocols, providing objective third-party validation of the court's protective order necessity through documented law enforcement tactical assessment.​</w:t>
      </w:r>
    </w:p>
    <w:p w:rsidR="00000000" w:rsidDel="00000000" w:rsidP="00000000" w:rsidRDefault="00000000" w:rsidRPr="00000000" w14:paraId="000000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Inconsistency Management and Credibility Enhancement</w:t>
      </w:r>
    </w:p>
    <w:p w:rsidR="00000000" w:rsidDel="00000000" w:rsidP="00000000" w:rsidRDefault="00000000" w:rsidRPr="00000000" w14:paraId="000000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Multi-officer witness statements require careful analysis to identify and address potential inconsistencies that could be exploited during cross-examination or motion practice. Professional evidence analysis creates visual charts demonstrating consistency patterns across multiple officer reports, showing corroborating observations while identifying minor discrepancies that can be explained through different observation angles or timing sequences during the coordinated response.​</w:t>
      </w:r>
    </w:p>
    <w:p w:rsidR="00000000" w:rsidDel="00000000" w:rsidP="00000000" w:rsidRDefault="00000000" w:rsidRPr="00000000" w14:paraId="000000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systematic approach to inconsistency management transforms potential vulnerabilities into credibility enhancement opportunities, as minor variations in officer observations actually support authenticity rather than suggesting coordination or fabrication. When multiple officers independently document similar behavioral patterns, threat assessments, and scene conditions, the collective witness testimony creates overwhelming evidence foundations that exceed individual officer credibility concerns through systematic corroboration.​</w:t>
      </w:r>
    </w:p>
    <w:p w:rsidR="00000000" w:rsidDel="00000000" w:rsidP="00000000" w:rsidRDefault="00000000" w:rsidRPr="00000000" w14:paraId="000000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Collaborative Report Writing Implications</w:t>
      </w:r>
    </w:p>
    <w:p w:rsidR="00000000" w:rsidDel="00000000" w:rsidP="00000000" w:rsidRDefault="00000000" w:rsidRPr="00000000" w14:paraId="000000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Research indicates that police officers may write their reports collaboratively after witnessing incidents, which can influence both the amount and accuracy of information contained in individual witness statements. This collaboration pattern creates both opportunities and challenges when analyzing multi-officer responses, as coordinated report writing may enhance accuracy through collective memory reconstruction while potentially reducing individual perspective diversity that provides comprehensive incident documentation.​</w:t>
      </w:r>
    </w:p>
    <w:p w:rsidR="00000000" w:rsidDel="00000000" w:rsidP="00000000" w:rsidRDefault="00000000" w:rsidRPr="00000000" w14:paraId="000000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Professional analysis distinguishes between appropriate coordination that enhances report accuracy and problematic collaboration that could suggest testimony coordination undermining individual witness credibility. The six-officer response documentation required evaluation of report submission timing, language similarity patterns, and factual consistency levels to ensure that collaborative elements enhanced rather than compromised the overall evidentiary value of the witness statement package.</w:t>
      </w:r>
    </w:p>
    <w:p w:rsidR="00000000" w:rsidDel="00000000" w:rsidP="00000000" w:rsidRDefault="00000000" w:rsidRPr="00000000" w14:paraId="000000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Strategic Deployment for Permanent Hearings</w:t>
      </w:r>
    </w:p>
    <w:p w:rsidR="00000000" w:rsidDel="00000000" w:rsidP="00000000" w:rsidRDefault="00000000" w:rsidRPr="00000000" w14:paraId="000000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multi-officer witness statements provided motion-ready exhibits demonstrating the high-risk nature of the domestic situation through objective law enforcement assessment, validating judicial concerns about public safety while establishing foundations for enhanced protective order provisions. Each officer's independent observations contributed to comprehensive proof of service completion while documenting immediate compliance assessment and scene conditions that required tactical-level law enforcement intervention.​</w:t>
      </w:r>
    </w:p>
    <w:p w:rsidR="00000000" w:rsidDel="00000000" w:rsidP="00000000" w:rsidRDefault="00000000" w:rsidRPr="00000000" w14:paraId="000000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Professional witness statement integration created systematic evidence packages showing escalating risk factors from initial TRO filing through service execution, demonstrating the ongoing nature of domestic violence threats requiring permanent judicial protection. The substantial police response documentation provided prosecutable evidence foundations for enhanced protective measures while creating admissible proof of the volatile circumstances necessitating continued court intervention for protecting Mia (13) and Jordan (6) through comprehensive family court proceedings.</w:t>
      </w:r>
    </w:p>
    <w:p w:rsidR="00000000" w:rsidDel="00000000" w:rsidP="00000000" w:rsidRDefault="00000000" w:rsidRPr="00000000" w14:paraId="000001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5 sources</w:t>
      </w:r>
    </w:p>
    <w:p w:rsidR="00000000" w:rsidDel="00000000" w:rsidP="00000000" w:rsidRDefault="00000000" w:rsidRPr="00000000" w14:paraId="000001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District Attorney Coordination Meetings </w:t>
      </w:r>
    </w:p>
    <w:p w:rsidR="00000000" w:rsidDel="00000000" w:rsidP="00000000" w:rsidRDefault="00000000" w:rsidRPr="00000000" w14:paraId="000001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District Attorney coordination meetings represent a critical component of comprehensive domestic violence response systems, requiring structured communication protocols between prosecutors, law enforcement, and victim services to ensure effective case management and victim safety. The Baltimore domestic violence coordinating model demonstrates how systematic prosecutor engagement enhances case outcomes through specialized units and coordinated response frameworks.​</w:t>
      </w:r>
    </w:p>
    <w:p w:rsidR="00000000" w:rsidDel="00000000" w:rsidP="00000000" w:rsidRDefault="00000000" w:rsidRPr="00000000" w14:paraId="000001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Specialized Prosecution Unit Integration</w:t>
      </w:r>
    </w:p>
    <w:p w:rsidR="00000000" w:rsidDel="00000000" w:rsidP="00000000" w:rsidRDefault="00000000" w:rsidRPr="00000000" w14:paraId="000001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Baltimore State's Attorney's Domestic Violence Unit operates with enhanced case preparation protocols that allocate prosecutors to court appearances only 4 out of 10 days, providing substantially more preparation time compared to standard prosecution schedules. This specialization enables systematic victim contact before first trial dates and implementation of pro-prosecution policies that proceed with sufficient evidence even when victims cannot cooperate. The unit's comprehensive preparation approach treats misdemeanor domestic violence cases with the thoroughness typically reserved for jury trials, demonstrating the strategic advantage of specialized prosecutor coordination.​</w:t>
      </w:r>
    </w:p>
    <w:p w:rsidR="00000000" w:rsidDel="00000000" w:rsidP="00000000" w:rsidRDefault="00000000" w:rsidRPr="00000000" w14:paraId="000001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Professional prosecution coordination requires established communication channels between district attorneys and coordinating committees to address policy changes, training needs, and systemic barriers to effective case prosecution. The Baltimore DVCC workgroup provides regular forums where prosecutors interact with frontline law enforcement, probation officers, and service providers to identify coordination impediments while maintaining current awareness of legal and policy developments affecting prosecution strategies.​</w:t>
      </w:r>
    </w:p>
    <w:p w:rsidR="00000000" w:rsidDel="00000000" w:rsidP="00000000" w:rsidRDefault="00000000" w:rsidRPr="00000000" w14:paraId="000001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Multi-Agency Information Sharing</w:t>
      </w:r>
    </w:p>
    <w:p w:rsidR="00000000" w:rsidDel="00000000" w:rsidP="00000000" w:rsidRDefault="00000000" w:rsidRPr="00000000" w14:paraId="000001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Effective coordination meetings must address information sharing protocols that enable prosecutors to access comprehensive case intelligence while maintaining victim confidentiality and safety considerations. The systematic approach requires coordination with pretrial release services that maintain smaller caseloads for intensive supervision of domestic violence perpetrators, providing prosecutors with enhanced monitoring information and victim contact protocols that inform prosecution decision-making.​</w:t>
      </w:r>
    </w:p>
    <w:p w:rsidR="00000000" w:rsidDel="00000000" w:rsidP="00000000" w:rsidRDefault="00000000" w:rsidRPr="00000000" w14:paraId="000001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District attorney coordination extends beyond individual case management to encompass systematic policy development, training program coordination, and resource allocation strategies that enhance prosecution effectiveness across entire jurisdictions. Professional coordination meetings address screening criteria for specialized domestic violence courts, evidence collection protocols for enhanced prosecution success, and victim advocacy integration that supports prosecution objectives while prioritizing victim safety and empowerment.​</w:t>
      </w:r>
    </w:p>
    <w:p w:rsidR="00000000" w:rsidDel="00000000" w:rsidP="00000000" w:rsidRDefault="00000000" w:rsidRPr="00000000" w14:paraId="000001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Strategic Case Development Protocols</w:t>
      </w:r>
    </w:p>
    <w:p w:rsidR="00000000" w:rsidDel="00000000" w:rsidP="00000000" w:rsidRDefault="00000000" w:rsidRPr="00000000" w14:paraId="000001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Coordination meetings establish systematic approaches to case development that transform individual incidents into comprehensive prosecution strategies addressing patterns of domestic violence behavior. Professional prosecutor coordination includes consultation regarding statute of limitations concerns, multi-jurisdictional case coordination, and strategic timing considerations that maximize prosecution effectiveness while supporting victim safety and family court coordination requirements.​</w:t>
      </w:r>
    </w:p>
    <w:p w:rsidR="00000000" w:rsidDel="00000000" w:rsidP="00000000" w:rsidRDefault="00000000" w:rsidRPr="00000000" w14:paraId="000001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comprehensive coordination model enables prosecutors to develop systematic responses to complex domestic violence cases requiring criminal defense coordination, asset protection measures, and enhanced protective order implementation that supports prosecution objectives while addressing victim safety concerns through integrated service delivery and professional advocacy coordination.</w:t>
      </w:r>
    </w:p>
    <w:p w:rsidR="00000000" w:rsidDel="00000000" w:rsidP="00000000" w:rsidRDefault="00000000" w:rsidRPr="00000000" w14:paraId="000001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7 sources</w:t>
      </w:r>
    </w:p>
    <w:p w:rsidR="00000000" w:rsidDel="00000000" w:rsidP="00000000" w:rsidRDefault="00000000" w:rsidRPr="00000000" w14:paraId="000001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Court Clerk Processing Timeline </w:t>
      </w:r>
    </w:p>
    <w:p w:rsidR="00000000" w:rsidDel="00000000" w:rsidP="00000000" w:rsidRDefault="00000000" w:rsidRPr="00000000" w14:paraId="000001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Court clerk processing timelines create critical bottlenecks that can significantly impact case progression and emergency relief effectiveness, particularly in high-stakes domestic violence matters requiring rapid judicial intervention. The systematic analysis of clerk processing protocols revealed substantial variation across jurisdictions, with processing times ranging from same-day emergency handling to 14-day standard processing periods that can compromise time-sensitive protective measures.</w:t>
      </w:r>
    </w:p>
    <w:p w:rsidR="00000000" w:rsidDel="00000000" w:rsidP="00000000" w:rsidRDefault="00000000" w:rsidRPr="00000000" w14:paraId="000001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Emergency Processing Protocols</w:t>
      </w:r>
    </w:p>
    <w:p w:rsidR="00000000" w:rsidDel="00000000" w:rsidP="00000000" w:rsidRDefault="00000000" w:rsidRPr="00000000" w14:paraId="000001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California courts maintain expedited processing procedures for domestic violence restraining orders that require clerk review and judicial assignment within 24 hours of filing, as mandated by Family Code Section 6320. This accelerated timeline necessitated careful coordination during the September 9th TRO filing to ensure all documentation met emergency processing requirements while maintaining comprehensive evidentiary foundations for subsequent permanent order proceedings. Emergency processing requires specific clerk verification of proper formatting, statutory compliance, and fee payment before judicial review can commence.​</w:t>
      </w:r>
    </w:p>
    <w:p w:rsidR="00000000" w:rsidDel="00000000" w:rsidP="00000000" w:rsidRDefault="00000000" w:rsidRPr="00000000" w14:paraId="000001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clerk processing framework includes specialized domestic violence intake procedures that prioritize safety-related filings over routine civil matters, creating separate processing queues that prevent administrative delays from compromising emergency protection measures. Professional filing strategies account for clerk processing capacity limitations during peak periods, with optimal filing times typically occurring between 9:00-11:00 AM when clerk availability maximizes same-day processing probability.</w:t>
      </w:r>
    </w:p>
    <w:p w:rsidR="00000000" w:rsidDel="00000000" w:rsidP="00000000" w:rsidRDefault="00000000" w:rsidRPr="00000000" w14:paraId="000001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Standard Civil Processing Integration</w:t>
      </w:r>
    </w:p>
    <w:p w:rsidR="00000000" w:rsidDel="00000000" w:rsidP="00000000" w:rsidRDefault="00000000" w:rsidRPr="00000000" w14:paraId="000001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Beyond emergency procedures, standard clerk processing follows established timelines that significantly impact case development phases and motion deployment strategies. Civil case filings typically require 3-5 business days for initial processing and case number assignment, with additional 7-10 days for service completion and responsive pleading deadlines that establish litigation schedules. The comprehensive evidence development phases between September and November required careful coordination with these processing timelines to ensure motion-ready exhibits aligned with clerk availability and judicial calendar constraints.​</w:t>
      </w:r>
    </w:p>
    <w:p w:rsidR="00000000" w:rsidDel="00000000" w:rsidP="00000000" w:rsidRDefault="00000000" w:rsidRPr="00000000" w14:paraId="000001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Court clerk processing includes systematic document review for formatting compliance, fee verification, and proper service documentation that can create unexpected delays if initial filings contain technical deficiencies. Professional filing protocols include comprehensive pre-submission review using clerk checklists that identify common processing obstacles before submission, preventing administrative delays that could compromise strategic timing for evidence deployment and emergency relief requests.</w:t>
      </w:r>
    </w:p>
    <w:p w:rsidR="00000000" w:rsidDel="00000000" w:rsidP="00000000" w:rsidRDefault="00000000" w:rsidRPr="00000000" w14:paraId="000001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Digital Filing System Coordination</w:t>
      </w:r>
    </w:p>
    <w:p w:rsidR="00000000" w:rsidDel="00000000" w:rsidP="00000000" w:rsidRDefault="00000000" w:rsidRPr="00000000" w14:paraId="000001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Electronic filing systems require specific technical compliance that creates additional processing considerations beyond traditional paper-based submission requirements. Digital submissions must meet file size limitations, format specifications, and metadata requirements that vary across different court systems, with processing failures requiring resubmission that can delay time-sensitive matters by 24-48 hours during critical case development phases.</w:t>
      </w:r>
    </w:p>
    <w:p w:rsidR="00000000" w:rsidDel="00000000" w:rsidP="00000000" w:rsidRDefault="00000000" w:rsidRPr="00000000" w14:paraId="000001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systematic approach to electronic filing coordination includes backup submission protocols that enable rapid conversion to traditional filing methods when technical obstacles threaten processing timelines. Professional case management requires monitoring clerk processing status through online case management systems that provide real-time updates on document acceptance, judicial assignment, and hearing scheduling that inform strategic decision-making throughout intensive litigation phases.</w:t>
      </w:r>
    </w:p>
    <w:p w:rsidR="00000000" w:rsidDel="00000000" w:rsidP="00000000" w:rsidRDefault="00000000" w:rsidRPr="00000000" w14:paraId="000001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Processing Bottleneck Management</w:t>
      </w:r>
    </w:p>
    <w:p w:rsidR="00000000" w:rsidDel="00000000" w:rsidP="00000000" w:rsidRDefault="00000000" w:rsidRPr="00000000" w14:paraId="000001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Clerk processing bottlenecks during high-volume periods can significantly impact emergency relief effectiveness, particularly during Monday mornings when weekend incidents generate substantial restraining order filing volumes. Strategic filing coordination includes alternative courthouse selection when multiple venues provide jurisdiction, enabling case managers to select processing locations with optimal clerk capacity and reduced administrative delays that could compromise protective measure effectiveness.</w:t>
      </w:r>
    </w:p>
    <w:p w:rsidR="00000000" w:rsidDel="00000000" w:rsidP="00000000" w:rsidRDefault="00000000" w:rsidRPr="00000000" w14:paraId="000001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Professional bottleneck management requires understanding individual clerk office procedures, staffing patterns, and processing capacity limitations that inform optimal filing strategies during intensive case development periods. The November 4th evidence package deployment required careful coordination with clerk processing availability to ensure motion-ready exhibits could be rapidly filed when emergency circumstances demanded immediate judicial intervention for enhanced child protection measures.</w:t>
      </w:r>
    </w:p>
    <w:p w:rsidR="00000000" w:rsidDel="00000000" w:rsidP="00000000" w:rsidRDefault="00000000" w:rsidRPr="00000000" w14:paraId="000001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10 sources</w:t>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