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3d2f32a057eca62dcc2e674b1f3acafb270da61dce39e717296c37a821e23cb6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2025-11-02T00:42:45.404292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Texts with rob.eml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Texts with rob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22:41:39 -0700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&lt;CAEaMCuGt2j8dUGxti47uYSt09vjn0C7iHOtpnZEZvvbPjGoHbA@mail.gmail.com&gt;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of Text Messages with “Machete” (Rob González)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Fahed “Freddy” Sayegh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Context and intent of July–October text thread regarding the “DJ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Machete” name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were informal, friend-to-friend messages. I was not acting as Rob’s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attorney, gave no legal analysis, charged no fee, and did not contact any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party. Where I floated “$25,000 and change your name,” it was obvious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hyperbole; Rob immediately replied “You’re kidding right?” with laugh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 / capacity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Rob and I are longtime friends in the music scene.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have no attorney–client agreement, no fee, and no expectation of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legal services.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never told him I represented him, and he never asked me to represent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him.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texts show (key call-outs)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Rob’s initial ask (July 1, 11:39 AM): He tells me someone else is using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“Machete,” says he doesn’t have a U.S. trademark, and asks “What can I do?”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My joking line (blue bubble): “Write him an apology… change your name…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pay no less than $25,000.” This is joking hyperbole; it is immediately met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“You’re kidding right?” and “ha ha” reactions.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Courtesy draft (blue block): I sent a PR-style, respectful outreach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template (subject line “Request to Resolve Name Confusion”). It avoids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threats or legal demands and aims to de-escalate. Rob says he’s “ok with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this… made some minor edits… will only escalate if necessary.”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Self-help direction (July 8, 11:21 AM): I text, “Looks like you might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want to try to register it yourself NOW,” meaning he should handle any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filing himself or with his own counsel.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Later chatter (mid–late July): He updates me about confusion with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promoters and asks generic questions. I do not provide analysis or contact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anyone.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Personal tone: The thread also includes friendly logistics and his kids’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birthday invite—underscoring this was a personal conversation, not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professional work.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did not do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analyze trademark law, rights, or defenses.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draft, send, or threaten any cease-and-desist or other legal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notice.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negotiate with, or communicate to, any third party (DJ,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promoter, platform, or lawyer).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accept or request any payment, nor did I keep time or create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“work product.”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label the exhibits (helpful for your binder)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A (July 1): Rob’s initial gray texts + my blue “$25k/change your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name” line → immediately followed by “You’re kidding right?” and laugh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reactions.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B (July 1): My blue courtesy communication template (“Request to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Resolve Name Confusion”)—explicitly non-legal tone.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C (July 8): My blue “register it yourself NOW” text.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D (mid–late July): Rob’s follow-ups about confusion; no legal steps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by me.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E (Oct 11): Kids’ birthday invite—personal context.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One-paragraph summary for you to use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“These screenshots reflect a casual conversation between friends. Mr.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did not represent Mr. González, charged no fee, gave no legal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analysis, and sent no communications to any third party. The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‘$25,000/change your name’ line was a joke, as evidenced by the immediate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‘You’re kidding right?’ and laugh reactions. The long blue message is 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courtesy PR template meant to de-escalate, not a legal demand. Mr. Sayegh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expressly directed Rob to ‘register it yourself NOW,’ confirming that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Rob—not Mr. Sayegh—should handle any filing or seek his own counsel.”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