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[PROPOSED] PROTECTIVE ORDER (HIPAA QUALIFIED PROTECTIVE ORDER; ATTORNEYS’ EYES ONLY FOR CHILD INTERVIEW)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 PURPOSE. This Order permits production of narrowly tailored confidential information for use only in this action and protects against unnecessary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rdo" w:cs="Cardo" w:eastAsia="Cardo" w:hAnsi="Cardo"/>
          <w:b w:val="0"/>
          <w:bCs w:val="0"/>
          <w:sz w:val="24"/>
          <w:szCs w:val="24"/>
          <w:rtl w:val="0"/>
        </w:rPr>
        <w:t xml:space="preserve">2. SCOPE. “Protected Material” includes: (a) medical “personal records” (CCP § 1985.3) produced by Keck Medicine, Medical Weight Loss &amp; Beauty/Dr. James Kojian, and LA Beauty Skin Center/Dr. Arman F. Karapetyan; (b) any WIC § 827 materials disclosed by Court order; and (c) native text exports/forensic extracts limited to the June 1–15, 2025 Nuha↔Mia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 HIPAA QUALIFIED PROTECTIVE ORDER (45 C.F.R. § 164.512(e)). Parties may use Protected Health Information solely for this litigation; they shall return or destroy it (including all copies) within 60 days after final disposition; and they shall safeguard it from disclosure to any person except as allowed by this Order or further Court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4. ATTORNEYS’ EYES ONLY (AEO). Any child‑welfare interview materials disclosed under WIC § 827 shall be designated AEO and may be viewed only by counsel, experts, and the Court; no dissemination to parties or third persons absent further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5. FILING UNDER SEAL. Any filing that quotes or attaches Protected Material shall be accompanied by a motion or application to seal per CRC 2.550–2.551.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6. REDACTIONS. Producing entities may redact Social Security numbers and non‑responsive medical information not related to the limited categories authorized by the Court.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7. CHALLENGES. Any confidentiality designation may be challenged for good cause; the producing party bears the burden of showing protection remains warranted.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IT IS SO ORDERED.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