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bookmarkStart w:colFirst="0" w:colLast="0" w:name="_nx7tfcpsnlm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Fund Raise: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</w:r>
      <w:r w:rsidDel="00000000" w:rsidR="00000000" w:rsidRPr="00000000">
        <w:rPr>
          <w:rtl w:val="0"/>
        </w:rPr>
        <w:t xml:space="preserve">$10M</w:t>
      </w:r>
      <w:r w:rsidDel="00000000" w:rsidR="00000000" w:rsidRPr="00000000">
        <w:rPr>
          <w:rFonts w:ascii="Calibri" w:cs="Calibri" w:eastAsia="Calibri" w:hAnsi="Calibri"/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Total Shares Issued</w:t>
      </w:r>
      <w:r w:rsidDel="00000000" w:rsidR="00000000" w:rsidRPr="00000000">
        <w:rPr>
          <w:rtl w:val="0"/>
        </w:rPr>
        <w:t xml:space="preserve">: 1,000,000,000</w:t>
        <w:br w:type="textWrapping"/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bookmarkStart w:colFirst="0" w:colLast="0" w:name="_dlf7ahrmn6qe" w:id="1"/>
      <w:bookmarkEnd w:id="1"/>
      <w:r w:rsidDel="00000000" w:rsidR="00000000" w:rsidRPr="00000000">
        <w:rPr>
          <w:rtl w:val="0"/>
        </w:rPr>
        <w:t xml:space="preserve"> </w:t>
        <w:br w:type="textWrapping"/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Investment:</w:t>
      </w:r>
      <w:r w:rsidDel="00000000" w:rsidR="00000000" w:rsidRPr="00000000">
        <w:rPr>
          <w:b w:val="1"/>
          <w:bCs w:val="1"/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344.0" w:type="dxa"/>
        <w:jc w:val="left"/>
        <w:tblLayout w:type="fixed"/>
        <w:tblLook w:val="0400"/>
      </w:tblPr>
      <w:tblGrid>
        <w:gridCol w:w="1049"/>
        <w:gridCol w:w="1335"/>
        <w:gridCol w:w="960"/>
        <w:gridCol w:w="1425"/>
        <w:gridCol w:w="1845"/>
        <w:gridCol w:w="1560"/>
        <w:gridCol w:w="1170"/>
        <w:tblGridChange w:id="0">
          <w:tblGrid>
            <w:gridCol w:w="1049"/>
            <w:gridCol w:w="1335"/>
            <w:gridCol w:w="960"/>
            <w:gridCol w:w="1425"/>
            <w:gridCol w:w="1845"/>
            <w:gridCol w:w="1560"/>
            <w:gridCol w:w="117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66mnfvdavme3" w:id="2"/>
            <w:bookmarkEnd w:id="2"/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Capital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Equity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Shares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Share Price / Unit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Appreciation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6d9f1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Valuation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Round 1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$10m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40%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400m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$0.025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$25m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before="24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bookmarkStart w:colFirst="0" w:colLast="0" w:name="_7ao3i5wppa5b" w:id="3"/>
      <w:bookmarkEnd w:id="3"/>
      <w:r w:rsidDel="00000000" w:rsidR="00000000" w:rsidRPr="00000000">
        <w:rPr>
          <w:rtl w:val="0"/>
        </w:rPr>
        <w:t xml:space="preserve">Owners and operators of multiple cannabis cultivation, manufacturing, distribution, retail, and delivery businesses are forming a new operating group to manage, optimize, and expand cannabis operations in the state of California.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restructuring of current operations</w:t>
        <w:br w:type="textWrapping"/>
        <w:t xml:space="preserve">will provide a streamlined, efficient, and</w:t>
        <w:br w:type="textWrapping"/>
        <w:t xml:space="preserve">robust generational revenue operation</w:t>
        <w:br w:type="textWrapping"/>
        <w:t xml:space="preserve">that is able to optimize profits across</w:t>
        <w:br w:type="textWrapping"/>
        <w:t xml:space="preserve">the entirety of the cannabis supply</w:t>
        <w:br w:type="textWrapping"/>
        <w:t xml:space="preserve">chain (Seed-To-Sale).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2641599</wp:posOffset>
            </wp:positionH>
            <wp:positionV relativeFrom="paragraph">
              <wp:posOffset>62462</wp:posOffset>
            </wp:positionV>
            <wp:extent cx="3225008" cy="3004720"/>
            <wp:effectExtent b="0" l="0" r="0" t="0"/>
            <wp:wrapNone/>
            <wp:docPr descr="Diagram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008" cy="3004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new operating group will manage</w:t>
        <w:br w:type="textWrapping"/>
        <w:t xml:space="preserve">two divisions that focus maximizing</w:t>
        <w:br w:type="textWrapping"/>
        <w:t xml:space="preserve">shareholder value.</w:t>
        <w:br w:type="textWrapping"/>
        <w:br w:type="textWrapping"/>
        <w:t xml:space="preserve">The Real Estate division focuses on </w:t>
        <w:br w:type="textWrapping"/>
        <w:t xml:space="preserve">the development of the Groups </w:t>
        <w:br w:type="textWrapping"/>
        <w:t xml:space="preserve">investment properties and maintaining</w:t>
        <w:br w:type="textWrapping"/>
        <w:t xml:space="preserve">compliance and operational capacity.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The Seed-To-Sale division focuses on</w:t>
        <w:br w:type="textWrapping"/>
        <w:t xml:space="preserve">Cannabis state compliance, product</w:t>
        <w:br w:type="textWrapping"/>
        <w:t xml:space="preserve">development and distribution, and</w:t>
        <w:br w:type="textWrapping"/>
        <w:t xml:space="preserve">the sales and marketing of branded</w:t>
        <w:br w:type="textWrapping"/>
        <w:t xml:space="preserve">cannabis assets.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Seed-To-Sale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5939155" cy="9048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Investment and development of the Seed-To-Sale infrastructure has already been completed with use a portion of investment being directed to the completion of the Retail storefront.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Retail storefront enables the Group to maximize its profitability by expanding margins to over 50%.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943600" cy="1535430"/>
            <wp:effectExtent b="0" l="0" r="0" t="0"/>
            <wp:docPr descr="Table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5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Cultivation and manufacturing facilities are in the High Desert region with Retail operations located at a premium location in Van Nuys, CA.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Investment will be utilized to acquire the current cultivation and manufacturing facilities as well as expand operations to increase output by 30% - 40%+ which will lead to an increase in revenue by an estimated $1M - $2M+ annually.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The Adelanto commercial real estate market where our core operations are located has exploded in the last 15 years according to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Coldwell Banker Commercial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Sale price PSF has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722%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Lease rates have increased </w:t>
      </w:r>
      <w:r w:rsidDel="00000000" w:rsidR="00000000" w:rsidRPr="00000000">
        <w:rPr>
          <w:i w:val="1"/>
          <w:iCs w:val="1"/>
          <w:u w:val="single"/>
          <w:rtl w:val="0"/>
        </w:rPr>
        <w:t xml:space="preserve">917%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 value has 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1286%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Additionally, the residential real estate in the High Desert has appreciated an average 10% YoY over the last 5-years.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Investors will find that our real estate portfolio will offer a hedge on inflation and an insurance to the totality of their investment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Operating Group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Consolidated administration, finance, sales, and marketing at the operating group level will streamline revenue operations and greatly reduce expenses.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Portion of investment will be utilized to upgrade our IT infrastructure, software (ERP, CRM, etc.)</w:t>
      </w:r>
    </w:p>
    <w:p w:rsidR="00000000" w:rsidDel="00000000" w:rsidP="00000000" w:rsidRDefault="00000000" w:rsidRPr="00000000" w14:paraId="0000002B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Consolidate Financials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80588" cy="1869645"/>
            <wp:effectExtent b="0" l="0" r="0" t="0"/>
            <wp:docPr descr="Graphical user interface, application, table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Graphical user interface, application, table&#10;&#10;Description automatically generated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0588" cy="186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Growth Operations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After formation of the operating group and the optimization of consolidated operations, the Group will seek acquisition opportunities that provide revenue and market share growth.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Cultivation –</w:t>
      </w:r>
      <w:r w:rsidDel="00000000" w:rsidR="00000000" w:rsidRPr="00000000">
        <w:rPr>
          <w:rtl w:val="0"/>
        </w:rPr>
        <w:t xml:space="preserve"> Adelanto and the High Desert offers untapped opportunities that immediately increase cultivation capacity and revenue generation.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There are turn-key licensed operations on the market that would produce an additional 1,000 lbs/month or nearly $2M+ /month revenue for our consolidated operations. These facilities encompass 50k+ sqft and are priced at $20M for real estate and standing business/licenses.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 –</w:t>
      </w:r>
      <w:r w:rsidDel="00000000" w:rsidR="00000000" w:rsidRPr="00000000">
        <w:rPr>
          <w:rtl w:val="0"/>
        </w:rPr>
        <w:t xml:space="preserve"> There are dozens of micro-delivery services operating in Southern California which offer us low cost opportunities to acquire profit generating consumer facing businesses that our branded products can be placed 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Manufacturing – </w:t>
      </w:r>
      <w:r w:rsidDel="00000000" w:rsidR="00000000" w:rsidRPr="00000000">
        <w:rPr>
          <w:rtl w:val="0"/>
        </w:rPr>
        <w:t xml:space="preserve">Our existing operations and expanded capacity allows us to go out to Cannabis Brands looking for increased production for their branded products.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Real Estate – </w:t>
      </w:r>
      <w:r w:rsidDel="00000000" w:rsidR="00000000" w:rsidRPr="00000000">
        <w:rPr>
          <w:rtl w:val="0"/>
        </w:rPr>
        <w:t xml:space="preserve">There is a wealth of cultivation and manufacturing zoned space available in the High Desert that can be acquired, developed, and monetized.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i w:val="1"/>
          <w:iCs w:val="1"/>
          <w:rtl w:val="0"/>
        </w:rPr>
        <w:t xml:space="preserve">Cultivation &amp; Manufacturing As A Service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Our decades of expertise sold as a service to operations and organizations looking to produce branded and licensed products in the California market. This offers multi-state brands low cost entry into the California market while providing the Group multi-year contracted agreements and stabilizing our revenue on newly acquired properties.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i w:val="1"/>
          <w:iCs w:val="1"/>
          <w:rtl w:val="0"/>
        </w:rPr>
        <w:t xml:space="preserve">Leased Cultivation &amp; Manufacturing Facilities –</w:t>
      </w:r>
      <w:r w:rsidDel="00000000" w:rsidR="00000000" w:rsidRPr="00000000">
        <w:rPr>
          <w:rtl w:val="0"/>
        </w:rPr>
        <w:t xml:space="preserve"> Acquisition of real estate can be leased in its barebone capacity or developed with our proprietary technology to fit the needs of clients.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>
        <w:color w:val="666666"/>
      </w:rPr>
    </w:pPr>
    <w:r w:rsidDel="00000000" w:rsidR="00000000" w:rsidRPr="00000000">
      <w:rPr>
        <w:color w:val="666666"/>
        <w:rtl w:val="0"/>
      </w:rPr>
      <w:t xml:space="preserve">CONFIDENTIAL AND PRIVILEGED </w:t>
      <w:tab/>
      <w:t xml:space="preserve">             </w:t>
      <w:tab/>
      <w:tab/>
      <w:tab/>
      <w:tab/>
      <w:tab/>
      <w:tab/>
      <w:t xml:space="preserve">       </w:t>
    </w:r>
    <w:r w:rsidDel="00000000" w:rsidR="00000000" w:rsidRPr="00000000">
      <w:rPr>
        <w:color w:val="66666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rtl w:val="0"/>
      </w:rPr>
      <w:br w:type="textWrapping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Style w:val="Title"/>
      <w:rPr>
        <w:sz w:val="44"/>
        <w:szCs w:val="44"/>
      </w:rPr>
    </w:pPr>
    <w:r w:rsidDel="00000000" w:rsidR="00000000" w:rsidRPr="00000000">
      <w:rPr>
        <w:rtl w:val="0"/>
      </w:rPr>
      <w:t xml:space="preserve">Limited Opportunity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12" Type="http://schemas.openxmlformats.org/officeDocument/2006/relationships/footer" Target="footer1.xml"/><Relationship Id="rId9" Type="http://schemas.openxmlformats.org/officeDocument/2006/relationships/hyperlink" Target="https://www.mdaqmd.ca.gov/home/showpublisheddocument/6134/63677880326187000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