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QUESTIONS ANALYSIS - SARA MEMARI ALIGNMENT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Alignment Score: 4.5/10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FINDING: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is competent but conventional. She dismissed Eric's evidence package 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'criminal realm, not family law.' This is THE critical gap - she doesn't see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Freddy's criminal sophistication affects support, custody, and discovery.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ACTIONS: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Nuha completes I&amp;E by Friday Nov 15 [P0 CRITICAL]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Eric writes memo: 'Why Criminal Evidence Matters' [P1 HIGH]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Nuha asks Sara about supervised visitation strategy [P1 HIGH]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Prepare for Freddy non-compliance / hearing continuance [P2 MEDIUM]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STRENGTHS: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organized: Clear action items, timeline, document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tactical: Smart move filing Nuha's I&amp;E early to avoid continuance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support_focused: Good on spousal/child support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pragmatic: Understands settlement vs trial tradeoffs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WEAKNESSES: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✗ traditional: Standard family law playbook - doesn't adapt to narcissist/criminal opponent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✗ evidence_blindness: Can't see relevance of criminal pattern to family law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✗ child_safety_gap: Not prioritizing child protection despite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✗ underestimates_opponent: Thinks Freddy will play by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LINE: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will get Nuha money. She WON'T protect the kids or leverage the criminal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unless Eric/Nuha explicitly push for it. Nuha must advocate for Mia.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