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gary garykurtzlaw.com &lt;gary@garykurtzlaw.com&gt;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Confidential</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March 18, 2023 at 10:49:46 AM PDT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Daniel Gentile &lt;danielkgentile@popeandgentile.com&gt;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for sending your appraisal report and your comments.  Your appraisal is based on a valuation on January 1, 2019 and based on comps for 2016 to 2019.  That was in a bubble of excitement where values spiked.  The excitement diminished shortly thereafter, with evidence of a lack of profitability and more alternative properties.  Your appraisal does not cover the relevant period, and the Sayegh’s appraisal does cover that period.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suggestion that the January 2019 represents the current rental value is not sustainable.  Attached are some current listings.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16358 Beaver Road is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16358 Beaver Rd, Adelanto, CA 92301 - Industrial For Lease Cityfeet.com</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cityfeet.com</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complex on Beaver is valued at 2.00 per square ft for the 10,000 sq ft building.  The current valuation for that same size building in the same complex is listed at 0.90.  Based on the current market, that should be a vey negotiable amount.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gold standard for cannabis warehouses is the 420 Properties. They are state of the art ground up cultivation facilities designed specifically for cultivation.</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addition to all the power ity has 24 hour gated security, air conditioning and cultivation design.</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https://www.loopnet.com/Listing/9841D-Bartlett-Ave-Adelanto-CA/27851793/</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$12.00 per foot per year.</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https://www.loopnet.com/Listing/9841D-Bartlett-Ave-Adelanto-CA/27851793/</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proposals I provided would put your clients in a better position than if they won at trial.  They also give the Sayeghs a chance to sell the business as a business and recover some of their losses.  It is a win win.  The alternative is that my clients get kicked out of the building, move their product to one of the many suitable alternative locations, and leave your clients with an empty, unrented building when there is a glut of unwanted properties on the market.  They can’t seriously want that.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Mar 17, 2023, at 6:23 PM, Daniel Gentile &lt;danielkgentile@popeandgentile.com&gt; wrote: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Gary.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for the detailed proposals.  While my clients are willing to consider a lease while the business is marketed and they are willing to consider leasing to a buyer, the payment of rents up front and going forward  is insufficient.  As reflected in the appraisal, the rental value of comparable Adelanto properties is substantially higher than the value which you’ve ascribed.  Indeed, the accrued rents exceed $2.2mm.  While there may be some flexibility with the rent for a new tenant, the past due rent continues to be a hurdle towards settlement.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way my clients view it, your clients exclusively used my clients  property for 4 years and paid nothing. Your clients have rental property of their own, how would they react if my clients took possession and paid nothing for years.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only way I see this being resolved based up the demands of my clients is to pay the past rents.  Again, I’m open to all discussions, but my clients are demanding the rent. If you have an ny other solution, I’m all ears.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Daniel K. Gentile, Esq.</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Pope &amp; Gentile, APC</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100 N. Brand Boulevard, Suite 620</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Glendale, CA 91203</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760.951.7000</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760.513.9901</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Mar 17, 2023, at 9:22 AM, Daniel Gentile &lt;danielkgentile@popeandgentile.com&gt; wrote: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be speaking with them again today so if you have anything  to pass on, let me know.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Daniel K. Gentile, Esq.</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Pope &amp; Gentile, APC</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100 N. Brand Boulevard, Suite 620</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Glendale, CA 91203</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760.951.7000</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760.513.9901</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Mar 16, 2023, at 9:16 AM, gary garykurtzlaw.com &lt;gary@garykurtzlaw.com&gt; wrote: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like to make a dramatic settlement offer, as follows.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Enter into a 6-month lease a $0.85 per sq ft, which is what our appraiser says is the value.  The lease would be with one of the entities.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an option to extend for 5 years with a 3% increase per year.  The lease and option have to be assignable.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we sell the business and a new company takes over the lease, then they get the first $250,000 from the sale price, we get the next $250,000, and the proceeds are shared 50/50 until they receive $1,000,000, and we keep the excess, if any.</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we do not sell the business, we owe them $600,000.  I need your input on how that would be paid.</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rent is not paid and we are evicted, we forfeit the contents of the building.</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Gary Kurtz, Esq.</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Law Office of Gary Kurtz, Inc.</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30101 Agoura Court, Suite 118</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Agoura Hills, California 91301</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Telephone: 818-884-8400</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Telefax:   818-884-8404</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 Gary@GaryKurtzLaw.com</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IMPORTANT:</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electronic mail message and any attached files contain information intended for the exclusive use of the individual(s) or entity(ies) to whom it is addressed and may contain information that is proprietary, privileged, confidential and/or exempt from disclosure under applicable law. If you are not the intended recipient or an agent responsible for delivering it to the intended recipient, you are hereby notified that you are prohibited from viewing, printing, copying, forwarding, disclosing or saving this information. Please notify the sender immediately by electronic mail or telephone, of any unintended recipients and delete the original message without making any copies.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Gary Kurtz, Esq.</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Law Office of Gary Kurtz, Inc.</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30101 Agoura Court, Suite 118</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Agoura Hills, California 91301</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Telephone: 818-884-8400</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Telefax:   818-884-8404</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 Gary@GaryKurtzLaw.com</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IMPORTANT:</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electronic mail message and any attached files contain information intended for the exclusive use of the individual(s) or entity(ies) to whom it is addressed and may contain information that is proprietary, privileged, confidential and/or exempt from disclosure under applicable law. If you are not the intended recipient or an agent responsible for delivering it to the intended recipient, you are hereby notified that you are prohibited from viewing, printing, copying, forwarding, disclosing or saving this information. Please notify the sender immediately by electronic mail or telephone, of any unintended recipients and delete the original message without making any copies.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