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SUBPOENA DUCES TECUM — ATTACHMENT A (Keck Medicine of USC)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(To accompany Judicial Council SUBP‑010 / SUBP‑025)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Production Date/Time: __________ at __________ (or as otherwise ordered). Place of Production: [Designated production portal or counsel address].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Entity: Keck Medicine of USC — [Insert appropriate Keck Health Records Department address]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Records to Be Produced (narrowly tailored)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 Problem list and differential/diagnoses related to respiratory carcinoma within the authorized timeframe.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 Imaging orders/reports (CT, MRI, PET) and any pathology/cytology reports within the authorized timeframe.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 Provider notes discussing cancer diagnosis, staging, or treatment planning within the authorized timeframe.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Date window: limited to the timeframe of Petitioner’s claimed respiratory‑carcinoma diagnosis (specify as known).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 &amp;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This subpoena issues pursuant to CCP § 1985.3 (consumer notice served). Production is subject to the Court’s HIPAA Qualified Protective Order (45 C.F.R. § 164.512(e)) and Protective Order on file. Redact non‑responsive private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 of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Produce as legible PDFs and native image files (if any). Include custodian declaration (Evid. Code § 1561).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