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3d2f32a057eca62dcc2e674b1f3acafb270da61dce39e717296c37a821e23cb6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2025-11-02T00:42:45.404292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Texts with rob.eml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Texts with rob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22:41:39 -0700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&lt;CAEaMCuGt2j8dUGxti47uYSt09vjn0C7iHOtpnZEZvvbPjGoHbA@mail.gmail.com&gt;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 of Text Messages with “Machete” (Rob González)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Fahed “Freddy” Sayegh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Context and intent of July–October text thread regarding the “DJ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Machete” name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were informal, friend-to-friend messages. I was not acting as Rob’s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attorney, gave no legal analysis, charged no fee, and did not contact any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 party. Where I floated “$25,000 and change your name,” it was obvious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hyperbole; Rob immediately replied “You’re kidding right?” with laugh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 / capacity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Rob and I are longtime friends in the music scene.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have no attorney–client agreement, no fee, and no expectation of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legal services.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never told him I represented him, and he never asked me to represent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him.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texts show (key call-outs)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Rob’s initial ask (July 1, 11:39 AM): He tells me someone else is using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“Machete,” says he doesn’t have a U.S. trademark, and asks “What can I do?”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My joking line (blue bubble): “Write him an apology… change your name…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pay no less than $25,000.” This is joking hyperbole; it is immediately met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 “You’re kidding right?” and “ha ha” reactions.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Courtesy draft (blue block): I sent a PR-style, respectful outreach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template (subject line “Request to Resolve Name Confusion”). It avoids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threats or legal demands and aims to de-escalate. Rob says he’s “ok with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this… made some minor edits… will only escalate if necessary.”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Self-help direction (July 8, 11:21 AM): I text, “Looks like you might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want to try to register it yourself NOW,” meaning he should handle any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filing himself or with his own counsel.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Later chatter (mid–late July): He updates me about confusion with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promoters and asks generic questions. I do not provide analysis or contact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anyone.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Personal tone: The thread also includes friendly logistics and his kids’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birthday invite—underscoring this was a personal conversation, not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professional work.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did not do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did not analyze trademark law, rights, or defenses.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did not draft, send, or threaten any cease-and-desist or other legal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notice.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did not negotiate with, or communicate to, any third party (DJ,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promoter, platform, or lawyer).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did not accept or request any payment, nor did I keep time or create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“work product.”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label the exhibits (helpful for your binder)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Ex. A (July 1): Rob’s initial gray texts + my blue “$25k/change your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name” line → immediately followed by “You’re kidding right?” and laugh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reactions.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Ex. B (July 1): My blue courtesy communication template (“Request to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Resolve Name Confusion”)—explicitly non-legal tone.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Ex. C (July 8): My blue “register it yourself NOW” text.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Ex. D (mid–late July): Rob’s follow-ups about confusion; no legal steps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by me.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Ex. E (Oct 11): Kids’ birthday invite—personal context.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One-paragraph summary for you to use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“These screenshots reflect a casual conversation between friends. Mr.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did not represent Mr. González, charged no fee, gave no legal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analysis, and sent no communications to any third party. The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‘$25,000/change your name’ line was a joke, as evidenced by the immediate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‘You’re kidding right?’ and laugh reactions. The long blue message is 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courtesy PR template meant to de-escalate, not a legal demand. Mr. Sayegh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expressly directed Rob to ‘register it yourself NOW,’ confirming that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Rob—not Mr. Sayegh—should handle any filing or seek his own counsel.”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