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Strategic Operations Briefing for Eric Jones: Command &amp; Control Assessment (October 29,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 Executive Summary &amp; Threat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Operational 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This briefing provides a comprehensive strategic assessment of four concurrent, high-stakes project areas. The current operational landscape is defined by the critical need to manage two acute human crises while simultaneously advancing two long-term strategic imperatives. The immediate priorities revolve around mitigating imminent harm to vulnerable individuals in the Kathy Hart and Nuha Sage cases. These urgent demands must be balanced against the necessity of preventing strategic drift in the foundational projects concerning the Judy Brakebill Jones Trust litigation and the Recovery Compass partnership. Success across the portfolio requires a disciplined allocation of resources, focusing on the most immediate threats without ceding momentum in areas crucial for future stability and growth.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 Threat &amp; Priority Matrix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following matrix provides an at-a-glance decision-making tool, prioritizing each project area to guide the allocation of time and resources for Tuesday, October 29, 2025. It directly distinguishes between immediate, non-negotiable threats and important strategic actions, providing a clear starting point for the day's operations.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Project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Threat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Urgency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Key Imminent Deadline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Single Most Critical Next Action (SMCA)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Kathy Hart / JPMorgan 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IMMEDIATE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Clarify Ramey Flock representation status and demand a formal engagement or declination letter.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Sage vs. Sage DVRO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Execute termination of Kirk's representation and immediately file the prepared emergency custody modification.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Judy Brakebill Jones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This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Verify all applicable statutes of limitations for the Probate Code $§ 850$ petition.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Recovery Compass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b1c1d"/>
                <w:shd w:fill="auto" w:val="clear"/>
              </w:rPr>
            </w:pPr>
            <w:r w:rsidDel="00000000" w:rsidR="00000000" w:rsidRPr="00000000">
              <w:rPr>
                <w:rFonts w:ascii="Arial" w:cs="Arial" w:eastAsia="Arial" w:hAnsi="Arial"/>
                <w:b w:val="1"/>
                <w:bCs w:val="1"/>
                <w:color w:val="1b1c1d"/>
                <w:shd w:fill="auto" w:val="clear"/>
                <w:rtl w:val="0"/>
              </w:rPr>
              <w:t xml:space="preserve">FOUNDATIONAL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This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Complete the October 2025 WFD dashboard build and quality assurance review.</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b1c1d"/>
          <w:shd w:fill="auto" w:val="clear"/>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 Key Cross-Cutting Recommendations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Analysis across the four project areas reveals three systemic challenges that require immediate and sustained strategic attention. These themes represent points of leverage and vulnerability that impact the entire operational portfolio.</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Resolve Attorney Friction Immediately</w:t>
      </w:r>
      <w:r w:rsidDel="00000000" w:rsidR="00000000" w:rsidRPr="00000000">
        <w:rPr>
          <w:rFonts w:ascii="Arial" w:cs="Arial" w:eastAsia="Arial" w:hAnsi="Arial"/>
          <w:color w:val="1b1c1d"/>
          <w:rtl w:val="0"/>
        </w:rPr>
        <w:t xml:space="preserve">: A recurring pattern of significant friction with legal counsel has emerged as a systemic risk, evident in both the Judy Brakebill Jones and Kathy Hart cases.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ambiguity and hostility from Ramey Flock in the Hart case, and the prior declination from Rodney Gould Law in the Jones case, necessitate the development of a new, more robust protocol for vetting, engaging, and managing legal representation to prevent further delays and strategic setbacks.</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Synchronize Tactical Execution in the Sage DVRO Offensive</w:t>
      </w:r>
      <w:r w:rsidDel="00000000" w:rsidR="00000000" w:rsidRPr="00000000">
        <w:rPr>
          <w:rFonts w:ascii="Arial" w:cs="Arial" w:eastAsia="Arial" w:hAnsi="Arial"/>
          <w:color w:val="1b1c1d"/>
          <w:rtl w:val="0"/>
        </w:rPr>
        <w:t xml:space="preserve">: The multi-step plan for the Sage vs. Sage case—terminating compromised counsel, filing a State Bar complaint, and executing an emergency custody motion—is a high-risk, high-reward maneuver that must be treated as a single, integrated operation.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Flawless coordination and timing are paramount, as any procedural error or delay could compromise the entire offensive and endanger the client and her children.</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Address Personal Capacity as a Strategic Center of Gravity</w:t>
      </w:r>
      <w:r w:rsidDel="00000000" w:rsidR="00000000" w:rsidRPr="00000000">
        <w:rPr>
          <w:rFonts w:ascii="Arial" w:cs="Arial" w:eastAsia="Arial" w:hAnsi="Arial"/>
          <w:color w:val="1b1c1d"/>
          <w:rtl w:val="0"/>
        </w:rPr>
        <w:t xml:space="preserve">: The cumulative cognitive and emotional load of managing these four complex and intense fronts makes advocate burnout the single most significant threat to the sustainability and success of the entire portfolio.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The establishment of a "daily command center ritual" is a critical first step in a broader strategy of deliberate capacity management, which must be treated with the same seriousness as any external threat.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II. Project Deep Dive: The Kathy Hart / JPMorgan Chase Power of Attorney Crisis (Threat Level: IMMEDIATE)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Intelligence Assessment &amp; Status Update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situation concerning Kathy Hart's access to her funds has reached a critical and dangerous impasse. JPMorgan Chase continues to enforce a freeze on her joint account, which contains funds essential for her post-surgical medical care.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The bank's refusal to honor a valid Texas Statutory Durable Power of Attorney (POA) and its demand for the in-person appearance of Ms. Hart—who is bedridden and medically incapable of travel—has created a life-threatening emergency by obstructing access to necessary in-home care.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A multi-pronged response has been initiated. A formal complaint has been filed with the Consumer Financial Protection Bureau (CFPB Complaint ID: 250911-24011055), and a formal demand letter has been prepared for service on Chase's corporate legal department.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Furthermore, an urgent escalation complaint was filed with the Office of the Comptroller of the Currency (OCC) on September 10, 2025, referencing an existing Adult Protective Services case (APS Case #80404096), explicitly framing the issue as elder financial exploitation.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This strategic pressure is being severely undermined by a critical breakdown in the relationship with engaged legal counsel, Steve Spitzer and Logan Hughes of the Ramey Flock law firm. In correspondence dated September 15, 2025, Mr. Spitzer dismissed the demand letter strategy as likely to make Chase "more entrenched and unresponsive." He advised the physically impossible action of bringing Ms. Hart to a bank branch in person. When the legal and practical fallacies of this advice were detailed in a follow-up response, Mr. Spitzer replied with unprofessional curtness, stating they "don't have time to educate you on elder law".</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hostile and dismissive exchange leaves the status of Ramey Flock's representation dangerously ambiguous at a moment when decisive legal action is required.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 Contextual Analysis: Anatomy of Institutional Obstruction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JPMorgan Chase's actions should not be viewed as a simple administrative hurdle but as a pattern of institutional behavior that constitutes potential gross negligence, breach of fiduciary duty, and financial elder abuse.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The demand for the physical presence of a medically incapacitated individual, in direct contradiction to the purpose of a durable power of attorney, is not only illogical but may also represent a significant violation of the Americans with Disabilities Act (ADA).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refusal to provide reasonable accommodation for Ms. Hart's disability creates an additional layer of legal liability for the bank. The pattern is common among large financial institutions, which often erect bureaucratic barriers that, intentionally or not, disempower agents and endanger vulnerable clients under the guise of fraud prevention. The current strategy must therefore target not only the specific issue of account access but also the underlying institutional malfeasance.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 Immediate Tactical Actions (The Next 72 Hours)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sequence of immediate actions is required to break the stalemate and protect Kathy Hart.</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Priority 1: Resolve Attorney Ambiguity (URGENT)</w:t>
      </w:r>
      <w:r w:rsidDel="00000000" w:rsidR="00000000" w:rsidRPr="00000000">
        <w:rPr>
          <w:rFonts w:ascii="Arial" w:cs="Arial" w:eastAsia="Arial" w:hAnsi="Arial"/>
          <w:color w:val="1b1c1d"/>
          <w:rtl w:val="0"/>
        </w:rPr>
        <w:t xml:space="preserve">: Contact must be made today with Logan Hughes at Ramey Flock to demand explicit, written clarification on the firm's representation status. A formal engagement letter outlining a clear plan of action or a formal declination letter must be requested immediately.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Mr. Spitzer's conduct indicates a profound misunderstanding of the case's core facts—namely, Ms. Hart's incapacitation. This is not a point of friction to be managed but a fatal flaw in representation. Any further time spent attempting to align with this firm without a clear commitment is a direct threat to Ms. Hart's well-being.</w:t>
      </w:r>
      <w:r w:rsidDel="00000000" w:rsidR="00000000" w:rsidRPr="00000000">
        <w:rPr>
          <w:rtl w:val="0"/>
        </w:rPr>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Priority 2: Execute Contingency Plan</w:t>
      </w:r>
      <w:r w:rsidDel="00000000" w:rsidR="00000000" w:rsidRPr="00000000">
        <w:rPr>
          <w:rFonts w:ascii="Arial" w:cs="Arial" w:eastAsia="Arial" w:hAnsi="Arial"/>
          <w:color w:val="1b1c1d"/>
          <w:rtl w:val="0"/>
        </w:rPr>
        <w:t xml:space="preserve">: In parallel with the above, preparations must be made for the high-probability event that Ramey Flock declines or is unsuitable for representation. The search for competent, alternative elder law counsel must begin immediately. The finalized temporary restraining order (TRO) package should be reviewed and prepared for a pro per filing to compel Chase to release the funds, ensuring no time is lost if the search for new counsel is prolonged.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Priority 3: Secure Alternative Funding</w:t>
      </w:r>
      <w:r w:rsidDel="00000000" w:rsidR="00000000" w:rsidRPr="00000000">
        <w:rPr>
          <w:rFonts w:ascii="Arial" w:cs="Arial" w:eastAsia="Arial" w:hAnsi="Arial"/>
          <w:color w:val="1b1c1d"/>
          <w:rtl w:val="0"/>
        </w:rPr>
        <w:t xml:space="preserve">: It is critical to confirm that the signed Austin Bank account documents were successfully printed and emailed to Marti Hart.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The successful transfer of the majority of funds to Austin Bank represents a crucial strategic pivot, creating a financial lifeline and reducing Chase's leverage. Ensuring this new account is fully operational is a top priority.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Priority 4: Maintain Regulatory Pressure</w:t>
      </w:r>
      <w:r w:rsidDel="00000000" w:rsidR="00000000" w:rsidRPr="00000000">
        <w:rPr>
          <w:rFonts w:ascii="Arial" w:cs="Arial" w:eastAsia="Arial" w:hAnsi="Arial"/>
          <w:color w:val="1b1c1d"/>
          <w:rtl w:val="0"/>
        </w:rPr>
        <w:t xml:space="preserve">: The status of the CFPB and OCC complaints should be checked to ensure they are progressing. While these channels are often slow, they represent an important secondary front that can exert pressure on Chase's compliance and legal departments.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 Strategic Analysis &amp; Force Multipliers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current crisis presents opportunities to apply leverage beyond direct legal confrontation. The ADA angle is a significant force multiplier. Chase's refusal to accommodate Ms. Hart's documented disability is a potential violation that could open the institution to separate legal claims, damages, and attorney fee recovery, substantially increasing the cost of their intransigence.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Furthermore, the narrative of a multi-billion-dollar bank actively endangering the life of a bedridden senior citizen by withholding her own funds is an exceptionally compelling story for media outreach. Should legal and regulatory channels remain obstructed, a carefully executed media strategy could generate public and political pressure that Chase cannot ignore.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Partnering with established elder advocacy organizations could amplify this message and frame this individual case as an example of a systemic problem, attracting legislative attention.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E. Identified Blind Spots &amp; Risk Mitigation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Several potential risks must be proactively addressed to prevent Chase from exploiting vulnerabilities in the case.</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b1c1d"/>
          <w:rtl w:val="0"/>
        </w:rPr>
        <w:t xml:space="preserve">POA Document Vulnerability</w:t>
      </w:r>
      <w:r w:rsidDel="00000000" w:rsidR="00000000" w:rsidRPr="00000000">
        <w:rPr>
          <w:rFonts w:ascii="Arial" w:cs="Arial" w:eastAsia="Arial" w:hAnsi="Arial"/>
          <w:color w:val="1b1c1d"/>
          <w:rtl w:val="0"/>
        </w:rPr>
        <w:t xml:space="preserve">: It is imperative to determine if Chase has provided a specific, written reason for rejecting the POA. If not, a formal written explanation must be demanded. The bank may be citing a technical deficiency—real or fabricated—in the document itself. Identifying and addressing this specific objection is crucial to dismantling their justification for the account freeze.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b1c1d"/>
          <w:rtl w:val="0"/>
        </w:rPr>
        <w:t xml:space="preserve">The Conservatorship Gambit</w:t>
      </w:r>
      <w:r w:rsidDel="00000000" w:rsidR="00000000" w:rsidRPr="00000000">
        <w:rPr>
          <w:rFonts w:ascii="Arial" w:cs="Arial" w:eastAsia="Arial" w:hAnsi="Arial"/>
          <w:color w:val="1b1c1d"/>
          <w:rtl w:val="0"/>
        </w:rPr>
        <w:t xml:space="preserve">: Financial institutions sometimes attempt to force families into costly and time-consuming conservatorship proceedings as a way to shield themselves from liability. This is a worst-case scenario that would significantly delay access to funds. The strategy must be prepared to aggressively counter this potential argument by preemptively demonstrating the comprehensive validity and legal sufficiency of the existing POA, supported by current medical documentation of Ms. Hart's condition and capacity.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b1c1d"/>
          <w:rtl w:val="0"/>
        </w:rPr>
        <w:t xml:space="preserve">Alternative Malicious Actors</w:t>
      </w:r>
      <w:r w:rsidDel="00000000" w:rsidR="00000000" w:rsidRPr="00000000">
        <w:rPr>
          <w:rFonts w:ascii="Arial" w:cs="Arial" w:eastAsia="Arial" w:hAnsi="Arial"/>
          <w:color w:val="1b1c1d"/>
          <w:rtl w:val="0"/>
        </w:rPr>
        <w:t xml:space="preserve">: In cases of elder financial abuse, it is possible that other parties, such as family members, have contacted the bank to contest the POA's authority. It must be verified whether Chase has received any such communications, as this could be the undisclosed reason for their heightened scrutiny and refusal to act.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III. Project Deep Dive: Sage vs. Sage DVRO &amp; Child Welfare Offensive (Threat Level: CRITICAL)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Intelligence Assessment &amp; Evidence Synthesis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Sage vs. Sage DVRO litigation has escalated into a critical, highly active engagement. An initial assessment suggesting a dormant phase due to a lack of recent email correspondence is incorrect; this finding reflects a limitation of the data source, not the operational reality.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Tactical documents confirm the case is at a pivotal inflection point, defined as an operation to dismantle a "multi-generational, multi-state criminal enterprise" involving coercive control, drug distribution, and witness intimidation. The strategy has decisively shifted to a "multi-front offensive" aimed at achieving immediate victories in Family Court while laying the groundwork for federal intervention via RICO and DEA channels.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catalyst for this escalation is the emergence of "critical smoking gun evidence": a disclosure from the child, Mia, that the opposing party, Freddy, has been interrogating her about her mother Nuha's income.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This act constitutes a severe form of psychological abuse, parental alienation, and a continuation of coercive control, providing powerful new grounds for court intervention.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This opportunity is endangered by a severe conflict of interest with Nuha's current attorney, Kirk. He is accused of a range of misconducts including financial exploitation, employing isolation tactics against his own client, victim-blaming, and, most critically, attempting to strike crucial DCFS evidence from the record. His actions indicate he is, at best, incompetent and, at worst, actively compromised and working against his client's interests.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 Contextual Analysis: The "Blitzkrieg" Maneuver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proposed sequence of actions represents a single, coordinated strategic maneuver designed to seize the initiative and fundamentally alter the tactical landscape of the case. It is a legal "blitzkrieg" intended to create a shock effect by simultaneously removing a compromised internal actor (Kirk) and launching a decisive offensive (the emergency custody modification) based on new, powerful evidence. This is not a series of discrete tasks but a tightly coupled operation where the success of each step is dependent on the flawless execution of the others within a compressed 24-48 hour window. The objective is to overwhelm the opposition and reframe the entire legal battle around the immediate need for child protection.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 Immediate Tactical Actions (The Next 72 Hours)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execution of this maneuver requires precise sequencing and immediate action.</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Priority 1: Evidence Preservation (IMMEDIATE)</w:t>
      </w:r>
      <w:r w:rsidDel="00000000" w:rsidR="00000000" w:rsidRPr="00000000">
        <w:rPr>
          <w:rFonts w:ascii="Arial" w:cs="Arial" w:eastAsia="Arial" w:hAnsi="Arial"/>
          <w:color w:val="1b1c1d"/>
          <w:rtl w:val="0"/>
        </w:rPr>
        <w:t xml:space="preserve">: A text message must be sent to Nuha immediately, instructing her to create a contemporaneous, written record of Mia's disclosure. The documentation should include exactly what Mia said, the date, the location, and her demeanor. Nuha must be explicitly instructed not to question Mia further or to contact Freddy or Kirk about the incident, thereby preserving the evidentiary integrity of the child's spontaneous statement.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Priority 2: Execute the Attorney Pivot</w:t>
      </w:r>
      <w:r w:rsidDel="00000000" w:rsidR="00000000" w:rsidRPr="00000000">
        <w:rPr>
          <w:rFonts w:ascii="Arial" w:cs="Arial" w:eastAsia="Arial" w:hAnsi="Arial"/>
          <w:color w:val="1b1c1d"/>
          <w:rtl w:val="0"/>
        </w:rPr>
        <w:t xml:space="preserve">:</w:t>
      </w:r>
      <w:r w:rsidDel="00000000" w:rsidR="00000000" w:rsidRPr="00000000">
        <w:rPr>
          <w:rtl w:val="0"/>
        </w:rPr>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color w:val="1b1c1d"/>
          <w:rtl w:val="0"/>
        </w:rPr>
        <w:t xml:space="preserve">The revised, non-confrontational email to Kirk must be sent by its deadline (12:00 PM Tuesday, October 28). This email, which demands written responses on key case management issues like the Lis Pendens status and billing, serves a strategic purpose: to create a documented record of his non-responsiveness and failure to communicate, which will support the subsequent justification for his termination.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color w:val="1b1c1d"/>
          <w:rtl w:val="0"/>
        </w:rPr>
        <w:t xml:space="preserve">Following the scheduled Monday meeting, Kirk's representation must be terminated via a formal email. This communication must clearly and concisely state the grounds for termination: financial exploitation, isolation tactics, victim-blaming, failure to protect the children, and the attempt to strike DCFS evidence.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Priority 3: Launch Legal &amp; Regulatory Offensive (IMMEDIATE POST-TERMINATION)</w:t>
      </w:r>
      <w:r w:rsidDel="00000000" w:rsidR="00000000" w:rsidRPr="00000000">
        <w:rPr>
          <w:rFonts w:ascii="Arial" w:cs="Arial" w:eastAsia="Arial" w:hAnsi="Arial"/>
          <w:color w:val="1b1c1d"/>
          <w:rtl w:val="0"/>
        </w:rPr>
        <w:t xml:space="preserve">:</w:t>
      </w:r>
      <w:r w:rsidDel="00000000" w:rsidR="00000000" w:rsidRPr="00000000">
        <w:rPr>
          <w:rtl w:val="0"/>
        </w:rPr>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color w:val="1b1c1d"/>
          <w:rtl w:val="0"/>
        </w:rPr>
        <w:t xml:space="preserve">The moment Kirk's termination is effective, the prepared State Bar complaint against him must be filed. This action serves to formalize the grievances and protect future potential victims.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color w:val="1b1c1d"/>
          <w:rtl w:val="0"/>
        </w:rPr>
        <w:t xml:space="preserve">Simultaneously, the emergency custody modification must be filed with the court. This filing must be robust, centering on the new evidence of psychological harm to Mia and Jordan, parental alienation, and defamation. The request should be for immediate relief, such as an order for therapeutic supervision or a significant reduction in the opposing party's custody time.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Priority 4: Collateral Evidence Gathering</w:t>
      </w:r>
      <w:r w:rsidDel="00000000" w:rsidR="00000000" w:rsidRPr="00000000">
        <w:rPr>
          <w:rFonts w:ascii="Arial" w:cs="Arial" w:eastAsia="Arial" w:hAnsi="Arial"/>
          <w:color w:val="1b1c1d"/>
          <w:rtl w:val="0"/>
        </w:rPr>
        <w:t xml:space="preserve">: Action must be taken to obtain written medical statements from Dr. Arman F. Karapetyan and the Weight Loss &amp; Beauty clinic confirming that Nuha has never undergone lip filler or injection procedures. This preemptively gathers evidence to rebut anticipated false allegations, a common tactic in coercive control cases.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 Strategic Analysis: Seizing the Initiative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successful execution of this "blitz" will achieve several critical strategic objectives. It will remove an internal vulnerability (Kirk) that was actively harming the case. It will place the opposing party on the defensive, forcing them to respond to an emergency motion rather than prosecute their own agenda. Most importantly, it will shift the narrative and legal focus of the case away from a contentious divorce and onto the urgent matter of child welfare and protection from psychological abuse. This creates significant new leverage and disrupts the opposing party's ability to continue its campaign of coercive control through the legal 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E. Identified Blind Spots &amp; Risk Mitigation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aggressive nature of this plan carries significant execution risk that must be carefully managed.</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b1c1d"/>
          <w:rtl w:val="0"/>
        </w:rPr>
        <w:t xml:space="preserve">Interconnected Execution Risk</w:t>
      </w:r>
      <w:r w:rsidDel="00000000" w:rsidR="00000000" w:rsidRPr="00000000">
        <w:rPr>
          <w:rFonts w:ascii="Arial" w:cs="Arial" w:eastAsia="Arial" w:hAnsi="Arial"/>
          <w:color w:val="1b1c1d"/>
          <w:rtl w:val="0"/>
        </w:rPr>
        <w:t xml:space="preserve">: The plan to fire an attorney and immediately file a State Bar complaint and an emergency motion is exceptionally high-risk because the actions are so tightly coupled. A first-order risk is simple retaliation from Kirk. A more complex, second-order risk is that a family court judge might perceive the rapid succession of events as an overly aggressive or vindictive tactic, potentially damaging Nuha's credibility. This leads to a third-order implication: the quality of the emergency custody filing must be procedurally and evidentially flawless. Any error will be magnified and exploited by opposing counsel, who will undoubtedly frame the entire sequence as a malicious, premeditated attack rather than a necessary response to an emergency. The primary mitigation is to ensure the filings are procedurally perfect and the evidence of harm to the children is so compelling that it justifies the extraordinary measures taken.</w:t>
      </w: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b1c1d"/>
          <w:rtl w:val="0"/>
        </w:rPr>
        <w:t xml:space="preserve">TRO Service Date Conflict</w:t>
      </w:r>
      <w:r w:rsidDel="00000000" w:rsidR="00000000" w:rsidRPr="00000000">
        <w:rPr>
          <w:rFonts w:ascii="Arial" w:cs="Arial" w:eastAsia="Arial" w:hAnsi="Arial"/>
          <w:color w:val="1b1c1d"/>
          <w:rtl w:val="0"/>
        </w:rPr>
        <w:t xml:space="preserve">: The identified "CRITICAL CONFLICT" in the Proof of Service date for a pre-existing Temporary Restraining Order must be reconciled immediately.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b1c1d"/>
          <w:rtl w:val="0"/>
        </w:rPr>
        <w:t xml:space="preserve"> This is not a minor administrative issue; a discrepancy in the date of service could render the TRO unenforceable, meaning any past or future violations by the opposing party may have no legal consequence. This vulnerability must be closed.</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IV. Project Deep Dive: The Judy Brakebill Jones Trust Litigation (Threat Level: STRATEGIC)</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Intelligence Assessment &amp; Case Readiness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This project is currently stalled, representing a significant loss of strategic momentum. It has been 51 days, from September 8 to October 29, since the last prospective legal counsel, Rodney Gould Law, declined representation.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period of inaction poses a growing risk to the entire legal effort.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primary asset in this project is the high state of preparation. A complete and verified filing package for a Probate Code $§ 850$ petition is ready for submission. This package includes the Petition, a Notice of Hearing (DE-115), a Probate Coversheet (PRO-010), and a Proof of Service (POS-030).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Furthermore, a sophisticated "Evidence Teaser Packet" has been developed specifically for attorney consultations, demonstrating a proactive and strategic approach to case presentation.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underlying nature of the conflict is an aggressive, intra-familial legal action against sisters and involves financial demands directed at the father. The stated emotional context includes seeking "revenge" and employing tactics to "overwhelm" the opposition, which may influence how law firms perceive the case.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 Contextual Analysis: The Attorney Engagement Challenge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declination by Rodney Gould Law, a referral from The Houck Firm, coupled with the subsequent lack of follow-up referrals from Martin Avanesian of that firm, warrants a deeper analysis.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Given the high quality of the prepared legal package, the reluctance of counsel may not be due to a lack of case readiness. Several other factors are likely at play:</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Economic Viability</w:t>
      </w:r>
      <w:r w:rsidDel="00000000" w:rsidR="00000000" w:rsidRPr="00000000">
        <w:rPr>
          <w:rFonts w:ascii="Arial" w:cs="Arial" w:eastAsia="Arial" w:hAnsi="Arial"/>
          <w:color w:val="1b1c1d"/>
          <w:rtl w:val="0"/>
        </w:rPr>
        <w:t xml:space="preserve">: The potential financial recovery from the estate may not be sufficient to make the case attractive on a contingency fee basis, especially if the litigation is expected to be protracted and costly.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Case Complexity and Risk</w:t>
      </w:r>
      <w:r w:rsidDel="00000000" w:rsidR="00000000" w:rsidRPr="00000000">
        <w:rPr>
          <w:rFonts w:ascii="Arial" w:cs="Arial" w:eastAsia="Arial" w:hAnsi="Arial"/>
          <w:color w:val="1b1c1d"/>
          <w:rtl w:val="0"/>
        </w:rPr>
        <w:t xml:space="preserve">: Intra-familial lawsuits are notoriously draining, both emotionally and financially. Law firms often assess such cases as having a high risk of becoming intractable, with parties driven more by emotion than by rational legal or financial objectives. The aggressive posture of the case may signal to prospective counsel a high-conflict engagement that they are unwilling to undertake.</w:t>
      </w:r>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Client-as-Strategist Misalignment</w:t>
      </w:r>
      <w:r w:rsidDel="00000000" w:rsidR="00000000" w:rsidRPr="00000000">
        <w:rPr>
          <w:rFonts w:ascii="Arial" w:cs="Arial" w:eastAsia="Arial" w:hAnsi="Arial"/>
          <w:color w:val="1b1c1d"/>
          <w:rtl w:val="0"/>
        </w:rPr>
        <w:t xml:space="preserve">: The exceptional level of preparation and strategic involvement, while a strength, can be perceived as a challenge by law firms accustomed to a more traditional, passive client relationship. They may fear that a highly involved principal will be difficult to manage, leading them to decline representation.</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 Immediate &amp; Medium-Term Actions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renewed and more strategic approach is required to secure representation and restart forward progress.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Priority 1: Verify Statute of Limitations (URGENT)</w:t>
      </w:r>
      <w:r w:rsidDel="00000000" w:rsidR="00000000" w:rsidRPr="00000000">
        <w:rPr>
          <w:rFonts w:ascii="Arial" w:cs="Arial" w:eastAsia="Arial" w:hAnsi="Arial"/>
          <w:color w:val="1b1c1d"/>
          <w:rtl w:val="0"/>
        </w:rPr>
        <w:t xml:space="preserve">: The 51-day delay makes this the single most critical risk to the entire case. All relevant filing deadlines and statutes of limitations for the $§ 850$ petition must be immediately researched and verified. Failure to do so could result in the forfeiture of the entire claim, rendering all prior preparation moot.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is a non-negotiable, top-priority action for this week.</w:t>
      </w:r>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Priority 2: Re-engage and Expand Attorney Search</w:t>
      </w:r>
      <w:r w:rsidDel="00000000" w:rsidR="00000000" w:rsidRPr="00000000">
        <w:rPr>
          <w:rFonts w:ascii="Arial" w:cs="Arial" w:eastAsia="Arial" w:hAnsi="Arial"/>
          <w:color w:val="1b1c1d"/>
          <w:rtl w:val="0"/>
        </w:rPr>
        <w:t xml:space="preserve">: A systematic and expanded search for counsel must be launched. This includes following up one more time with Martin Avanesian and Ji-In Houck for any potential referrals, but more importantly, expanding the search to include a targeted list of trust and estate litigation specialists in Los Angeles County identified through bar association referral services and other professional networks.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Priority 3: Prepare Pro Per Contingency</w:t>
      </w:r>
      <w:r w:rsidDel="00000000" w:rsidR="00000000" w:rsidRPr="00000000">
        <w:rPr>
          <w:rFonts w:ascii="Arial" w:cs="Arial" w:eastAsia="Arial" w:hAnsi="Arial"/>
          <w:color w:val="1b1c1d"/>
          <w:rtl w:val="0"/>
        </w:rPr>
        <w:t xml:space="preserve">: A clear deadline must be set. If suitable counsel is not secured by that date, the contingency plan to file the petition pro per (representing oneself) must be activated. This action would, at a minimum, toll the statute of limitations and preserve the legal claim, buying more time to secure counsel for the subsequent phases of the litigation.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 Strategic Analysis: Optimizing the Path to Representation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key to securing counsel lies in reframing the primary asset—the high level of preparation. This "documentation excellence" should be presented not as a desire to micromanage the case, but as a strategic advantage that will significantly reduce the attorney's initial workload, increase the overall efficiency of the litigation, and de-risk the engagement for the firm.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A powerful tactic to overcome the initial barrier of a free consultation is to offer to pay for a one- or two-hour limited-scope consultation. This changes the dynamic, compensating an experienced attorney for their time to conduct a candid, in-depth case assessment. This approach can provide invaluable, objective feedback on the case's strengths and weaknesses and may lead to a full engagement once the attorney has a clearer understanding of the merits.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E. Identified Blind Spots &amp; Risk Mitigation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most significant risks are related to time and the duties of the Trustee.</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Arial" w:cs="Arial" w:eastAsia="Arial" w:hAnsi="Arial"/>
          <w:b w:val="1"/>
          <w:bCs w:val="1"/>
          <w:color w:val="1b1c1d"/>
          <w:rtl w:val="0"/>
        </w:rPr>
        <w:t xml:space="preserve">Inertia as a Strategic Threat</w:t>
      </w:r>
      <w:r w:rsidDel="00000000" w:rsidR="00000000" w:rsidRPr="00000000">
        <w:rPr>
          <w:rFonts w:ascii="Arial" w:cs="Arial" w:eastAsia="Arial" w:hAnsi="Arial"/>
          <w:color w:val="1b1c1d"/>
          <w:rtl w:val="0"/>
        </w:rPr>
        <w:t xml:space="preserve">: The 51-day delay is not a benign pause; it is an active loss of strategic momentum. In litigation, time is a resource that can be used as a weapon. The first-order effect of this delay is the direct risk to the statute of limitations. The second-order effect is that evidence can grow stale, witness memories can fade, and the opposing parties are afforded more time to prepare their defenses and conceal assets. The most dangerous third-order implication relates to the role of Successor Trustee. This prolonged delay in taking action to recover trust assets could be framed by the defendants in court as a breach of the Trustee's fiduciary duty to the trust and its beneficiaries. This could create personal liability. The essential mitigation for this risk is to meticulously document every single action taken in the diligent search for legal representation.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V. Project Deep Dive: The Recovery Compass Partnership (Threat Level: FOUNDATIONAL)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Intelligence Assessment &amp; Partnership Health Check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Recovery Compass project, specifically its partnership with Whittier First Day (WFD), is currently the most stable and productive of the four project areas. The operational status is positive and marked by clear forward momentum. A Memorandum of Understanding (MOU) for the Data Systems &amp; Research Partnership was finalized on August 29, 2025, and the WFD Dashboard is live and in production monitoring at compliance.erdmethod.org, serving three users.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data alignment process, a critical early hurdle, has been successfully navigated. Significant work in September resolved initial format and specification issues for the August 2025 data set. The process for the October data is proceeding smoothly, guided by a "Clean Start Protocol" and characterized by a productive, detail-oriented working relationship with the WFD data lead, Jacob Lozoya.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A crucial step has also been taken to protect the project's intellectual property. A trademark application for "RECOVERY COMPASS" was filed with the United States Patent and Trademark Office (USPTO) on October 2, 2025 (Serial No. 99425164), securing the brand identity as the project prepares to scale.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 Contextual Analysis: Building the Engine for Scale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This project should be viewed as the cornerstone of a much larger strategic vision. The immediate work with WFD is not an end in itself, but rather the means to a critical strategic goal: to formally validate the Environmental Response Design (ERD) model as a recognized Evidence-Based Practice (EBP).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Achieving EBP status is the key that unlocks the long-term viability and scalability of Recovery Compass. Formal recognition as an EBP would make the ERD model eligible for insurance reimbursements and open up significant new grant funding opportunities from governmental bodies and large foundations. The WFD partnership is the crucible in which the proof-of-concept is being forged. The data, case study, and publications generated from this work will serve as the primary evidence to achieve this goal, transforming Recovery Compass from a pro-bono project into a sustainable, scalable social enterprise.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 Immediate &amp; Medium-Term Actions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While the project is stable, proactive steps are needed to maintain momentum and build for the future.</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Priority 1: Complete October Dashboard</w:t>
      </w:r>
      <w:r w:rsidDel="00000000" w:rsidR="00000000" w:rsidRPr="00000000">
        <w:rPr>
          <w:rFonts w:ascii="Arial" w:cs="Arial" w:eastAsia="Arial" w:hAnsi="Arial"/>
          <w:color w:val="1b1c1d"/>
          <w:rtl w:val="0"/>
        </w:rPr>
        <w:t xml:space="preserve">: The immediate tactical priority is to confirm receipt of the complete October 2025 data set from Jacob Lozoya, process it according to the agreed-upon specifications, and complete the dashboard build and quality assurance (QA) review.</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Delivering this on time and with high quality is essential for maintaining partnership health.</w:t>
      </w:r>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Priority 2: Proactive Partnership Maintenance</w:t>
      </w:r>
      <w:r w:rsidDel="00000000" w:rsidR="00000000" w:rsidRPr="00000000">
        <w:rPr>
          <w:rFonts w:ascii="Arial" w:cs="Arial" w:eastAsia="Arial" w:hAnsi="Arial"/>
          <w:color w:val="1b1c1d"/>
          <w:rtl w:val="0"/>
        </w:rPr>
        <w:t xml:space="preserve">: To institutionalize the successful workflow, the November data check-in meeting should be proactively scheduled with both Jacob Lozoya and his superior, Randall Trice. Including leadership in these regular check-ins ensures continued institutional buy-in from WFD.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Priority 3: Initiate Business Development</w:t>
      </w:r>
      <w:r w:rsidDel="00000000" w:rsidR="00000000" w:rsidRPr="00000000">
        <w:rPr>
          <w:rFonts w:ascii="Arial" w:cs="Arial" w:eastAsia="Arial" w:hAnsi="Arial"/>
          <w:color w:val="1b1c1d"/>
          <w:rtl w:val="0"/>
        </w:rPr>
        <w:t xml:space="preserve">: To mitigate the significant strategic risk of relying on a single partner, the process of identifying and approaching potential new partner organizations must begin now. The success story with WFD, even in its current stage, can be used as a powerful tool to start these conversations.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 Strategic Analysis: From Proof-of-Concept to Market Leader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WFD dashboard is more than a technical deliverable; it is a powerful sales and marketing asset. It must be packaged into a compelling case study, complete with data visualizations and a clear narrative of value delivered. This case study will become the primary tool for pitching new clients and demonstrating the power of the ERD model.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To bolster these marketing efforts, a formal testimonial should be requested from WFD leadership, such as Randall Trice or Donna Gallup.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A strong endorsement from a respected partner organization will provide critical social proof and lend credibility to the model when approaching new prospects.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E. Identified Blind Spots &amp; Risk Mitigation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Despite the positive status, several underlying business risks must be addressed to ensure long-term sustainability.</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b1c1d"/>
          <w:rtl w:val="0"/>
        </w:rPr>
        <w:t xml:space="preserve">Financial Sustainability</w:t>
      </w:r>
      <w:r w:rsidDel="00000000" w:rsidR="00000000" w:rsidRPr="00000000">
        <w:rPr>
          <w:rFonts w:ascii="Arial" w:cs="Arial" w:eastAsia="Arial" w:hAnsi="Arial"/>
          <w:color w:val="1b1c1d"/>
          <w:rtl w:val="0"/>
        </w:rPr>
        <w:t xml:space="preserve">: The available documentation provides no indication of a revenue model for this work. It is unclear if the partnership is pro bono, grant-funded, or a precursor to a fee-for-service arrangement.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ambiguity is a critical strategic vulnerability. A clear path to financial sustainability must be defined to ensure the project can survive and grow beyond the initial WFD engagement.</w:t>
      </w:r>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b1c1d"/>
          <w:rtl w:val="0"/>
        </w:rPr>
        <w:t xml:space="preserve">Key Person Dependency</w:t>
      </w:r>
      <w:r w:rsidDel="00000000" w:rsidR="00000000" w:rsidRPr="00000000">
        <w:rPr>
          <w:rFonts w:ascii="Arial" w:cs="Arial" w:eastAsia="Arial" w:hAnsi="Arial"/>
          <w:color w:val="1b1c1d"/>
          <w:rtl w:val="0"/>
        </w:rPr>
        <w:t xml:space="preserve">: The entire data pipeline and operational relationship with WFD currently flows through a single point of contact: Jacob Lozoya.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While he has been responsive and effective, this creates a significant business continuity risk. A first-order risk is that his workload causes delays. A more severe, second-order risk is that he leaves his position at WFD, which could sever the data connection and jeopardize the entire project. This reveals a third-order implication: the partnership's operational integrity is fragile. Mitigation requires moving beyond this single point of contact by increasing engagement with his leadership (Randall Trice) and meticulously documenting the data transfer and processing protocols so that a successor could be trained quickly and efficiently.</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VI. Cross-Cutting Strategic Synthesis &amp; Personal Sustainability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 The Attorney Engagement Playbook</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The negative experiences with Rodney Gould Law in the Jones Trust case and Ramey Flock in the Kathy Hart case are not isolated incidents; they form a clear pattern of friction that exposes a systemic vulnerability in the current operational model.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A detailed analysis of these interactions reveals that the friction likely stems from a fundamental misalignment between the role of a highly-prepared, strategically involved principal and the operational expectations of traditional, hierarchical law firms.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To prevent these costly delays and conflicts from recurring, a new, more rigorous playbook for engaging legal counsel must be adopted. This protocol should include:</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Explicit Role Definition</w:t>
      </w:r>
      <w:r w:rsidDel="00000000" w:rsidR="00000000" w:rsidRPr="00000000">
        <w:rPr>
          <w:rFonts w:ascii="Arial" w:cs="Arial" w:eastAsia="Arial" w:hAnsi="Arial"/>
          <w:color w:val="1b1c1d"/>
          <w:rtl w:val="0"/>
        </w:rPr>
        <w:t xml:space="preserve">: During initial consultations, the role of the principal as a strategic partner and active case manager must be explicitly defined and agreed upon. This sets clear expectations from the outset.</w:t>
      </w:r>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Targeted Search</w:t>
      </w:r>
      <w:r w:rsidDel="00000000" w:rsidR="00000000" w:rsidRPr="00000000">
        <w:rPr>
          <w:rFonts w:ascii="Arial" w:cs="Arial" w:eastAsia="Arial" w:hAnsi="Arial"/>
          <w:color w:val="1b1c1d"/>
          <w:rtl w:val="0"/>
        </w:rPr>
        <w:t xml:space="preserve">: The search for counsel should be specifically targeted toward modern, collaborative firms that are more receptive to a partnership model with their clients, rather than defaulting to more traditional firms.</w:t>
      </w:r>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Using Paid Consultations</w:t>
      </w:r>
      <w:r w:rsidDel="00000000" w:rsidR="00000000" w:rsidRPr="00000000">
        <w:rPr>
          <w:rFonts w:ascii="Arial" w:cs="Arial" w:eastAsia="Arial" w:hAnsi="Arial"/>
          <w:color w:val="1b1c1d"/>
          <w:rtl w:val="0"/>
        </w:rPr>
        <w:t xml:space="preserve">: The practice of using paid, limited-scope consultations should be standard procedure. This "test drive" allows for a much deeper evaluation of the attorney's competence, communication style, and strategic thinking before committing to a full and costly engagement.</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 Command &amp; Control: Managing Personal Capacity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b1c1d"/>
          <w:rtl w:val="0"/>
        </w:rPr>
        <w:t xml:space="preserve">The most critical blind spot across the entire portfolio is not an external threat but an internal one: the finite capacity of the central command-and-control function and the associated risk of burnout.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b1c1d"/>
          <w:rtl w:val="0"/>
        </w:rPr>
        <w:t xml:space="preserve"> This directly addresses the stated intent behind the request for this briefing: to create a "daily command center ritual" for "cognitive offloading" in order to "sustain this level of advocacy and crisis management without burning out".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Managing this risk requires a deliberate and systematic approach:</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b1c1d"/>
          <w:rtl w:val="0"/>
        </w:rPr>
        <w:t xml:space="preserve">Systematic Prioritization</w:t>
      </w:r>
      <w:r w:rsidDel="00000000" w:rsidR="00000000" w:rsidRPr="00000000">
        <w:rPr>
          <w:rFonts w:ascii="Arial" w:cs="Arial" w:eastAsia="Arial" w:hAnsi="Arial"/>
          <w:color w:val="1b1c1d"/>
          <w:rtl w:val="0"/>
        </w:rPr>
        <w:t xml:space="preserve">: The disciplined daily use of tools like the Threat &amp; Priority Matrix is essential for focusing finite energy and attention on the tasks that have the highest strategic leverage and urgency.</w:t>
      </w:r>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b1c1d"/>
          <w:rtl w:val="0"/>
        </w:rPr>
        <w:t xml:space="preserve">Information Management</w:t>
      </w:r>
      <w:r w:rsidDel="00000000" w:rsidR="00000000" w:rsidRPr="00000000">
        <w:rPr>
          <w:rFonts w:ascii="Arial" w:cs="Arial" w:eastAsia="Arial" w:hAnsi="Arial"/>
          <w:color w:val="1b1c1d"/>
          <w:rtl w:val="0"/>
        </w:rPr>
        <w:t xml:space="preserve">: Continuing to use this daily briefing process is a core component of cognitive offloading. It externalizes the immense burden of tracking every detail across four complex fronts, freeing up mental bandwidth for high-level strategic decision-making.</w:t>
      </w:r>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b1c1d"/>
          <w:rtl w:val="0"/>
        </w:rPr>
        <w:t xml:space="preserve">Strategic Disengagement</w:t>
      </w:r>
      <w:r w:rsidDel="00000000" w:rsidR="00000000" w:rsidRPr="00000000">
        <w:rPr>
          <w:rFonts w:ascii="Arial" w:cs="Arial" w:eastAsia="Arial" w:hAnsi="Arial"/>
          <w:color w:val="1b1c1d"/>
          <w:rtl w:val="0"/>
        </w:rPr>
        <w:t xml:space="preserve">: It is crucial to schedule and protect time for strategic review and planning that is separate from the daily tactical firefight. This prevents decision-making from becoming purely reactive and ensures that actions remain aligned with long-term goals.</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Ultimately, the four projects do not represent separate pools of risk; they are a single, interconnected strategic system with the principal as the central, load-bearing node. A failure in one area, caused by depleted capacity from fighting a battle in another, will inevitably cascade across the entire portfolio. For example, being consumed by the immediate and justified crisis in the Kathy Hart case could directly lead to missing the statute of limitations in the equally important Judy Brakebill Jones case. Therefore, managing personal capacity is not a peripheral or "soft" issue. It is the single most important strategic variable in the success of all four operations. It is the center of gravity upon which the entire enterprise depends.</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executive_briefing_oct29.pdf</w:t>
      </w:r>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Executive Briefing — October 29, 2025</w:t>
      </w:r>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Claude executive briefing first response.txt</w:t>
      </w:r>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10-29_executive briefing for your four primary project areas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