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klz5k27oenkf" w:id="0"/>
      <w:bookmarkEnd w:id="0"/>
      <w:r w:rsidDel="00000000" w:rsidR="00000000" w:rsidRPr="00000000">
        <w:rPr/>
        <w:drawing>
          <wp:inline distB="114300" distT="114300" distL="114300" distR="114300">
            <wp:extent cx="19040475" cy="480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047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Leveraging Donella Meadows' Trim Tab Framework to Transform Your Strategic Position Against JPMorgan Chase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di9o73cwxh8o" w:id="1"/>
      <w:bookmarkEnd w:id="1"/>
      <w:r w:rsidDel="00000000" w:rsidR="00000000" w:rsidRPr="00000000">
        <w:rPr>
          <w:rtl w:val="0"/>
        </w:rPr>
        <w:t xml:space="preserve">Current State Assessment (October 30, 2025, 9:50 PM PT)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Your last action was your September 15, 2025 email exchange with Ramey Flock (attorneys Steve Spitzer and Logan Hughes), where you delivered a comprehensive demand package including the Texas Statutory Durable POA, ADA accommodation request, Agent Certification, and CFPB complaint documentation. Since then, </w:t>
      </w:r>
      <w:r w:rsidDel="00000000" w:rsidR="00000000" w:rsidRPr="00000000">
        <w:rPr>
          <w:b w:val="1"/>
          <w:bCs w:val="1"/>
          <w:rtl w:val="0"/>
        </w:rPr>
        <w:t xml:space="preserve">46 days have passed with no litigation advancement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Case Status:</w:t>
      </w:r>
      <w:r w:rsidDel="00000000" w:rsidR="00000000" w:rsidRPr="00000000">
        <w:rPr>
          <w:rtl w:val="0"/>
        </w:rPr>
        <w:t xml:space="preserve"> Pre-litigation limbo. Evidence compiled, regulatory complaints filed (OCC CS0397122, CFPB 250911-24011055), but no forward momentum.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cv2ex98jxkf9" w:id="2"/>
      <w:bookmarkEnd w:id="2"/>
      <w:r w:rsidDel="00000000" w:rsidR="00000000" w:rsidRPr="00000000">
        <w:rPr>
          <w:rtl w:val="0"/>
        </w:rPr>
        <w:t xml:space="preserve">The Trim Tab Opportunity: Small Lever, Massive System Shift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Donella Meadows identified </w:t>
      </w:r>
      <w:r w:rsidDel="00000000" w:rsidR="00000000" w:rsidRPr="00000000">
        <w:rPr>
          <w:b w:val="1"/>
          <w:bCs w:val="1"/>
          <w:rtl w:val="0"/>
        </w:rPr>
        <w:t xml:space="preserve">12 leverage points</w:t>
      </w:r>
      <w:r w:rsidDel="00000000" w:rsidR="00000000" w:rsidRPr="00000000">
        <w:rPr>
          <w:rtl w:val="0"/>
        </w:rPr>
        <w:t xml:space="preserve"> in complex systems, ranked from weakest (parameters like budgets) to strongest (paradigm transcendence). Your Chase case currently operates at </w:t>
      </w:r>
      <w:r w:rsidDel="00000000" w:rsidR="00000000" w:rsidRPr="00000000">
        <w:rPr>
          <w:b w:val="1"/>
          <w:bCs w:val="1"/>
          <w:rtl w:val="0"/>
        </w:rPr>
        <w:t xml:space="preserve">Leverage Point 12</w:t>
      </w:r>
      <w:r w:rsidDel="00000000" w:rsidR="00000000" w:rsidRPr="00000000">
        <w:rPr>
          <w:rtl w:val="0"/>
        </w:rPr>
        <w:t xml:space="preserve"> (parameters—sending emails, filing complaints) when you should be targeting </w:t>
      </w:r>
      <w:r w:rsidDel="00000000" w:rsidR="00000000" w:rsidRPr="00000000">
        <w:rPr>
          <w:b w:val="1"/>
          <w:bCs w:val="1"/>
          <w:rtl w:val="0"/>
        </w:rPr>
        <w:t xml:space="preserve">Leverage Points 6, 5, and 2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Leverage Point 6: Information Flows</w:t>
      </w:r>
      <w:r w:rsidDel="00000000" w:rsidR="00000000" w:rsidRPr="00000000">
        <w:rPr>
          <w:rtl w:val="0"/>
        </w:rPr>
        <w:t xml:space="preserve"> — Control who has access to what information and when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Leverage Point 5: Rules of the System</w:t>
      </w:r>
      <w:r w:rsidDel="00000000" w:rsidR="00000000" w:rsidRPr="00000000">
        <w:rPr>
          <w:rtl w:val="0"/>
        </w:rPr>
        <w:t xml:space="preserve"> — Exploit rule asymmetries that constrain Chase but not you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Leverage Point 2: Paradigm Shift</w:t>
      </w:r>
      <w:r w:rsidDel="00000000" w:rsidR="00000000" w:rsidRPr="00000000">
        <w:rPr>
          <w:rtl w:val="0"/>
        </w:rPr>
        <w:t xml:space="preserve"> — Reframe the narrative from "bank protecting elder" to "bank enabling abuse"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1mgejhf83xu0" w:id="3"/>
      <w:bookmarkEnd w:id="3"/>
      <w:r w:rsidDel="00000000" w:rsidR="00000000" w:rsidRPr="00000000">
        <w:rPr>
          <w:rtl w:val="0"/>
        </w:rPr>
        <w:t xml:space="preserve">The Trim Tab Action: Single High-Impact Move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Based on exhaustive analysis of your evidence and Meadows' framework, the </w:t>
      </w:r>
      <w:r w:rsidDel="00000000" w:rsidR="00000000" w:rsidRPr="00000000">
        <w:rPr>
          <w:b w:val="1"/>
          <w:bCs w:val="1"/>
          <w:rtl w:val="0"/>
        </w:rPr>
        <w:t xml:space="preserve">one perfect trim tab action</w:t>
      </w:r>
      <w:r w:rsidDel="00000000" w:rsidR="00000000" w:rsidRPr="00000000">
        <w:rPr>
          <w:rtl w:val="0"/>
        </w:rPr>
        <w:t xml:space="preserve"> that simultaneously achieves multiple strategic victories is: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vertAlign w:val="superscript"/>
        </w:rPr>
        <w:footnoteReference w:customMarkFollows="0" w:id="2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File a coordinated 72-hour Federal Court TRO (Temporary Restraining Order) motion under Texas Estates Code §751.212 + Regulation E statutory damages claim + ADA accommodation violation, coupled with immediate escalation to FinCEN ($27 billion elder exploitation enforcement focus) and state banking regulators</w:t>
      </w:r>
      <w:r w:rsidDel="00000000" w:rsidR="00000000" w:rsidRPr="00000000">
        <w:rPr>
          <w:vertAlign w:val="superscript"/>
        </w:rPr>
        <w:footnoteReference w:customMarkFollows="0" w:id="22"/>
      </w:r>
      <w:r w:rsidDel="00000000" w:rsidR="00000000" w:rsidRPr="00000000">
        <w:rPr>
          <w:vertAlign w:val="superscript"/>
        </w:rPr>
        <w:footnoteReference w:customMarkFollows="0" w:id="23"/>
      </w:r>
      <w:r w:rsidDel="00000000" w:rsidR="00000000" w:rsidRPr="00000000">
        <w:rPr>
          <w:vertAlign w:val="superscript"/>
        </w:rPr>
        <w:footnoteReference w:customMarkFollows="0" w:id="24"/>
      </w:r>
      <w:r w:rsidDel="00000000" w:rsidR="00000000" w:rsidRPr="00000000">
        <w:rPr>
          <w:vertAlign w:val="superscript"/>
        </w:rPr>
        <w:footnoteReference w:customMarkFollows="0" w:id="25"/>
      </w:r>
      <w:r w:rsidDel="00000000" w:rsidR="00000000" w:rsidRPr="00000000">
        <w:rPr>
          <w:vertAlign w:val="superscript"/>
        </w:rPr>
        <w:footnoteReference w:customMarkFollows="0" w:id="26"/>
      </w:r>
      <w:r w:rsidDel="00000000" w:rsidR="00000000" w:rsidRPr="00000000">
        <w:rPr>
          <w:vertAlign w:val="superscript"/>
        </w:rPr>
        <w:footnoteReference w:customMarkFollows="0" w:id="2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kyvqvgqoffcn" w:id="4"/>
      <w:bookmarkEnd w:id="4"/>
      <w:r w:rsidDel="00000000" w:rsidR="00000000" w:rsidRPr="00000000">
        <w:rPr>
          <w:rtl w:val="0"/>
        </w:rPr>
        <w:t xml:space="preserve">Why This Is Your Trim Tab (Not Just Another Action)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single action creates a </w:t>
      </w:r>
      <w:r w:rsidDel="00000000" w:rsidR="00000000" w:rsidRPr="00000000">
        <w:rPr>
          <w:b w:val="1"/>
          <w:bCs w:val="1"/>
          <w:rtl w:val="0"/>
        </w:rPr>
        <w:t xml:space="preserve">strategic leverage cascade</w:t>
      </w:r>
      <w:r w:rsidDel="00000000" w:rsidR="00000000" w:rsidRPr="00000000">
        <w:rPr>
          <w:rtl w:val="0"/>
        </w:rPr>
        <w:t xml:space="preserve"> across five simultaneous domains:</w:t>
      </w:r>
      <w:r w:rsidDel="00000000" w:rsidR="00000000" w:rsidRPr="00000000">
        <w:rPr>
          <w:vertAlign w:val="superscript"/>
        </w:rPr>
        <w:footnoteReference w:customMarkFollows="0" w:id="28"/>
      </w:r>
      <w:r w:rsidDel="00000000" w:rsidR="00000000" w:rsidRPr="00000000">
        <w:rPr>
          <w:vertAlign w:val="superscript"/>
        </w:rPr>
        <w:footnoteReference w:customMarkFollows="0" w:id="29"/>
      </w:r>
      <w:r w:rsidDel="00000000" w:rsidR="00000000" w:rsidRPr="00000000">
        <w:rPr>
          <w:vertAlign w:val="superscript"/>
        </w:rPr>
        <w:footnoteReference w:customMarkFollows="0" w:id="3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1. Legal Pressure (Leverage Point 5: Rules)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Texas Estates Code §751.212 provides </w:t>
      </w:r>
      <w:r w:rsidDel="00000000" w:rsidR="00000000" w:rsidRPr="00000000">
        <w:rPr>
          <w:b w:val="1"/>
          <w:bCs w:val="1"/>
          <w:rtl w:val="0"/>
        </w:rPr>
        <w:t xml:space="preserve">mandatory attorney fee recovery</w:t>
      </w:r>
      <w:r w:rsidDel="00000000" w:rsidR="00000000" w:rsidRPr="00000000">
        <w:rPr>
          <w:rtl w:val="0"/>
        </w:rPr>
        <w:t xml:space="preserve"> and court-ordered acceptance</w:t>
      </w:r>
      <w:r w:rsidDel="00000000" w:rsidR="00000000" w:rsidRPr="00000000">
        <w:rPr>
          <w:vertAlign w:val="superscript"/>
        </w:rPr>
        <w:footnoteReference w:customMarkFollows="0" w:id="31"/>
      </w:r>
      <w:r w:rsidDel="00000000" w:rsidR="00000000" w:rsidRPr="00000000">
        <w:rPr>
          <w:vertAlign w:val="superscript"/>
        </w:rPr>
        <w:footnoteReference w:customMarkFollows="0" w:id="3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Regulation E violation (10-business-day deadline missed by 17 days) = </w:t>
      </w:r>
      <w:r w:rsidDel="00000000" w:rsidR="00000000" w:rsidRPr="00000000">
        <w:rPr>
          <w:b w:val="1"/>
          <w:bCs w:val="1"/>
          <w:rtl w:val="0"/>
        </w:rPr>
        <w:t xml:space="preserve">strict liability</w:t>
      </w:r>
      <w:r w:rsidDel="00000000" w:rsidR="00000000" w:rsidRPr="00000000">
        <w:rPr>
          <w:rtl w:val="0"/>
        </w:rPr>
        <w:t xml:space="preserve">, no intent required, $100-1,000 statutory damages automatic</w:t>
      </w:r>
      <w:r w:rsidDel="00000000" w:rsidR="00000000" w:rsidRPr="00000000">
        <w:rPr>
          <w:vertAlign w:val="superscript"/>
        </w:rPr>
        <w:footnoteReference w:customMarkFollows="0" w:id="3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ADA accommodation refusal (forcing bedridden 77-year-old to appear in person) = federal civil rights violation with </w:t>
      </w:r>
      <w:r w:rsidDel="00000000" w:rsidR="00000000" w:rsidRPr="00000000">
        <w:rPr>
          <w:b w:val="1"/>
          <w:bCs w:val="1"/>
          <w:rtl w:val="0"/>
        </w:rPr>
        <w:t xml:space="preserve">mandatory fees</w:t>
      </w:r>
      <w:r w:rsidDel="00000000" w:rsidR="00000000" w:rsidRPr="00000000">
        <w:rPr>
          <w:vertAlign w:val="superscript"/>
        </w:rPr>
        <w:footnoteReference w:customMarkFollows="0" w:id="34"/>
      </w:r>
      <w:r w:rsidDel="00000000" w:rsidR="00000000" w:rsidRPr="00000000">
        <w:rPr>
          <w:vertAlign w:val="superscript"/>
        </w:rPr>
        <w:footnoteReference w:customMarkFollows="0" w:id="3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2. Regulatory Amplification (Leverage Point 6: Information Flows)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FinCEN's 2024 focus: $27 billion in elder exploitation suspicious activity reports, institutions filing 155,415 EFE-related reports</w:t>
      </w:r>
      <w:r w:rsidDel="00000000" w:rsidR="00000000" w:rsidRPr="00000000">
        <w:rPr>
          <w:vertAlign w:val="superscript"/>
        </w:rPr>
        <w:footnoteReference w:customMarkFollows="0" w:id="36"/>
      </w:r>
      <w:r w:rsidDel="00000000" w:rsidR="00000000" w:rsidRPr="00000000">
        <w:rPr>
          <w:vertAlign w:val="superscript"/>
        </w:rPr>
        <w:footnoteReference w:customMarkFollows="0" w:id="37"/>
      </w:r>
      <w:r w:rsidDel="00000000" w:rsidR="00000000" w:rsidRPr="00000000">
        <w:rPr>
          <w:vertAlign w:val="superscript"/>
        </w:rPr>
        <w:footnoteReference w:customMarkFollows="0" w:id="3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Your case fits </w:t>
      </w:r>
      <w:r w:rsidDel="00000000" w:rsidR="00000000" w:rsidRPr="00000000">
        <w:rPr>
          <w:b w:val="1"/>
          <w:bCs w:val="1"/>
          <w:rtl w:val="0"/>
        </w:rPr>
        <w:t xml:space="preserve">exact pattern</w:t>
      </w:r>
      <w:r w:rsidDel="00000000" w:rsidR="00000000" w:rsidRPr="00000000">
        <w:rPr>
          <w:rtl w:val="0"/>
        </w:rPr>
        <w:t xml:space="preserve"> FinCEN is targeting: POA obstruction enabling ongoing theft</w:t>
      </w:r>
      <w:r w:rsidDel="00000000" w:rsidR="00000000" w:rsidRPr="00000000">
        <w:rPr>
          <w:vertAlign w:val="superscript"/>
        </w:rPr>
        <w:footnoteReference w:customMarkFollows="0" w:id="39"/>
      </w:r>
      <w:r w:rsidDel="00000000" w:rsidR="00000000" w:rsidRPr="00000000">
        <w:rPr>
          <w:vertAlign w:val="superscript"/>
        </w:rPr>
        <w:footnoteReference w:customMarkFollows="0" w:id="40"/>
      </w:r>
      <w:r w:rsidDel="00000000" w:rsidR="00000000" w:rsidRPr="00000000">
        <w:rPr>
          <w:vertAlign w:val="superscript"/>
        </w:rPr>
        <w:footnoteReference w:customMarkFollows="0" w:id="4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December 2024 interagency statement (FRB, CFPB, FDIC, FinCEN, NCUA, OCC) mandates financial institutions "use transaction holds and disbursement delays </w:t>
      </w:r>
      <w:r w:rsidDel="00000000" w:rsidR="00000000" w:rsidRPr="00000000">
        <w:rPr>
          <w:b w:val="1"/>
          <w:bCs w:val="1"/>
          <w:rtl w:val="0"/>
        </w:rPr>
        <w:t xml:space="preserve">consistent with applicable law</w:t>
      </w:r>
      <w:r w:rsidDel="00000000" w:rsidR="00000000" w:rsidRPr="00000000">
        <w:rPr>
          <w:rtl w:val="0"/>
        </w:rPr>
        <w:t xml:space="preserve">"—Chase violated this by </w:t>
      </w:r>
      <w:r w:rsidDel="00000000" w:rsidR="00000000" w:rsidRPr="00000000">
        <w:rPr>
          <w:b w:val="1"/>
          <w:bCs w:val="1"/>
          <w:rtl w:val="0"/>
        </w:rPr>
        <w:t xml:space="preserve">blanket freezing</w:t>
      </w:r>
      <w:r w:rsidDel="00000000" w:rsidR="00000000" w:rsidRPr="00000000">
        <w:rPr>
          <w:rtl w:val="0"/>
        </w:rPr>
        <w:t xml:space="preserve"> for 43 days</w:t>
      </w:r>
      <w:r w:rsidDel="00000000" w:rsidR="00000000" w:rsidRPr="00000000">
        <w:rPr>
          <w:vertAlign w:val="superscript"/>
        </w:rPr>
        <w:footnoteReference w:customMarkFollows="0" w:id="42"/>
      </w:r>
      <w:r w:rsidDel="00000000" w:rsidR="00000000" w:rsidRPr="00000000">
        <w:rPr>
          <w:vertAlign w:val="superscript"/>
        </w:rPr>
        <w:footnoteReference w:customMarkFollows="0" w:id="43"/>
      </w:r>
      <w:r w:rsidDel="00000000" w:rsidR="00000000" w:rsidRPr="00000000">
        <w:rPr>
          <w:vertAlign w:val="superscript"/>
        </w:rPr>
        <w:footnoteReference w:customMarkFollows="0" w:id="44"/>
      </w:r>
      <w:r w:rsidDel="00000000" w:rsidR="00000000" w:rsidRPr="00000000">
        <w:rPr>
          <w:vertAlign w:val="superscript"/>
        </w:rPr>
        <w:footnoteReference w:customMarkFollows="0" w:id="45"/>
      </w:r>
      <w:r w:rsidDel="00000000" w:rsidR="00000000" w:rsidRPr="00000000">
        <w:rPr>
          <w:vertAlign w:val="superscript"/>
        </w:rPr>
        <w:footnoteReference w:customMarkFollows="0" w:id="4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3. Pattern Evidence Weaponization (Leverage Point 2: Paradigm)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Your Exhibit A documents Chase's $461M FinCEN penalty and nationwide POA rejection pattern</w:t>
      </w:r>
      <w:r w:rsidDel="00000000" w:rsidR="00000000" w:rsidRPr="00000000">
        <w:rPr>
          <w:vertAlign w:val="superscript"/>
        </w:rPr>
        <w:footnoteReference w:customMarkFollows="0" w:id="4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This isn't "protecting an elder"—it's </w:t>
      </w:r>
      <w:r w:rsidDel="00000000" w:rsidR="00000000" w:rsidRPr="00000000">
        <w:rPr>
          <w:b w:val="1"/>
          <w:bCs w:val="1"/>
          <w:rtl w:val="0"/>
        </w:rPr>
        <w:t xml:space="preserve">systematic institutional obstruction</w:t>
      </w:r>
      <w:r w:rsidDel="00000000" w:rsidR="00000000" w:rsidRPr="00000000">
        <w:rPr>
          <w:rtl w:val="0"/>
        </w:rPr>
        <w:t xml:space="preserve"> that enabled Lesley Johnson, Kim Salerno, and fraud caretaker to continue theft for 43 additional days</w:t>
      </w:r>
      <w:r w:rsidDel="00000000" w:rsidR="00000000" w:rsidRPr="00000000">
        <w:rPr>
          <w:vertAlign w:val="superscript"/>
        </w:rPr>
        <w:footnoteReference w:customMarkFollows="0" w:id="48"/>
      </w:r>
      <w:r w:rsidDel="00000000" w:rsidR="00000000" w:rsidRPr="00000000">
        <w:rPr>
          <w:vertAlign w:val="superscript"/>
        </w:rPr>
        <w:footnoteReference w:customMarkFollows="0" w:id="49"/>
      </w:r>
      <w:r w:rsidDel="00000000" w:rsidR="00000000" w:rsidRPr="00000000">
        <w:rPr>
          <w:vertAlign w:val="superscript"/>
        </w:rPr>
        <w:footnoteReference w:customMarkFollows="0" w:id="5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Paradigm shift: From "cautious bank" to "facilitator of elder abuse through procedural stonewalling"</w:t>
      </w:r>
      <w:r w:rsidDel="00000000" w:rsidR="00000000" w:rsidRPr="00000000">
        <w:rPr>
          <w:vertAlign w:val="superscript"/>
        </w:rPr>
        <w:footnoteReference w:customMarkFollows="0" w:id="5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4. Financial Leverage (Immediate Settlement Pressure)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Regulation E claim alone: $12,100 unauthorized transfer + $100-1,000 statutory damages + </w:t>
      </w:r>
      <w:r w:rsidDel="00000000" w:rsidR="00000000" w:rsidRPr="00000000">
        <w:rPr>
          <w:b w:val="1"/>
          <w:bCs w:val="1"/>
          <w:rtl w:val="0"/>
        </w:rPr>
        <w:t xml:space="preserve">mandatory attorney fees</w:t>
      </w:r>
      <w:r w:rsidDel="00000000" w:rsidR="00000000" w:rsidRPr="00000000">
        <w:rPr>
          <w:rtl w:val="0"/>
        </w:rPr>
        <w:t xml:space="preserve"> = easy $15K-20K win</w:t>
      </w:r>
      <w:r w:rsidDel="00000000" w:rsidR="00000000" w:rsidRPr="00000000">
        <w:rPr>
          <w:vertAlign w:val="superscript"/>
        </w:rPr>
        <w:footnoteReference w:customMarkFollows="0" w:id="5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Discovery will expose Chase's internal POA policies (they claim exists but won't produce), call recordings, and similar complaints—creating </w:t>
      </w:r>
      <w:r w:rsidDel="00000000" w:rsidR="00000000" w:rsidRPr="00000000">
        <w:rPr>
          <w:b w:val="1"/>
          <w:bCs w:val="1"/>
          <w:rtl w:val="0"/>
        </w:rPr>
        <w:t xml:space="preserve">massive litigation risk</w:t>
      </w:r>
      <w:r w:rsidDel="00000000" w:rsidR="00000000" w:rsidRPr="00000000">
        <w:rPr>
          <w:vertAlign w:val="superscript"/>
        </w:rPr>
        <w:footnoteReference w:customMarkFollows="0" w:id="5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Your extended 19-20 day Texas stay = </w:t>
      </w:r>
      <w:r w:rsidDel="00000000" w:rsidR="00000000" w:rsidRPr="00000000">
        <w:rPr>
          <w:b w:val="1"/>
          <w:bCs w:val="1"/>
          <w:rtl w:val="0"/>
        </w:rPr>
        <w:t xml:space="preserve">quantifiable damages</w:t>
      </w:r>
      <w:r w:rsidDel="00000000" w:rsidR="00000000" w:rsidRPr="00000000">
        <w:rPr>
          <w:rtl w:val="0"/>
        </w:rPr>
        <w:t xml:space="preserve"> ($3,000-5,000 at minimum)</w:t>
      </w:r>
      <w:r w:rsidDel="00000000" w:rsidR="00000000" w:rsidRPr="00000000">
        <w:rPr>
          <w:vertAlign w:val="superscript"/>
        </w:rPr>
        <w:footnoteReference w:customMarkFollows="0" w:id="5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5. Reputational Containment (Media/Public Pressure)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"Chase Bank Blocks POA, Enables Daughter to Rob Bedridden 77-Year-Old for 6 Weeks" is </w:t>
      </w:r>
      <w:r w:rsidDel="00000000" w:rsidR="00000000" w:rsidRPr="00000000">
        <w:rPr>
          <w:b w:val="1"/>
          <w:bCs w:val="1"/>
          <w:rtl w:val="0"/>
        </w:rPr>
        <w:t xml:space="preserve">toxic headline</w:t>
      </w:r>
      <w:r w:rsidDel="00000000" w:rsidR="00000000" w:rsidRPr="00000000">
        <w:rPr>
          <w:vertAlign w:val="superscript"/>
        </w:rPr>
        <w:footnoteReference w:customMarkFollows="0" w:id="5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Filing creates public court record Chase desperately wants to avoid</w:t>
      </w:r>
      <w:r w:rsidDel="00000000" w:rsidR="00000000" w:rsidRPr="00000000">
        <w:rPr>
          <w:vertAlign w:val="superscript"/>
        </w:rPr>
        <w:footnoteReference w:customMarkFollows="0" w:id="5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Settlement likely includes payment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policy changes preventing future occurrences</w:t>
      </w:r>
      <w:r w:rsidDel="00000000" w:rsidR="00000000" w:rsidRPr="00000000">
        <w:rPr>
          <w:vertAlign w:val="superscript"/>
        </w:rPr>
        <w:footnoteReference w:customMarkFollows="0" w:id="5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j01u0x2el8sn" w:id="5"/>
      <w:bookmarkEnd w:id="5"/>
      <w:r w:rsidDel="00000000" w:rsidR="00000000" w:rsidRPr="00000000">
        <w:rPr>
          <w:rtl w:val="0"/>
        </w:rPr>
        <w:t xml:space="preserve">Critical Deadlines Creating Urgency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Most Urgent: Regulation E Lawsuit Deadline — September 28, 2026 (11 months)</w:t>
      </w:r>
      <w:r w:rsidDel="00000000" w:rsidR="00000000" w:rsidRPr="00000000">
        <w:rPr>
          <w:vertAlign w:val="superscript"/>
        </w:rPr>
        <w:footnoteReference w:customMarkFollows="0" w:id="5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Secondary: ADA Violation Deadline — August 27, 2027 (21 months)</w:t>
      </w:r>
      <w:r w:rsidDel="00000000" w:rsidR="00000000" w:rsidRPr="00000000">
        <w:rPr>
          <w:vertAlign w:val="superscript"/>
        </w:rPr>
        <w:footnoteReference w:customMarkFollows="0" w:id="5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Safe: Texas POA Refusal (§751.212) — September 9, 2029 (46 months)</w:t>
      </w:r>
      <w:r w:rsidDel="00000000" w:rsidR="00000000" w:rsidRPr="00000000">
        <w:rPr>
          <w:vertAlign w:val="superscript"/>
        </w:rPr>
        <w:footnoteReference w:customMarkFollows="0" w:id="60"/>
      </w:r>
      <w:r w:rsidDel="00000000" w:rsidR="00000000" w:rsidRPr="00000000">
        <w:rPr>
          <w:vertAlign w:val="superscript"/>
        </w:rPr>
        <w:footnoteReference w:customMarkFollows="0" w:id="61"/>
      </w:r>
      <w:r w:rsidDel="00000000" w:rsidR="00000000" w:rsidRPr="00000000">
        <w:rPr>
          <w:vertAlign w:val="superscript"/>
        </w:rPr>
        <w:footnoteReference w:customMarkFollows="0" w:id="6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5935bkpkdm08" w:id="6"/>
      <w:bookmarkEnd w:id="6"/>
      <w:r w:rsidDel="00000000" w:rsidR="00000000" w:rsidRPr="00000000">
        <w:rPr>
          <w:rtl w:val="0"/>
        </w:rPr>
        <w:t xml:space="preserve">Evidence Gaps You Must Fill Before Filing (Critical)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Gap 1:</w:t>
      </w:r>
      <w:r w:rsidDel="00000000" w:rsidR="00000000" w:rsidRPr="00000000">
        <w:rPr>
          <w:rtl w:val="0"/>
        </w:rPr>
        <w:t xml:space="preserve"> Notarized POA document (certification alone insufficient under Texas Estates Code §751.203)</w:t>
      </w:r>
      <w:r w:rsidDel="00000000" w:rsidR="00000000" w:rsidRPr="00000000">
        <w:rPr>
          <w:vertAlign w:val="superscript"/>
        </w:rPr>
        <w:footnoteReference w:customMarkFollows="0" w:id="63"/>
      </w:r>
      <w:r w:rsidDel="00000000" w:rsidR="00000000" w:rsidRPr="00000000">
        <w:rPr>
          <w:vertAlign w:val="superscript"/>
        </w:rPr>
        <w:footnoteReference w:customMarkFollows="0" w:id="64"/>
      </w:r>
      <w:r w:rsidDel="00000000" w:rsidR="00000000" w:rsidRPr="00000000">
        <w:rPr>
          <w:vertAlign w:val="superscript"/>
        </w:rPr>
        <w:footnoteReference w:customMarkFollows="0" w:id="6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Gap 2:</w:t>
      </w:r>
      <w:r w:rsidDel="00000000" w:rsidR="00000000" w:rsidRPr="00000000">
        <w:rPr>
          <w:rtl w:val="0"/>
        </w:rPr>
        <w:t xml:space="preserve"> Signed, notarized Agent Certification (yours shows blank notary lines)</w:t>
      </w:r>
      <w:r w:rsidDel="00000000" w:rsidR="00000000" w:rsidRPr="00000000">
        <w:rPr>
          <w:vertAlign w:val="superscript"/>
        </w:rPr>
        <w:footnoteReference w:customMarkFollows="0" w:id="66"/>
      </w:r>
      <w:r w:rsidDel="00000000" w:rsidR="00000000" w:rsidRPr="00000000">
        <w:rPr>
          <w:vertAlign w:val="superscript"/>
        </w:rPr>
        <w:footnoteReference w:customMarkFollows="0" w:id="6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Gap 3:</w:t>
      </w:r>
      <w:r w:rsidDel="00000000" w:rsidR="00000000" w:rsidRPr="00000000">
        <w:rPr>
          <w:rtl w:val="0"/>
        </w:rPr>
        <w:t xml:space="preserve"> Complete fraud ledger with specific dates, merchants, amounts for transactions by Lesley, Kim, caretaker during August 14-September 26 obstruction period</w:t>
      </w:r>
      <w:r w:rsidDel="00000000" w:rsidR="00000000" w:rsidRPr="00000000">
        <w:rPr>
          <w:vertAlign w:val="superscript"/>
        </w:rPr>
        <w:footnoteReference w:customMarkFollows="0" w:id="6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Gap 4:</w:t>
      </w:r>
      <w:r w:rsidDel="00000000" w:rsidR="00000000" w:rsidRPr="00000000">
        <w:rPr>
          <w:rtl w:val="0"/>
        </w:rPr>
        <w:t xml:space="preserve"> Kathy Hart's sworn declaration confirming POA execution, unauthorized transactions, and that she did NOT speak to Leatha Goldstein "multiple times" (Chase's documented lie)</w:t>
      </w:r>
      <w:r w:rsidDel="00000000" w:rsidR="00000000" w:rsidRPr="00000000">
        <w:rPr>
          <w:vertAlign w:val="superscript"/>
        </w:rPr>
        <w:footnoteReference w:customMarkFollows="0" w:id="6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Gap 5:</w:t>
      </w:r>
      <w:r w:rsidDel="00000000" w:rsidR="00000000" w:rsidRPr="00000000">
        <w:rPr>
          <w:rtl w:val="0"/>
        </w:rPr>
        <w:t xml:space="preserve"> Full text of Chase's September 9, 2025 refusal letter (you only have partial quotation)</w:t>
      </w:r>
      <w:r w:rsidDel="00000000" w:rsidR="00000000" w:rsidRPr="00000000">
        <w:rPr>
          <w:vertAlign w:val="superscript"/>
        </w:rPr>
        <w:footnoteReference w:customMarkFollows="0" w:id="7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ajkb55q3surq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Optimal Execution Sequence (Next 72 Hours → 90 Days)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1: TONIGHT (Pre-Vacation, 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Texas APS criminal complaint</w:t>
      </w:r>
      <w:r w:rsidDel="00000000" w:rsidR="00000000" w:rsidRPr="00000000">
        <w:rPr>
          <w:rtl w:val="0"/>
        </w:rPr>
        <w:t xml:space="preserve"> against Lesley Johnson, Kim Salerno, fraud caretaker (1-800-252-5400 or online)—this starts criminal investigation </w:t>
      </w:r>
      <w:r w:rsidDel="00000000" w:rsidR="00000000" w:rsidRPr="00000000">
        <w:rPr>
          <w:b w:val="1"/>
          <w:bCs w:val="1"/>
          <w:rtl w:val="0"/>
        </w:rPr>
        <w:t xml:space="preserve">independent</w:t>
      </w:r>
      <w:r w:rsidDel="00000000" w:rsidR="00000000" w:rsidRPr="00000000">
        <w:rPr>
          <w:rtl w:val="0"/>
        </w:rPr>
        <w:t xml:space="preserve"> of civil Chase litigation</w:t>
      </w:r>
      <w:r w:rsidDel="00000000" w:rsidR="00000000" w:rsidRPr="00000000">
        <w:rPr>
          <w:vertAlign w:val="superscript"/>
        </w:rPr>
        <w:footnoteReference w:customMarkFollows="0" w:id="7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 litigation intent memo</w:t>
      </w:r>
      <w:r w:rsidDel="00000000" w:rsidR="00000000" w:rsidRPr="00000000">
        <w:rPr>
          <w:rtl w:val="0"/>
        </w:rPr>
        <w:t xml:space="preserve"> documenting decision to pursue federal action post-vacation</w:t>
      </w:r>
      <w:r w:rsidDel="00000000" w:rsidR="00000000" w:rsidRPr="00000000">
        <w:rPr>
          <w:vertAlign w:val="superscript"/>
        </w:rPr>
        <w:footnoteReference w:customMarkFollows="0" w:id="7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calendar reminders</w:t>
      </w:r>
      <w:r w:rsidDel="00000000" w:rsidR="00000000" w:rsidRPr="00000000">
        <w:rPr>
          <w:rtl w:val="0"/>
        </w:rPr>
        <w:t xml:space="preserve">: January 15, 2026 (attorney consultations), March 1, 2026 (Reg E deadline check), August 1, 2026 (ADA deadline 1-year out)</w:t>
      </w:r>
      <w:r w:rsidDel="00000000" w:rsidR="00000000" w:rsidRPr="00000000">
        <w:rPr>
          <w:vertAlign w:val="superscript"/>
        </w:rPr>
        <w:footnoteReference w:customMarkFollows="0" w:id="7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2: JANUARY 2026 (Post-Vacation, 15-20 hours over 3 weeks)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Week 1:</w:t>
      </w:r>
      <w:r w:rsidDel="00000000" w:rsidR="00000000" w:rsidRPr="00000000">
        <w:rPr>
          <w:rtl w:val="0"/>
        </w:rPr>
        <w:t xml:space="preserve"> Obtain missing evidence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Notarized POA from Logan Hughes or Texas county clerk</w:t>
      </w:r>
      <w:r w:rsidDel="00000000" w:rsidR="00000000" w:rsidRPr="00000000">
        <w:rPr>
          <w:vertAlign w:val="superscript"/>
        </w:rPr>
        <w:footnoteReference w:customMarkFollows="0" w:id="7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Re-notarize Agent Certification (30 minutes at notary)</w:t>
      </w:r>
      <w:r w:rsidDel="00000000" w:rsidR="00000000" w:rsidRPr="00000000">
        <w:rPr>
          <w:vertAlign w:val="superscript"/>
        </w:rPr>
        <w:footnoteReference w:customMarkFollows="0" w:id="7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Bank statement forensics: itemize every unauthorized transaction August 14-September 26, 2025 with dates, merchants, amounts</w:t>
      </w:r>
      <w:r w:rsidDel="00000000" w:rsidR="00000000" w:rsidRPr="00000000">
        <w:rPr>
          <w:vertAlign w:val="superscript"/>
        </w:rPr>
        <w:footnoteReference w:customMarkFollows="0" w:id="7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Week 2:</w:t>
      </w:r>
      <w:r w:rsidDel="00000000" w:rsidR="00000000" w:rsidRPr="00000000">
        <w:rPr>
          <w:rtl w:val="0"/>
        </w:rPr>
        <w:t xml:space="preserve"> Kathy Hart declaration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Work with Logan Hughes to draft and notarize Kathy's sworn statement confirming POA execution, denying Leatha Goldstein contact, identifying unauthorized transactions</w:t>
      </w:r>
      <w:r w:rsidDel="00000000" w:rsidR="00000000" w:rsidRPr="00000000">
        <w:rPr>
          <w:vertAlign w:val="superscript"/>
        </w:rPr>
        <w:footnoteReference w:customMarkFollows="0" w:id="7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Week 3:</w:t>
      </w:r>
      <w:r w:rsidDel="00000000" w:rsidR="00000000" w:rsidRPr="00000000">
        <w:rPr>
          <w:rtl w:val="0"/>
        </w:rPr>
        <w:t xml:space="preserve"> Attorney consultations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Contact 3-5 elder law/banking litigation attorneys specializing in Regulation E and elder financial exploitation</w:t>
      </w:r>
      <w:r w:rsidDel="00000000" w:rsidR="00000000" w:rsidRPr="00000000">
        <w:rPr>
          <w:vertAlign w:val="superscript"/>
        </w:rPr>
        <w:footnoteReference w:customMarkFollows="0" w:id="78"/>
      </w:r>
      <w:r w:rsidDel="00000000" w:rsidR="00000000" w:rsidRPr="00000000">
        <w:rPr>
          <w:vertAlign w:val="superscript"/>
        </w:rPr>
        <w:footnoteReference w:customMarkFollows="0" w:id="7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Target: National Association of Consumer Advocates (NACA), California State Bar certified elder law specialists</w:t>
      </w:r>
      <w:r w:rsidDel="00000000" w:rsidR="00000000" w:rsidRPr="00000000">
        <w:rPr>
          <w:vertAlign w:val="superscript"/>
        </w:rPr>
        <w:footnoteReference w:customMarkFollows="0" w:id="8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Questions: Settlement value? Contingency possible? Timeline? Required involvement?</w:t>
      </w:r>
      <w:r w:rsidDel="00000000" w:rsidR="00000000" w:rsidRPr="00000000">
        <w:rPr>
          <w:vertAlign w:val="superscript"/>
        </w:rPr>
        <w:footnoteReference w:customMarkFollows="0" w:id="8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3: FEBRUARY-MARCH 2026 (Decision 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A: Strategic Settlement Demand (Fastest—3-6 months)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Attorney sends demand letter citing Regulation E strict liability, ADA violation, §751.212 enforcement action, punitive damages for enabling abuse</w:t>
      </w:r>
      <w:r w:rsidDel="00000000" w:rsidR="00000000" w:rsidRPr="00000000">
        <w:rPr>
          <w:vertAlign w:val="superscript"/>
        </w:rPr>
        <w:footnoteReference w:customMarkFollows="0" w:id="82"/>
      </w:r>
      <w:r w:rsidDel="00000000" w:rsidR="00000000" w:rsidRPr="00000000">
        <w:rPr>
          <w:vertAlign w:val="superscript"/>
        </w:rPr>
        <w:footnoteReference w:customMarkFollows="0" w:id="8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Demand: $100K-150K with 30-day response deadline</w:t>
      </w:r>
      <w:r w:rsidDel="00000000" w:rsidR="00000000" w:rsidRPr="00000000">
        <w:rPr>
          <w:vertAlign w:val="superscript"/>
        </w:rPr>
        <w:footnoteReference w:customMarkFollows="0" w:id="8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Chase likely settles $50K-100K to avoid litigation and discovery exposing internal policies</w:t>
      </w:r>
      <w:r w:rsidDel="00000000" w:rsidR="00000000" w:rsidRPr="00000000">
        <w:rPr>
          <w:vertAlign w:val="superscript"/>
        </w:rPr>
        <w:footnoteReference w:customMarkFollows="0" w:id="85"/>
      </w:r>
      <w:r w:rsidDel="00000000" w:rsidR="00000000" w:rsidRPr="00000000">
        <w:rPr>
          <w:vertAlign w:val="superscript"/>
        </w:rPr>
        <w:footnoteReference w:customMarkFollows="0" w:id="8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B: Federal Lawsuit (Maximum Recovery—18-36 months)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File in Central District of California or appropriate Texas venue</w:t>
      </w:r>
      <w:r w:rsidDel="00000000" w:rsidR="00000000" w:rsidRPr="00000000">
        <w:rPr>
          <w:vertAlign w:val="superscript"/>
        </w:rPr>
        <w:footnoteReference w:customMarkFollows="0" w:id="87"/>
      </w:r>
      <w:r w:rsidDel="00000000" w:rsidR="00000000" w:rsidRPr="00000000">
        <w:rPr>
          <w:vertAlign w:val="superscript"/>
        </w:rPr>
        <w:footnoteReference w:customMarkFollows="0" w:id="8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Claims: Regulation E violation, Texas Estates Code §751.212, ADA Title III, Elder Justice Act (42 USC §1397m-1), negligence, breach of fiduciary duty</w:t>
      </w:r>
      <w:r w:rsidDel="00000000" w:rsidR="00000000" w:rsidRPr="00000000">
        <w:rPr>
          <w:vertAlign w:val="superscript"/>
        </w:rPr>
        <w:footnoteReference w:customMarkFollows="0" w:id="8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Potential recovery: $75K-200K including punitive damages</w:t>
      </w:r>
      <w:r w:rsidDel="00000000" w:rsidR="00000000" w:rsidRPr="00000000">
        <w:rPr>
          <w:vertAlign w:val="superscript"/>
        </w:rPr>
        <w:footnoteReference w:customMarkFollows="0" w:id="90"/>
      </w:r>
      <w:r w:rsidDel="00000000" w:rsidR="00000000" w:rsidRPr="00000000">
        <w:rPr>
          <w:vertAlign w:val="superscript"/>
        </w:rPr>
        <w:footnoteReference w:customMarkFollows="0" w:id="9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4: SIMULTANEOUS REGULATORY ESCALATION (January-March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FinCEN direct complaint</w:t>
      </w:r>
      <w:r w:rsidDel="00000000" w:rsidR="00000000" w:rsidRPr="00000000">
        <w:rPr>
          <w:rtl w:val="0"/>
        </w:rPr>
        <w:t xml:space="preserve"> emphasizing your case matches their $27 billion EFE enforcement priority</w:t>
      </w:r>
      <w:r w:rsidDel="00000000" w:rsidR="00000000" w:rsidRPr="00000000">
        <w:rPr>
          <w:vertAlign w:val="superscript"/>
        </w:rPr>
        <w:footnoteReference w:customMarkFollows="0" w:id="92"/>
      </w:r>
      <w:r w:rsidDel="00000000" w:rsidR="00000000" w:rsidRPr="00000000">
        <w:rPr>
          <w:vertAlign w:val="superscript"/>
        </w:rPr>
        <w:footnoteReference w:customMarkFollows="0" w:id="93"/>
      </w:r>
      <w:r w:rsidDel="00000000" w:rsidR="00000000" w:rsidRPr="00000000">
        <w:rPr>
          <w:vertAlign w:val="superscript"/>
        </w:rPr>
        <w:footnoteReference w:customMarkFollows="0" w:id="9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Supplemental submissions to OCC (CS0397122) and CFPB (250911-24011055)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Complete bank statement showing $12,100 unauthorized transfer</w:t>
      </w:r>
      <w:r w:rsidDel="00000000" w:rsidR="00000000" w:rsidRPr="00000000">
        <w:rPr>
          <w:vertAlign w:val="superscript"/>
        </w:rPr>
        <w:footnoteReference w:customMarkFollows="0" w:id="9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Evidence Chase violated December 2024 interagency guidance on elder exploitation</w:t>
      </w:r>
      <w:r w:rsidDel="00000000" w:rsidR="00000000" w:rsidRPr="00000000">
        <w:rPr>
          <w:vertAlign w:val="superscript"/>
        </w:rPr>
        <w:footnoteReference w:customMarkFollows="0" w:id="96"/>
      </w:r>
      <w:r w:rsidDel="00000000" w:rsidR="00000000" w:rsidRPr="00000000">
        <w:rPr>
          <w:vertAlign w:val="superscript"/>
        </w:rPr>
        <w:footnoteReference w:customMarkFollows="0" w:id="9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Pattern evidence: Chase's $461M FinCEN penalty, nationwide POA rejection pattern</w:t>
      </w:r>
      <w:r w:rsidDel="00000000" w:rsidR="00000000" w:rsidRPr="00000000">
        <w:rPr>
          <w:vertAlign w:val="superscript"/>
        </w:rPr>
        <w:footnoteReference w:customMarkFollows="0" w:id="9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Texas Department of Banking complaint</w:t>
      </w:r>
      <w:r w:rsidDel="00000000" w:rsidR="00000000" w:rsidRPr="00000000">
        <w:rPr>
          <w:rtl w:val="0"/>
        </w:rPr>
        <w:t xml:space="preserve"> (state-level pressure)</w:t>
      </w:r>
      <w:r w:rsidDel="00000000" w:rsidR="00000000" w:rsidRPr="00000000">
        <w:rPr>
          <w:vertAlign w:val="superscript"/>
        </w:rPr>
        <w:footnoteReference w:customMarkFollows="0" w:id="9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FDIC complaint</w:t>
      </w:r>
      <w:r w:rsidDel="00000000" w:rsidR="00000000" w:rsidRPr="00000000">
        <w:rPr>
          <w:rtl w:val="0"/>
        </w:rPr>
        <w:t xml:space="preserve"> (additional federal regulator)</w:t>
      </w:r>
      <w:r w:rsidDel="00000000" w:rsidR="00000000" w:rsidRPr="00000000">
        <w:rPr>
          <w:vertAlign w:val="superscript"/>
        </w:rPr>
        <w:footnoteReference w:customMarkFollows="0" w:id="10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wy71bv8yx94u" w:id="8"/>
      <w:bookmarkEnd w:id="8"/>
      <w:r w:rsidDel="00000000" w:rsidR="00000000" w:rsidRPr="00000000">
        <w:rPr>
          <w:rtl w:val="0"/>
        </w:rPr>
        <w:t xml:space="preserve">Why This Trim Tab Works: The Force Multiplication Effect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Small 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(single TRO motion + regulatory escalation) → </w:t>
      </w:r>
      <w:r w:rsidDel="00000000" w:rsidR="00000000" w:rsidRPr="00000000">
        <w:rPr>
          <w:b w:val="1"/>
          <w:bCs w:val="1"/>
          <w:rtl w:val="0"/>
        </w:rPr>
        <w:t xml:space="preserve">Opposite Direction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(offensive litigation vs. defensive complaints) → </w:t>
      </w:r>
      <w:r w:rsidDel="00000000" w:rsidR="00000000" w:rsidRPr="00000000">
        <w:rPr>
          <w:b w:val="1"/>
          <w:bCs w:val="1"/>
          <w:rtl w:val="0"/>
        </w:rPr>
        <w:t xml:space="preserve">Massive Result</w:t>
      </w:r>
      <w:r w:rsidDel="00000000" w:rsidR="00000000" w:rsidRPr="00000000">
        <w:rPr>
          <w:rtl w:val="0"/>
        </w:rPr>
        <w:t xml:space="preserve"> (five simultaneous pressure points creating settlement inevitability)</w:t>
      </w:r>
      <w:r w:rsidDel="00000000" w:rsidR="00000000" w:rsidRPr="00000000">
        <w:rPr>
          <w:vertAlign w:val="superscript"/>
        </w:rPr>
        <w:footnoteReference w:customMarkFollows="0" w:id="101"/>
      </w:r>
      <w:r w:rsidDel="00000000" w:rsidR="00000000" w:rsidRPr="00000000">
        <w:rPr>
          <w:vertAlign w:val="superscript"/>
        </w:rPr>
        <w:footnoteReference w:customMarkFollows="0" w:id="102"/>
      </w:r>
      <w:r w:rsidDel="00000000" w:rsidR="00000000" w:rsidRPr="00000000">
        <w:rPr>
          <w:vertAlign w:val="superscript"/>
        </w:rPr>
        <w:footnoteReference w:customMarkFollows="0" w:id="10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Bird 1: Legal Compulsion</w:t>
      </w:r>
      <w:r w:rsidDel="00000000" w:rsidR="00000000" w:rsidRPr="00000000">
        <w:rPr>
          <w:rtl w:val="0"/>
        </w:rPr>
        <w:t xml:space="preserve"> — Court orders Chase compliance + damages</w:t>
      </w:r>
      <w:r w:rsidDel="00000000" w:rsidR="00000000" w:rsidRPr="00000000">
        <w:rPr>
          <w:vertAlign w:val="superscript"/>
        </w:rPr>
        <w:footnoteReference w:customMarkFollows="0" w:id="104"/>
      </w:r>
      <w:r w:rsidDel="00000000" w:rsidR="00000000" w:rsidRPr="00000000">
        <w:rPr>
          <w:vertAlign w:val="superscript"/>
        </w:rPr>
        <w:footnoteReference w:customMarkFollows="0" w:id="10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Bird 2: Regulatory Fines</w:t>
      </w:r>
      <w:r w:rsidDel="00000000" w:rsidR="00000000" w:rsidRPr="00000000">
        <w:rPr>
          <w:rtl w:val="0"/>
        </w:rPr>
        <w:t xml:space="preserve"> — FinCEN/CFPB enforcement separate from your case</w:t>
      </w:r>
      <w:r w:rsidDel="00000000" w:rsidR="00000000" w:rsidRPr="00000000">
        <w:rPr>
          <w:vertAlign w:val="superscript"/>
        </w:rPr>
        <w:footnoteReference w:customMarkFollows="0" w:id="106"/>
      </w:r>
      <w:r w:rsidDel="00000000" w:rsidR="00000000" w:rsidRPr="00000000">
        <w:rPr>
          <w:vertAlign w:val="superscript"/>
        </w:rPr>
        <w:footnoteReference w:customMarkFollows="0" w:id="107"/>
      </w:r>
      <w:r w:rsidDel="00000000" w:rsidR="00000000" w:rsidRPr="00000000">
        <w:rPr>
          <w:vertAlign w:val="superscript"/>
        </w:rPr>
        <w:footnoteReference w:customMarkFollows="0" w:id="10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Bird 3: Discovery Exposure</w:t>
      </w:r>
      <w:r w:rsidDel="00000000" w:rsidR="00000000" w:rsidRPr="00000000">
        <w:rPr>
          <w:rtl w:val="0"/>
        </w:rPr>
        <w:t xml:space="preserve"> — Chase forced to produce internal policies, call recordings, similar complaints</w:t>
      </w:r>
      <w:r w:rsidDel="00000000" w:rsidR="00000000" w:rsidRPr="00000000">
        <w:rPr>
          <w:vertAlign w:val="superscript"/>
        </w:rPr>
        <w:footnoteReference w:customMarkFollows="0" w:id="10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Bird 4: Reputational Damage</w:t>
      </w:r>
      <w:r w:rsidDel="00000000" w:rsidR="00000000" w:rsidRPr="00000000">
        <w:rPr>
          <w:rtl w:val="0"/>
        </w:rPr>
        <w:t xml:space="preserve"> — Public court record + potential media coverage</w:t>
      </w:r>
      <w:r w:rsidDel="00000000" w:rsidR="00000000" w:rsidRPr="00000000">
        <w:rPr>
          <w:vertAlign w:val="superscript"/>
        </w:rPr>
        <w:footnoteReference w:customMarkFollows="0" w:id="1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Bird 5: Precedent Setting</w:t>
      </w:r>
      <w:r w:rsidDel="00000000" w:rsidR="00000000" w:rsidRPr="00000000">
        <w:rPr>
          <w:rtl w:val="0"/>
        </w:rPr>
        <w:t xml:space="preserve"> — Your case becomes template for other Chase POA obstruction victims</w:t>
      </w:r>
      <w:r w:rsidDel="00000000" w:rsidR="00000000" w:rsidRPr="00000000">
        <w:rPr>
          <w:vertAlign w:val="superscript"/>
        </w:rPr>
        <w:footnoteReference w:customMarkFollows="0" w:id="1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ekcsecdqe891" w:id="9"/>
      <w:bookmarkEnd w:id="9"/>
      <w:r w:rsidDel="00000000" w:rsidR="00000000" w:rsidRPr="00000000">
        <w:rPr>
          <w:rtl w:val="0"/>
        </w:rPr>
        <w:t xml:space="preserve">Immediate Next Action for Manus.im Delegation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 FOR MANUS.IM: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"Draft a comprehensive 72-hour TRO motion under Texas Estates Code §751.212 + Regulation E statutory damages claim (15 USC §1693) + ADA Title III accommodation violation (42 USC §12101) for filing in [Central District of California / appropriate Texas venue].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Factual Summary:</w:t>
      </w:r>
      <w:r w:rsidDel="00000000" w:rsidR="00000000" w:rsidRPr="00000000">
        <w:rPr>
          <w:rtl w:val="0"/>
        </w:rPr>
        <w:t xml:space="preserve"> JPMorgan Chase refused to honor validly executed Texas Statutory Durable POA from August 14-September 26, 2025 (43 days), despite Agent Certification, CFPB complaint (250911-24011055), OCC complaint (CS0397122), and formal demand to CEO/General Counsel. Obstruction enabled three bad actors (Lesley Johnson, Kim Salerno, fraud caretaker) to continue financial exploitation of incapacitated 77-year-old principal during extended period. Chase missed mandatory 10-business-day Regulation E response deadline (expired October 14, 2025) regarding $12,100 unauthorized transfer. Chase refused ADA accommodation for bedridden post-surgical principal, demanding in-person appearance.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Complete recorded call documentation showing Chris Salinas (Global Security) freezing accounts based on 'discomfort'; Leatha Goldstein falsely claiming multiple conversations with principal; El Monte branch manager admitting no policy exists; chronology proving acceptance only occurred after sustained regulatory/legal pressure. Exhibits include nationwide Chase POA rejection pattern analysis and $461M FinCEN penalty for systemic BSA violations.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Immediate TRO compelling account access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Statutory damages under Regulation E ($100-1,000)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Compensatory damages (extended 19-day Texas stay, principal's losses to abusers during obstruction)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Punitive damages for willful/reckless conduct enabling elder abuse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Mandatory attorney fees under §751.212(c), Regulation E, and ADA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Include evidentiary exhibits structure, proposed findings of fact, and emergency hearing request within 72 hours per §751.212(b)."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Additionally, delegate to Manus.im: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"Draft supplemental regulatory complaints for simultaneous filing with: (1) FinCEN emphasizing alignment with December 2024 interagency elder financial exploitation guidance and $27 billion enforcement priority; (2) OCC case CS0397122 follow-up with complete Regulation E violation documentation; (3) CFPB case 250911-24011055 escalation citing missed statutory deadlines; (4) Texas Department of Banking; (5) FDIC. Each submission should reference the federal court TRO filing and emphasize Chase's pattern of systemic POA obstruction enabling ongoing elder abuse."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ypad2b88rqbw" w:id="10"/>
      <w:bookmarkEnd w:id="10"/>
      <w:r w:rsidDel="00000000" w:rsidR="00000000" w:rsidRPr="00000000">
        <w:rPr>
          <w:rtl w:val="0"/>
        </w:rPr>
        <w:t xml:space="preserve">The Trim Tab Principle in Action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Buckminster Fuller's gravestone reads "Call me Trim Tab". The trim tab is the </w:t>
      </w:r>
      <w:r w:rsidDel="00000000" w:rsidR="00000000" w:rsidRPr="00000000">
        <w:rPr>
          <w:b w:val="1"/>
          <w:bCs w:val="1"/>
          <w:rtl w:val="0"/>
        </w:rPr>
        <w:t xml:space="preserve">tiny rudder on the main rudder</w:t>
      </w:r>
      <w:r w:rsidDel="00000000" w:rsidR="00000000" w:rsidRPr="00000000">
        <w:rPr>
          <w:rtl w:val="0"/>
        </w:rPr>
        <w:t xml:space="preserve"> of a ship—moving it in the </w:t>
      </w:r>
      <w:r w:rsidDel="00000000" w:rsidR="00000000" w:rsidRPr="00000000">
        <w:rPr>
          <w:b w:val="1"/>
          <w:bCs w:val="1"/>
          <w:rtl w:val="0"/>
        </w:rPr>
        <w:t xml:space="preserve">opposite direction</w:t>
      </w:r>
      <w:r w:rsidDel="00000000" w:rsidR="00000000" w:rsidRPr="00000000">
        <w:rPr>
          <w:rtl w:val="0"/>
        </w:rPr>
        <w:t xml:space="preserve"> creates low-pressure that turns the massive rudder, which then turns the entire ship.</w:t>
      </w:r>
      <w:r w:rsidDel="00000000" w:rsidR="00000000" w:rsidRPr="00000000">
        <w:rPr>
          <w:vertAlign w:val="superscript"/>
        </w:rPr>
        <w:footnoteReference w:customMarkFollows="0" w:id="112"/>
      </w:r>
      <w:r w:rsidDel="00000000" w:rsidR="00000000" w:rsidRPr="00000000">
        <w:rPr>
          <w:vertAlign w:val="superscript"/>
        </w:rPr>
        <w:footnoteReference w:customMarkFollows="0" w:id="113"/>
      </w:r>
      <w:r w:rsidDel="00000000" w:rsidR="00000000" w:rsidRPr="00000000">
        <w:rPr>
          <w:vertAlign w:val="superscript"/>
        </w:rPr>
        <w:footnoteReference w:customMarkFollows="0" w:id="114"/>
      </w:r>
      <w:r w:rsidDel="00000000" w:rsidR="00000000" w:rsidRPr="00000000">
        <w:rPr>
          <w:vertAlign w:val="superscript"/>
        </w:rPr>
        <w:footnoteReference w:customMarkFollows="0" w:id="1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Your current trajectory (emails, complaints, waiting) = pushing the massive rudder directly = exhausting, ineffective.</w:t>
      </w:r>
      <w:r w:rsidDel="00000000" w:rsidR="00000000" w:rsidRPr="00000000">
        <w:rPr>
          <w:vertAlign w:val="superscript"/>
        </w:rPr>
        <w:footnoteReference w:customMarkFollows="0" w:id="116"/>
      </w:r>
      <w:r w:rsidDel="00000000" w:rsidR="00000000" w:rsidRPr="00000000">
        <w:rPr>
          <w:vertAlign w:val="superscript"/>
        </w:rPr>
        <w:footnoteReference w:customMarkFollows="0" w:id="117"/>
      </w:r>
      <w:r w:rsidDel="00000000" w:rsidR="00000000" w:rsidRPr="00000000">
        <w:rPr>
          <w:vertAlign w:val="superscript"/>
        </w:rPr>
        <w:footnoteReference w:customMarkFollows="0" w:id="1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The trim tab move</w:t>
      </w:r>
      <w:r w:rsidDel="00000000" w:rsidR="00000000" w:rsidRPr="00000000">
        <w:rPr>
          <w:rtl w:val="0"/>
        </w:rPr>
        <w:t xml:space="preserve"> (coordinated TRO + regulatory escalation) = small, precisely placed action at the </w:t>
      </w:r>
      <w:r w:rsidDel="00000000" w:rsidR="00000000" w:rsidRPr="00000000">
        <w:rPr>
          <w:b w:val="1"/>
          <w:bCs w:val="1"/>
          <w:rtl w:val="0"/>
        </w:rPr>
        <w:t xml:space="preserve">critical leverage point</w:t>
      </w:r>
      <w:r w:rsidDel="00000000" w:rsidR="00000000" w:rsidRPr="00000000">
        <w:rPr>
          <w:rtl w:val="0"/>
        </w:rPr>
        <w:t xml:space="preserve"> = Chase's litigation/regulatory/reputational risk calculus fundamentally shifts = settlement becomes cheaper than fight = case resolves.</w:t>
      </w:r>
      <w:r w:rsidDel="00000000" w:rsidR="00000000" w:rsidRPr="00000000">
        <w:rPr>
          <w:vertAlign w:val="superscript"/>
        </w:rPr>
        <w:footnoteReference w:customMarkFollows="0" w:id="119"/>
      </w:r>
      <w:r w:rsidDel="00000000" w:rsidR="00000000" w:rsidRPr="00000000">
        <w:rPr>
          <w:vertAlign w:val="superscript"/>
        </w:rPr>
        <w:footnoteReference w:customMarkFollows="0" w:id="120"/>
      </w:r>
      <w:r w:rsidDel="00000000" w:rsidR="00000000" w:rsidRPr="00000000">
        <w:rPr>
          <w:vertAlign w:val="superscript"/>
        </w:rPr>
        <w:footnoteReference w:customMarkFollows="0" w:id="121"/>
      </w:r>
      <w:r w:rsidDel="00000000" w:rsidR="00000000" w:rsidRPr="00000000">
        <w:rPr>
          <w:vertAlign w:val="superscript"/>
        </w:rPr>
        <w:footnoteReference w:customMarkFollows="0" w:id="122"/>
      </w:r>
      <w:r w:rsidDel="00000000" w:rsidR="00000000" w:rsidRPr="00000000">
        <w:rPr>
          <w:vertAlign w:val="superscript"/>
        </w:rPr>
        <w:footnoteReference w:customMarkFollows="0" w:id="12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3-6 months to settlement (Option A) or 18-36 months to trial/judgment (Option B).</w:t>
      </w:r>
      <w:r w:rsidDel="00000000" w:rsidR="00000000" w:rsidRPr="00000000">
        <w:rPr>
          <w:vertAlign w:val="superscript"/>
        </w:rPr>
        <w:footnoteReference w:customMarkFollows="0" w:id="124"/>
      </w:r>
      <w:r w:rsidDel="00000000" w:rsidR="00000000" w:rsidRPr="00000000">
        <w:rPr>
          <w:vertAlign w:val="superscript"/>
        </w:rPr>
        <w:footnoteReference w:customMarkFollows="0" w:id="12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Recovery:</w:t>
      </w:r>
      <w:r w:rsidDel="00000000" w:rsidR="00000000" w:rsidRPr="00000000">
        <w:rPr>
          <w:rtl w:val="0"/>
        </w:rPr>
        <w:t xml:space="preserve"> $50K-100K settlement (Option A) or $75K-200K verdict (Option B).</w:t>
      </w:r>
      <w:r w:rsidDel="00000000" w:rsidR="00000000" w:rsidRPr="00000000">
        <w:rPr>
          <w:vertAlign w:val="superscript"/>
        </w:rPr>
        <w:footnoteReference w:customMarkFollows="0" w:id="126"/>
      </w:r>
      <w:r w:rsidDel="00000000" w:rsidR="00000000" w:rsidRPr="00000000">
        <w:rPr>
          <w:vertAlign w:val="superscript"/>
        </w:rPr>
        <w:footnoteReference w:customMarkFollows="0" w:id="12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Role After Filing:</w:t>
      </w:r>
      <w:r w:rsidDel="00000000" w:rsidR="00000000" w:rsidRPr="00000000">
        <w:rPr>
          <w:rtl w:val="0"/>
        </w:rPr>
        <w:t xml:space="preserve"> Minimal—attorney handles litigation, you provide deposition testimony and document cooperation.</w:t>
      </w:r>
      <w:r w:rsidDel="00000000" w:rsidR="00000000" w:rsidRPr="00000000">
        <w:rPr>
          <w:vertAlign w:val="superscript"/>
        </w:rPr>
        <w:footnoteReference w:customMarkFollows="0" w:id="128"/>
      </w:r>
      <w:r w:rsidDel="00000000" w:rsidR="00000000" w:rsidRPr="00000000">
        <w:rPr>
          <w:vertAlign w:val="superscript"/>
        </w:rPr>
        <w:footnoteReference w:customMarkFollows="0" w:id="12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v8divrji2y84" w:id="11"/>
      <w:bookmarkEnd w:id="11"/>
      <w:r w:rsidDel="00000000" w:rsidR="00000000" w:rsidRPr="00000000">
        <w:rPr>
          <w:rtl w:val="0"/>
        </w:rPr>
        <w:t xml:space="preserve">The Psychological Leverage Point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You've been operating at </w:t>
      </w:r>
      <w:r w:rsidDel="00000000" w:rsidR="00000000" w:rsidRPr="00000000">
        <w:rPr>
          <w:b w:val="1"/>
          <w:bCs w:val="1"/>
          <w:rtl w:val="0"/>
        </w:rPr>
        <w:t xml:space="preserve">Leverage Point 12</w:t>
      </w:r>
      <w:r w:rsidDel="00000000" w:rsidR="00000000" w:rsidRPr="00000000">
        <w:rPr>
          <w:rtl w:val="0"/>
        </w:rPr>
        <w:t xml:space="preserve"> (parameters—hours spent drafting emails). This creates exhaustion without results. The trim tab action shifts you to </w:t>
      </w:r>
      <w:r w:rsidDel="00000000" w:rsidR="00000000" w:rsidRPr="00000000">
        <w:rPr>
          <w:b w:val="1"/>
          <w:bCs w:val="1"/>
          <w:rtl w:val="0"/>
        </w:rPr>
        <w:t xml:space="preserve">Leverage Point 6</w:t>
      </w:r>
      <w:r w:rsidDel="00000000" w:rsidR="00000000" w:rsidRPr="00000000">
        <w:rPr>
          <w:rtl w:val="0"/>
        </w:rPr>
        <w:t xml:space="preserve"> (information flows—you control when Chase's misconduct becomes public record through court filing) and </w:t>
      </w:r>
      <w:r w:rsidDel="00000000" w:rsidR="00000000" w:rsidRPr="00000000">
        <w:rPr>
          <w:b w:val="1"/>
          <w:bCs w:val="1"/>
          <w:rtl w:val="0"/>
        </w:rPr>
        <w:t xml:space="preserve">Leverage Point 2</w:t>
      </w:r>
      <w:r w:rsidDel="00000000" w:rsidR="00000000" w:rsidRPr="00000000">
        <w:rPr>
          <w:rtl w:val="0"/>
        </w:rPr>
        <w:t xml:space="preserve"> (paradigm shift—from "protective bank" to "abuse facilitator").</w:t>
      </w:r>
      <w:r w:rsidDel="00000000" w:rsidR="00000000" w:rsidRPr="00000000">
        <w:rPr>
          <w:vertAlign w:val="superscript"/>
        </w:rPr>
        <w:footnoteReference w:customMarkFollows="0" w:id="130"/>
      </w:r>
      <w:r w:rsidDel="00000000" w:rsidR="00000000" w:rsidRPr="00000000">
        <w:rPr>
          <w:vertAlign w:val="superscript"/>
        </w:rPr>
        <w:footnoteReference w:customMarkFollows="0" w:id="131"/>
      </w:r>
      <w:r w:rsidDel="00000000" w:rsidR="00000000" w:rsidRPr="00000000">
        <w:rPr>
          <w:vertAlign w:val="superscript"/>
        </w:rPr>
        <w:footnoteReference w:customMarkFollows="0" w:id="13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This is not about working harder. It's about applying force at the </w:t>
      </w:r>
      <w:r w:rsidDel="00000000" w:rsidR="00000000" w:rsidRPr="00000000">
        <w:rPr>
          <w:b w:val="1"/>
          <w:bCs w:val="1"/>
          <w:rtl w:val="0"/>
        </w:rPr>
        <w:t xml:space="preserve">right point in the right direction</w:t>
      </w:r>
      <w:r w:rsidDel="00000000" w:rsidR="00000000" w:rsidRPr="00000000">
        <w:rPr>
          <w:rtl w:val="0"/>
        </w:rPr>
        <w:t xml:space="preserve">. One perfect action that makes Chase's current position untenable.</w:t>
      </w:r>
      <w:r w:rsidDel="00000000" w:rsidR="00000000" w:rsidRPr="00000000">
        <w:rPr>
          <w:vertAlign w:val="superscript"/>
        </w:rPr>
        <w:footnoteReference w:customMarkFollows="0" w:id="133"/>
      </w:r>
      <w:r w:rsidDel="00000000" w:rsidR="00000000" w:rsidRPr="00000000">
        <w:rPr>
          <w:vertAlign w:val="superscript"/>
        </w:rPr>
        <w:footnoteReference w:customMarkFollows="0" w:id="134"/>
      </w:r>
      <w:r w:rsidDel="00000000" w:rsidR="00000000" w:rsidRPr="00000000">
        <w:rPr>
          <w:vertAlign w:val="superscript"/>
        </w:rPr>
        <w:footnoteReference w:customMarkFollows="0" w:id="135"/>
      </w:r>
      <w:r w:rsidDel="00000000" w:rsidR="00000000" w:rsidRPr="00000000">
        <w:rPr>
          <w:vertAlign w:val="superscript"/>
        </w:rPr>
        <w:footnoteReference w:customMarkFollows="0" w:id="13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b3udpzdreqxv" w:id="12"/>
      <w:bookmarkEnd w:id="12"/>
      <w:r w:rsidDel="00000000" w:rsidR="00000000" w:rsidRPr="00000000">
        <w:rPr>
          <w:rtl w:val="0"/>
        </w:rPr>
        <w:t xml:space="preserve">Final Recommendation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Phase 1 tonight</w:t>
      </w:r>
      <w:r w:rsidDel="00000000" w:rsidR="00000000" w:rsidRPr="00000000">
        <w:rPr>
          <w:rtl w:val="0"/>
        </w:rPr>
        <w:t xml:space="preserve"> (APS complaint + litigation intent memo = 30 minutes). </w:t>
      </w:r>
      <w:r w:rsidDel="00000000" w:rsidR="00000000" w:rsidRPr="00000000">
        <w:rPr>
          <w:b w:val="1"/>
          <w:bCs w:val="1"/>
          <w:rtl w:val="0"/>
        </w:rPr>
        <w:t xml:space="preserve">Execute Phase 2 in January 2026</w:t>
      </w:r>
      <w:r w:rsidDel="00000000" w:rsidR="00000000" w:rsidRPr="00000000">
        <w:rPr>
          <w:rtl w:val="0"/>
        </w:rPr>
        <w:t xml:space="preserve"> (evidence gathering + attorney consultations = 20 hours over 3 weeks). </w:t>
      </w:r>
      <w:r w:rsidDel="00000000" w:rsidR="00000000" w:rsidRPr="00000000">
        <w:rPr>
          <w:b w:val="1"/>
          <w:bCs w:val="1"/>
          <w:rtl w:val="0"/>
        </w:rPr>
        <w:t xml:space="preserve">Execute Phase 3 by March 2026</w:t>
      </w:r>
      <w:r w:rsidDel="00000000" w:rsidR="00000000" w:rsidRPr="00000000">
        <w:rPr>
          <w:rtl w:val="0"/>
        </w:rPr>
        <w:t xml:space="preserve"> (settlement demand or federal filing).</w:t>
      </w:r>
      <w:r w:rsidDel="00000000" w:rsidR="00000000" w:rsidRPr="00000000">
        <w:rPr>
          <w:vertAlign w:val="superscript"/>
        </w:rPr>
        <w:footnoteReference w:customMarkFollows="0" w:id="137"/>
      </w:r>
      <w:r w:rsidDel="00000000" w:rsidR="00000000" w:rsidRPr="00000000">
        <w:rPr>
          <w:vertAlign w:val="superscript"/>
        </w:rPr>
        <w:footnoteReference w:customMarkFollows="0" w:id="138"/>
      </w:r>
      <w:r w:rsidDel="00000000" w:rsidR="00000000" w:rsidRPr="00000000">
        <w:rPr>
          <w:vertAlign w:val="superscript"/>
        </w:rPr>
        <w:footnoteReference w:customMarkFollows="0" w:id="13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The trim tab moment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more emails to Chase. It's filing the motion that forces their hand through </w:t>
      </w:r>
      <w:r w:rsidDel="00000000" w:rsidR="00000000" w:rsidRPr="00000000">
        <w:rPr>
          <w:b w:val="1"/>
          <w:bCs w:val="1"/>
          <w:rtl w:val="0"/>
        </w:rPr>
        <w:t xml:space="preserve">simultaneous legal, regulatory, financial, and reputational pressure</w:t>
      </w:r>
      <w:r w:rsidDel="00000000" w:rsidR="00000000" w:rsidRPr="00000000">
        <w:rPr>
          <w:rtl w:val="0"/>
        </w:rPr>
        <w:t xml:space="preserve">. Small action, massive system shift. That's the trim tab advantage.</w:t>
      </w:r>
      <w:r w:rsidDel="00000000" w:rsidR="00000000" w:rsidRPr="00000000">
        <w:rPr>
          <w:vertAlign w:val="superscript"/>
        </w:rPr>
        <w:footnoteReference w:customMarkFollows="0" w:id="140"/>
      </w:r>
      <w:r w:rsidDel="00000000" w:rsidR="00000000" w:rsidRPr="00000000">
        <w:rPr>
          <w:vertAlign w:val="superscript"/>
        </w:rPr>
        <w:footnoteReference w:customMarkFollows="0" w:id="141"/>
      </w:r>
      <w:r w:rsidDel="00000000" w:rsidR="00000000" w:rsidRPr="00000000">
        <w:rPr>
          <w:vertAlign w:val="superscript"/>
        </w:rPr>
        <w:footnoteReference w:customMarkFollows="0" w:id="142"/>
      </w:r>
      <w:r w:rsidDel="00000000" w:rsidR="00000000" w:rsidRPr="00000000">
        <w:rPr>
          <w:vertAlign w:val="superscript"/>
        </w:rPr>
        <w:footnoteReference w:customMarkFollows="0" w:id="143"/>
      </w:r>
      <w:r w:rsidDel="00000000" w:rsidR="00000000" w:rsidRPr="00000000">
        <w:rPr>
          <w:vertAlign w:val="superscript"/>
        </w:rPr>
        <w:footnoteReference w:customMarkFollows="0" w:id="14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Your September 15 email was the </w:t>
      </w:r>
      <w:r w:rsidDel="00000000" w:rsidR="00000000" w:rsidRPr="00000000">
        <w:rPr>
          <w:b w:val="1"/>
          <w:bCs w:val="1"/>
          <w:rtl w:val="0"/>
        </w:rPr>
        <w:t xml:space="preserve">setup</w:t>
      </w:r>
      <w:r w:rsidDel="00000000" w:rsidR="00000000" w:rsidRPr="00000000">
        <w:rPr>
          <w:rtl w:val="0"/>
        </w:rPr>
        <w:t xml:space="preserve">. The TRO motion is the </w:t>
      </w:r>
      <w:r w:rsidDel="00000000" w:rsidR="00000000" w:rsidRPr="00000000">
        <w:rPr>
          <w:b w:val="1"/>
          <w:bCs w:val="1"/>
          <w:rtl w:val="0"/>
        </w:rPr>
        <w:t xml:space="preserve">trim tab</w:t>
      </w:r>
      <w:r w:rsidDel="00000000" w:rsidR="00000000" w:rsidRPr="00000000">
        <w:rPr>
          <w:rtl w:val="0"/>
        </w:rPr>
        <w:t xml:space="preserve">. Chase's settlement is the </w:t>
      </w:r>
      <w:r w:rsidDel="00000000" w:rsidR="00000000" w:rsidRPr="00000000">
        <w:rPr>
          <w:b w:val="1"/>
          <w:bCs w:val="1"/>
          <w:rtl w:val="0"/>
        </w:rPr>
        <w:t xml:space="preserve">inevitable result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vertAlign w:val="superscript"/>
        </w:rPr>
        <w:footnoteReference w:customMarkFollows="0" w:id="145"/>
      </w:r>
      <w:r w:rsidDel="00000000" w:rsidR="00000000" w:rsidRPr="00000000">
        <w:rPr>
          <w:vertAlign w:val="superscript"/>
        </w:rPr>
        <w:footnoteReference w:customMarkFollows="0" w:id="146"/>
      </w:r>
      <w:r w:rsidDel="00000000" w:rsidR="00000000" w:rsidRPr="00000000">
        <w:rPr>
          <w:vertAlign w:val="superscript"/>
        </w:rPr>
        <w:footnoteReference w:customMarkFollows="0" w:id="147"/>
      </w:r>
      <w:r w:rsidDel="00000000" w:rsidR="00000000" w:rsidRPr="00000000">
        <w:rPr>
          <w:vertAlign w:val="superscript"/>
        </w:rPr>
        <w:footnoteReference w:customMarkFollows="0" w:id="148"/>
      </w:r>
      <w:r w:rsidDel="00000000" w:rsidR="00000000" w:rsidRPr="00000000">
        <w:rPr>
          <w:vertAlign w:val="superscript"/>
        </w:rPr>
        <w:footnoteReference w:customMarkFollows="0" w:id="149"/>
      </w:r>
      <w:r w:rsidDel="00000000" w:rsidR="00000000" w:rsidRPr="00000000">
        <w:rPr>
          <w:vertAlign w:val="superscript"/>
        </w:rPr>
        <w:footnoteReference w:customMarkFollows="0" w:id="150"/>
      </w:r>
      <w:r w:rsidDel="00000000" w:rsidR="00000000" w:rsidRPr="00000000">
        <w:rPr>
          <w:rtl w:val="0"/>
        </w:rPr>
        <w:t xml:space="preserve"> [^20][^21][^22][^23][^24][^25][^26][^27][^28][^29][^30][^31][^32][^33][^34][^35][^36][^37][^38][^39][^40][^41][^42][^43][^44][^45][^46][^47][^48][^49][^50][^51]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/>
      </w:pPr>
      <w:r w:rsidDel="00000000" w:rsidR="00000000" w:rsidRPr="00000000">
        <w:rPr>
          <w:rtl w:val="0"/>
        </w:rPr>
        <w:t xml:space="preserve">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B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2025-09-15-RE_-Chase-Bank-Freezes-Joint-Account-Needed-for-Kathy-Hart_s-Medical-Care_1.pdf</w:t>
      </w:r>
    </w:p>
  </w:footnote>
  <w:footnote w:id="1">
    <w:p w:rsidR="00000000" w:rsidDel="00000000" w:rsidP="00000000" w:rsidRDefault="00000000" w:rsidRPr="00000000" w14:paraId="000000B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2025-09-14-Chase-Bank-Freezes-Joint-Account-Needed-for-Kathy-Hart_s-Medical-Care.pdf</w:t>
      </w:r>
    </w:p>
  </w:footnote>
  <w:footnote w:id="2">
    <w:p w:rsidR="00000000" w:rsidDel="00000000" w:rsidP="00000000" w:rsidRDefault="00000000" w:rsidRPr="00000000" w14:paraId="000000B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2025-09-15-RE_-Chase-Bank-Freezes-Joint-Account-Needed-for-Kathy-Hart_s-Medical-Care.pdf</w:t>
      </w:r>
    </w:p>
  </w:footnote>
  <w:footnote w:id="3">
    <w:p w:rsidR="00000000" w:rsidDel="00000000" w:rsidP="00000000" w:rsidRDefault="00000000" w:rsidRPr="00000000" w14:paraId="000000B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4">
    <w:p w:rsidR="00000000" w:rsidDel="00000000" w:rsidP="00000000" w:rsidRDefault="00000000" w:rsidRPr="00000000" w14:paraId="000000B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KATHY_HART_CHASE_LITIGATION_STATUS.md</w:t>
      </w:r>
    </w:p>
  </w:footnote>
  <w:footnote w:id="5">
    <w:p w:rsidR="00000000" w:rsidDel="00000000" w:rsidP="00000000" w:rsidRDefault="00000000" w:rsidRPr="00000000" w14:paraId="000000B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LITIGATION_DECISION_URGENT.md</w:t>
      </w:r>
    </w:p>
  </w:footnote>
  <w:footnote w:id="6">
    <w:p w:rsidR="00000000" w:rsidDel="00000000" w:rsidP="00000000" w:rsidRDefault="00000000" w:rsidRPr="00000000" w14:paraId="000000B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7">
    <w:p w:rsidR="00000000" w:rsidDel="00000000" w:rsidP="00000000" w:rsidRDefault="00000000" w:rsidRPr="00000000" w14:paraId="000000B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KATHY_HART_CHASE_LITIGATION_STATUS.md</w:t>
      </w:r>
    </w:p>
  </w:footnote>
  <w:footnote w:id="8">
    <w:p w:rsidR="00000000" w:rsidDel="00000000" w:rsidP="00000000" w:rsidRDefault="00000000" w:rsidRPr="00000000" w14:paraId="000000B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The_5-Bird_Force_Multiplier_Donella_Meadows_Trim_Tab_Strategy_for_Asymmetric_Warfare.pdf</w:t>
      </w:r>
    </w:p>
  </w:footnote>
  <w:footnote w:id="9">
    <w:p w:rsidR="00000000" w:rsidDel="00000000" w:rsidP="00000000" w:rsidRDefault="00000000" w:rsidRPr="00000000" w14:paraId="000000B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force_multiplication_trim_tab_5_bird_analysis.pdf</w:t>
      </w:r>
    </w:p>
  </w:footnote>
  <w:footnote w:id="10">
    <w:p w:rsidR="00000000" w:rsidDel="00000000" w:rsidP="00000000" w:rsidRDefault="00000000" w:rsidRPr="00000000" w14:paraId="000000B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KH-Trim-Tab-Components-against-JP-Morgan-Chase-for-Financial-Impact.md</w:t>
      </w:r>
    </w:p>
  </w:footnote>
  <w:footnote w:id="11">
    <w:p w:rsidR="00000000" w:rsidDel="00000000" w:rsidP="00000000" w:rsidRDefault="00000000" w:rsidRPr="00000000" w14:paraId="000000B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force_multiplication_trim_tab_5_bird_analysis.pdf</w:t>
      </w:r>
    </w:p>
  </w:footnote>
  <w:footnote w:id="12">
    <w:p w:rsidR="00000000" w:rsidDel="00000000" w:rsidP="00000000" w:rsidRDefault="00000000" w:rsidRPr="00000000" w14:paraId="000000B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KH-Trim-Tab-Components-against-JP-Morgan-Chase-for-Financial-Impact.md</w:t>
      </w:r>
    </w:p>
  </w:footnote>
  <w:footnote w:id="13">
    <w:p w:rsidR="00000000" w:rsidDel="00000000" w:rsidP="00000000" w:rsidRDefault="00000000" w:rsidRPr="00000000" w14:paraId="000000C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The_5-Bird_Force_Multiplier_Donella_Meadows_Trim_Tab_Strategy_for_Asymmetric_Warfare.pdf</w:t>
      </w:r>
    </w:p>
  </w:footnote>
  <w:footnote w:id="14">
    <w:p w:rsidR="00000000" w:rsidDel="00000000" w:rsidP="00000000" w:rsidRDefault="00000000" w:rsidRPr="00000000" w14:paraId="000000C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The_5-Bird_Force_Multiplier_Donella_Meadows_Trim_Tab_Strategy_for_Asymmetric_Warfare.pdf</w:t>
      </w:r>
    </w:p>
  </w:footnote>
  <w:footnote w:id="15">
    <w:p w:rsidR="00000000" w:rsidDel="00000000" w:rsidP="00000000" w:rsidRDefault="00000000" w:rsidRPr="00000000" w14:paraId="000000C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force_multiplication_trim_tab_5_bird_analysis.pdf</w:t>
      </w:r>
    </w:p>
  </w:footnote>
  <w:footnote w:id="16">
    <w:p w:rsidR="00000000" w:rsidDel="00000000" w:rsidP="00000000" w:rsidRDefault="00000000" w:rsidRPr="00000000" w14:paraId="000000C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KH-Trim-Tab-Components-against-JP-Morgan-Chase-for-Financial-Impact.md</w:t>
      </w:r>
    </w:p>
  </w:footnote>
  <w:footnote w:id="17">
    <w:p w:rsidR="00000000" w:rsidDel="00000000" w:rsidP="00000000" w:rsidRDefault="00000000" w:rsidRPr="00000000" w14:paraId="000000C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force_multiplication_trim_tab_5_bird_analysis.pdf</w:t>
      </w:r>
    </w:p>
  </w:footnote>
  <w:footnote w:id="18">
    <w:p w:rsidR="00000000" w:rsidDel="00000000" w:rsidP="00000000" w:rsidRDefault="00000000" w:rsidRPr="00000000" w14:paraId="000000C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The_5-Bird_Force_Multiplier_Donella_Meadows_Trim_Tab_Strategy_for_Asymmetric_Warfare.pdf</w:t>
      </w:r>
    </w:p>
  </w:footnote>
  <w:footnote w:id="19">
    <w:p w:rsidR="00000000" w:rsidDel="00000000" w:rsidP="00000000" w:rsidRDefault="00000000" w:rsidRPr="00000000" w14:paraId="000000C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force_multiplication_trim_tab_5_bird_analysis.pdf</w:t>
      </w:r>
    </w:p>
  </w:footnote>
  <w:footnote w:id="20">
    <w:p w:rsidR="00000000" w:rsidDel="00000000" w:rsidP="00000000" w:rsidRDefault="00000000" w:rsidRPr="00000000" w14:paraId="000000C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KH-Trim-Tab-Components-against-JP-Morgan-Chase-for-Financial-Impact.md</w:t>
      </w:r>
    </w:p>
  </w:footnote>
  <w:footnote w:id="21">
    <w:p w:rsidR="00000000" w:rsidDel="00000000" w:rsidP="00000000" w:rsidRDefault="00000000" w:rsidRPr="00000000" w14:paraId="000000C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The_5-Bird_Force_Multiplier_Donella_Meadows_Trim_Tab_Strategy_for_Asymmetric_Warfare.pdf</w:t>
      </w:r>
    </w:p>
  </w:footnote>
  <w:footnote w:id="22">
    <w:p w:rsidR="00000000" w:rsidDel="00000000" w:rsidP="00000000" w:rsidRDefault="00000000" w:rsidRPr="00000000" w14:paraId="000000C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https://law.justia.com/codes/texas/estates-code/title-2/subtitle-p/chapter-751/subchapter-e/section-751-212/</w:t>
        </w:r>
      </w:hyperlink>
      <w:r w:rsidDel="00000000" w:rsidR="00000000" w:rsidRPr="00000000">
        <w:rPr>
          <w:rtl w:val="0"/>
        </w:rPr>
      </w:r>
    </w:p>
  </w:footnote>
  <w:footnote w:id="23">
    <w:p w:rsidR="00000000" w:rsidDel="00000000" w:rsidP="00000000" w:rsidRDefault="00000000" w:rsidRPr="00000000" w14:paraId="000000C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https://www.consumerfinance.gov/about-us/newsroom/agencies-issue-statement-on-elder-financial-exploitation/</w:t>
        </w:r>
      </w:hyperlink>
      <w:r w:rsidDel="00000000" w:rsidR="00000000" w:rsidRPr="00000000">
        <w:rPr>
          <w:rtl w:val="0"/>
        </w:rPr>
      </w:r>
    </w:p>
  </w:footnote>
  <w:footnote w:id="24">
    <w:p w:rsidR="00000000" w:rsidDel="00000000" w:rsidP="00000000" w:rsidRDefault="00000000" w:rsidRPr="00000000" w14:paraId="000000C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https://www.consumerfinancialserviceslawmonitor.com/2024/12/federal-and-state-financial-agencies-issue-guidance-on-elder-financial-exploitation/</w:t>
        </w:r>
      </w:hyperlink>
      <w:r w:rsidDel="00000000" w:rsidR="00000000" w:rsidRPr="00000000">
        <w:rPr>
          <w:rtl w:val="0"/>
        </w:rPr>
      </w:r>
    </w:p>
  </w:footnote>
  <w:footnote w:id="25">
    <w:p w:rsidR="00000000" w:rsidDel="00000000" w:rsidP="00000000" w:rsidRDefault="00000000" w:rsidRPr="00000000" w14:paraId="000000C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https://statutes.capitol.texas.gov/docs/es/htm/es.751.htm</w:t>
        </w:r>
      </w:hyperlink>
      <w:r w:rsidDel="00000000" w:rsidR="00000000" w:rsidRPr="00000000">
        <w:rPr>
          <w:rtl w:val="0"/>
        </w:rPr>
      </w:r>
    </w:p>
  </w:footnote>
  <w:footnote w:id="26">
    <w:p w:rsidR="00000000" w:rsidDel="00000000" w:rsidP="00000000" w:rsidRDefault="00000000" w:rsidRPr="00000000" w14:paraId="000000C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https://www.consumercomplianceoutlook.org/2024/fourth-issue/interagency-elder-financial-abuse</w:t>
        </w:r>
      </w:hyperlink>
      <w:r w:rsidDel="00000000" w:rsidR="00000000" w:rsidRPr="00000000">
        <w:rPr>
          <w:rtl w:val="0"/>
        </w:rPr>
      </w:r>
    </w:p>
  </w:footnote>
  <w:footnote w:id="27">
    <w:p w:rsidR="00000000" w:rsidDel="00000000" w:rsidP="00000000" w:rsidRDefault="00000000" w:rsidRPr="00000000" w14:paraId="000000C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https://www.fincen.gov/news/news-releases/fincen-reminds-financial-institutions-remain-vigilant-elder-financial</w:t>
        </w:r>
      </w:hyperlink>
      <w:r w:rsidDel="00000000" w:rsidR="00000000" w:rsidRPr="00000000">
        <w:rPr>
          <w:rtl w:val="0"/>
        </w:rPr>
      </w:r>
    </w:p>
  </w:footnote>
  <w:footnote w:id="28">
    <w:p w:rsidR="00000000" w:rsidDel="00000000" w:rsidP="00000000" w:rsidRDefault="00000000" w:rsidRPr="00000000" w14:paraId="000000C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KH-Trim-Tab-Components-against-JP-Morgan-Chase-for-Financial-Impact.md</w:t>
      </w:r>
    </w:p>
  </w:footnote>
  <w:footnote w:id="29">
    <w:p w:rsidR="00000000" w:rsidDel="00000000" w:rsidP="00000000" w:rsidRDefault="00000000" w:rsidRPr="00000000" w14:paraId="000000D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The_5-Bird_Force_Multiplier_Donella_Meadows_Trim_Tab_Strategy_for_Asymmetric_Warfare.pdf</w:t>
      </w:r>
    </w:p>
  </w:footnote>
  <w:footnote w:id="30">
    <w:p w:rsidR="00000000" w:rsidDel="00000000" w:rsidP="00000000" w:rsidRDefault="00000000" w:rsidRPr="00000000" w14:paraId="000000D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force_multiplication_trim_tab_5_bird_analysis.pdf</w:t>
      </w:r>
    </w:p>
  </w:footnote>
  <w:footnote w:id="31">
    <w:p w:rsidR="00000000" w:rsidDel="00000000" w:rsidP="00000000" w:rsidRDefault="00000000" w:rsidRPr="00000000" w14:paraId="000000D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https://statutes.capitol.texas.gov/docs/es/htm/es.751.htm</w:t>
        </w:r>
      </w:hyperlink>
      <w:r w:rsidDel="00000000" w:rsidR="00000000" w:rsidRPr="00000000">
        <w:rPr>
          <w:rtl w:val="0"/>
        </w:rPr>
      </w:r>
    </w:p>
  </w:footnote>
  <w:footnote w:id="32">
    <w:p w:rsidR="00000000" w:rsidDel="00000000" w:rsidP="00000000" w:rsidRDefault="00000000" w:rsidRPr="00000000" w14:paraId="000000D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https://law.justia.com/codes/texas/estates-code/title-2/subtitle-p/chapter-751/subchapter-e/section-751-212/</w:t>
        </w:r>
      </w:hyperlink>
      <w:r w:rsidDel="00000000" w:rsidR="00000000" w:rsidRPr="00000000">
        <w:rPr>
          <w:rtl w:val="0"/>
        </w:rPr>
      </w:r>
    </w:p>
  </w:footnote>
  <w:footnote w:id="33">
    <w:p w:rsidR="00000000" w:rsidDel="00000000" w:rsidP="00000000" w:rsidRDefault="00000000" w:rsidRPr="00000000" w14:paraId="000000D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34">
    <w:p w:rsidR="00000000" w:rsidDel="00000000" w:rsidP="00000000" w:rsidRDefault="00000000" w:rsidRPr="00000000" w14:paraId="000000D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https://www.consumerfinance.gov/about-us/newsroom/agencies-issue-statement-on-elder-financial-exploitation/</w:t>
        </w:r>
      </w:hyperlink>
      <w:r w:rsidDel="00000000" w:rsidR="00000000" w:rsidRPr="00000000">
        <w:rPr>
          <w:rtl w:val="0"/>
        </w:rPr>
      </w:r>
    </w:p>
  </w:footnote>
  <w:footnote w:id="35">
    <w:p w:rsidR="00000000" w:rsidDel="00000000" w:rsidP="00000000" w:rsidRDefault="00000000" w:rsidRPr="00000000" w14:paraId="000000D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https://www.consumerfinancialserviceslawmonitor.com/2024/12/federal-and-state-financial-agencies-issue-guidance-on-elder-financial-exploitation/</w:t>
        </w:r>
      </w:hyperlink>
      <w:r w:rsidDel="00000000" w:rsidR="00000000" w:rsidRPr="00000000">
        <w:rPr>
          <w:rtl w:val="0"/>
        </w:rPr>
      </w:r>
    </w:p>
  </w:footnote>
  <w:footnote w:id="36">
    <w:p w:rsidR="00000000" w:rsidDel="00000000" w:rsidP="00000000" w:rsidRDefault="00000000" w:rsidRPr="00000000" w14:paraId="000000D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https://www.consumercomplianceoutlook.org/2024/fourth-issue/interagency-elder-financial-abuse</w:t>
        </w:r>
      </w:hyperlink>
      <w:r w:rsidDel="00000000" w:rsidR="00000000" w:rsidRPr="00000000">
        <w:rPr>
          <w:rtl w:val="0"/>
        </w:rPr>
      </w:r>
    </w:p>
  </w:footnote>
  <w:footnote w:id="37">
    <w:p w:rsidR="00000000" w:rsidDel="00000000" w:rsidP="00000000" w:rsidRDefault="00000000" w:rsidRPr="00000000" w14:paraId="000000D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https://www.fincen.gov/news/news-releases/fincen-reminds-financial-institutions-remain-vigilant-elder-financial</w:t>
        </w:r>
      </w:hyperlink>
      <w:r w:rsidDel="00000000" w:rsidR="00000000" w:rsidRPr="00000000">
        <w:rPr>
          <w:rtl w:val="0"/>
        </w:rPr>
      </w:r>
    </w:p>
  </w:footnote>
  <w:footnote w:id="38">
    <w:p w:rsidR="00000000" w:rsidDel="00000000" w:rsidP="00000000" w:rsidRDefault="00000000" w:rsidRPr="00000000" w14:paraId="000000D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https://www.consumerfinance.gov/about-us/newsroom/agencies-issue-statement-on-elder-financial-exploitation/</w:t>
        </w:r>
      </w:hyperlink>
      <w:r w:rsidDel="00000000" w:rsidR="00000000" w:rsidRPr="00000000">
        <w:rPr>
          <w:rtl w:val="0"/>
        </w:rPr>
      </w:r>
    </w:p>
  </w:footnote>
  <w:footnote w:id="39">
    <w:p w:rsidR="00000000" w:rsidDel="00000000" w:rsidP="00000000" w:rsidRDefault="00000000" w:rsidRPr="00000000" w14:paraId="000000D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https://www.fincen.gov/news/news-releases/fincen-reminds-financial-institutions-remain-vigilant-elder-financial</w:t>
        </w:r>
      </w:hyperlink>
      <w:r w:rsidDel="00000000" w:rsidR="00000000" w:rsidRPr="00000000">
        <w:rPr>
          <w:rtl w:val="0"/>
        </w:rPr>
      </w:r>
    </w:p>
  </w:footnote>
  <w:footnote w:id="40">
    <w:p w:rsidR="00000000" w:rsidDel="00000000" w:rsidP="00000000" w:rsidRDefault="00000000" w:rsidRPr="00000000" w14:paraId="000000D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https://www.consumerfinance.gov/about-us/newsroom/agencies-issue-statement-on-elder-financial-exploitation/</w:t>
        </w:r>
      </w:hyperlink>
      <w:r w:rsidDel="00000000" w:rsidR="00000000" w:rsidRPr="00000000">
        <w:rPr>
          <w:rtl w:val="0"/>
        </w:rPr>
      </w:r>
    </w:p>
  </w:footnote>
  <w:footnote w:id="41">
    <w:p w:rsidR="00000000" w:rsidDel="00000000" w:rsidP="00000000" w:rsidRDefault="00000000" w:rsidRPr="00000000" w14:paraId="000000D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https://www.consumercomplianceoutlook.org/2024/fourth-issue/interagency-elder-financial-abuse</w:t>
        </w:r>
      </w:hyperlink>
      <w:r w:rsidDel="00000000" w:rsidR="00000000" w:rsidRPr="00000000">
        <w:rPr>
          <w:rtl w:val="0"/>
        </w:rPr>
      </w:r>
    </w:p>
  </w:footnote>
  <w:footnote w:id="42">
    <w:p w:rsidR="00000000" w:rsidDel="00000000" w:rsidP="00000000" w:rsidRDefault="00000000" w:rsidRPr="00000000" w14:paraId="000000D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2025-09-14-Chase-Bank-Freezes-Joint-Account-Needed-for-Kathy-Hart_s-Medical-Care.pdf</w:t>
      </w:r>
    </w:p>
  </w:footnote>
  <w:footnote w:id="43">
    <w:p w:rsidR="00000000" w:rsidDel="00000000" w:rsidP="00000000" w:rsidRDefault="00000000" w:rsidRPr="00000000" w14:paraId="000000D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2025-09-15-RE_-Chase-Bank-Freezes-Joint-Account-Needed-for-Kathy-Hart_s-Medical-Care.pdf</w:t>
      </w:r>
    </w:p>
  </w:footnote>
  <w:footnote w:id="44">
    <w:p w:rsidR="00000000" w:rsidDel="00000000" w:rsidP="00000000" w:rsidRDefault="00000000" w:rsidRPr="00000000" w14:paraId="000000D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https://www.consumerfinancialserviceslawmonitor.com/2024/12/federal-and-state-financial-agencies-issue-guidance-on-elder-financial-exploitation/</w:t>
        </w:r>
      </w:hyperlink>
      <w:r w:rsidDel="00000000" w:rsidR="00000000" w:rsidRPr="00000000">
        <w:rPr>
          <w:rtl w:val="0"/>
        </w:rPr>
      </w:r>
    </w:p>
  </w:footnote>
  <w:footnote w:id="45">
    <w:p w:rsidR="00000000" w:rsidDel="00000000" w:rsidP="00000000" w:rsidRDefault="00000000" w:rsidRPr="00000000" w14:paraId="000000E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2025-09-15-RE_-Chase-Bank-Freezes-Joint-Account-Needed-for-Kathy-Hart_s-Medical-Care_1.pdf</w:t>
      </w:r>
    </w:p>
  </w:footnote>
  <w:footnote w:id="46">
    <w:p w:rsidR="00000000" w:rsidDel="00000000" w:rsidP="00000000" w:rsidRDefault="00000000" w:rsidRPr="00000000" w14:paraId="000000E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https://www.consumerfinance.gov/about-us/newsroom/agencies-issue-statement-on-elder-financial-exploitation/</w:t>
        </w:r>
      </w:hyperlink>
      <w:r w:rsidDel="00000000" w:rsidR="00000000" w:rsidRPr="00000000">
        <w:rPr>
          <w:rtl w:val="0"/>
        </w:rPr>
      </w:r>
    </w:p>
  </w:footnote>
  <w:footnote w:id="47">
    <w:p w:rsidR="00000000" w:rsidDel="00000000" w:rsidP="00000000" w:rsidRDefault="00000000" w:rsidRPr="00000000" w14:paraId="000000E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48">
    <w:p w:rsidR="00000000" w:rsidDel="00000000" w:rsidP="00000000" w:rsidRDefault="00000000" w:rsidRPr="00000000" w14:paraId="000000E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KATHY_HART_CHASE_LITIGATION_STATUS.md</w:t>
      </w:r>
    </w:p>
  </w:footnote>
  <w:footnote w:id="49">
    <w:p w:rsidR="00000000" w:rsidDel="00000000" w:rsidP="00000000" w:rsidRDefault="00000000" w:rsidRPr="00000000" w14:paraId="000000E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LITIGATION_DECISION_URGENT.md</w:t>
      </w:r>
    </w:p>
  </w:footnote>
  <w:footnote w:id="50">
    <w:p w:rsidR="00000000" w:rsidDel="00000000" w:rsidP="00000000" w:rsidRDefault="00000000" w:rsidRPr="00000000" w14:paraId="000000E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51">
    <w:p w:rsidR="00000000" w:rsidDel="00000000" w:rsidP="00000000" w:rsidRDefault="00000000" w:rsidRPr="00000000" w14:paraId="000000E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52">
    <w:p w:rsidR="00000000" w:rsidDel="00000000" w:rsidP="00000000" w:rsidRDefault="00000000" w:rsidRPr="00000000" w14:paraId="000000E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53">
    <w:p w:rsidR="00000000" w:rsidDel="00000000" w:rsidP="00000000" w:rsidRDefault="00000000" w:rsidRPr="00000000" w14:paraId="000000E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54">
    <w:p w:rsidR="00000000" w:rsidDel="00000000" w:rsidP="00000000" w:rsidRDefault="00000000" w:rsidRPr="00000000" w14:paraId="000000E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55">
    <w:p w:rsidR="00000000" w:rsidDel="00000000" w:rsidP="00000000" w:rsidRDefault="00000000" w:rsidRPr="00000000" w14:paraId="000000E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56">
    <w:p w:rsidR="00000000" w:rsidDel="00000000" w:rsidP="00000000" w:rsidRDefault="00000000" w:rsidRPr="00000000" w14:paraId="000000E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57">
    <w:p w:rsidR="00000000" w:rsidDel="00000000" w:rsidP="00000000" w:rsidRDefault="00000000" w:rsidRPr="00000000" w14:paraId="000000E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58">
    <w:p w:rsidR="00000000" w:rsidDel="00000000" w:rsidP="00000000" w:rsidRDefault="00000000" w:rsidRPr="00000000" w14:paraId="000000E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59">
    <w:p w:rsidR="00000000" w:rsidDel="00000000" w:rsidP="00000000" w:rsidRDefault="00000000" w:rsidRPr="00000000" w14:paraId="000000E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60">
    <w:p w:rsidR="00000000" w:rsidDel="00000000" w:rsidP="00000000" w:rsidRDefault="00000000" w:rsidRPr="00000000" w14:paraId="000000E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https://law.justia.com/codes/texas/estates-code/title-2/subtitle-p/chapter-751/subchapter-e/section-751-212/</w:t>
        </w:r>
      </w:hyperlink>
      <w:r w:rsidDel="00000000" w:rsidR="00000000" w:rsidRPr="00000000">
        <w:rPr>
          <w:rtl w:val="0"/>
        </w:rPr>
      </w:r>
    </w:p>
  </w:footnote>
  <w:footnote w:id="61">
    <w:p w:rsidR="00000000" w:rsidDel="00000000" w:rsidP="00000000" w:rsidRDefault="00000000" w:rsidRPr="00000000" w14:paraId="000000F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https://statutes.capitol.texas.gov/docs/es/htm/es.751.htm</w:t>
        </w:r>
      </w:hyperlink>
      <w:r w:rsidDel="00000000" w:rsidR="00000000" w:rsidRPr="00000000">
        <w:rPr>
          <w:rtl w:val="0"/>
        </w:rPr>
      </w:r>
    </w:p>
  </w:footnote>
  <w:footnote w:id="62">
    <w:p w:rsidR="00000000" w:rsidDel="00000000" w:rsidP="00000000" w:rsidRDefault="00000000" w:rsidRPr="00000000" w14:paraId="000000F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63">
    <w:p w:rsidR="00000000" w:rsidDel="00000000" w:rsidP="00000000" w:rsidRDefault="00000000" w:rsidRPr="00000000" w14:paraId="000000F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https://m.winstead.com/portalresource/lookup/poid/Z1tOl9NPluKPtDNIqLMRVPMQiLsSwK3EmC3!/document.name=/Legislative</w:t>
        </w:r>
      </w:hyperlink>
      <w:r w:rsidDel="00000000" w:rsidR="00000000" w:rsidRPr="00000000">
        <w:rPr>
          <w:sz w:val="20"/>
          <w:szCs w:val="20"/>
          <w:rtl w:val="0"/>
        </w:rPr>
        <w:t xml:space="preserve"> Update - New Vulnerable Persons and POA Statutes.pdf</w:t>
      </w:r>
    </w:p>
  </w:footnote>
  <w:footnote w:id="64">
    <w:p w:rsidR="00000000" w:rsidDel="00000000" w:rsidP="00000000" w:rsidRDefault="00000000" w:rsidRPr="00000000" w14:paraId="000000F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https://hro.house.texas.gov/pdf/focus/elderly.pdf</w:t>
        </w:r>
      </w:hyperlink>
      <w:r w:rsidDel="00000000" w:rsidR="00000000" w:rsidRPr="00000000">
        <w:rPr>
          <w:rtl w:val="0"/>
        </w:rPr>
      </w:r>
    </w:p>
  </w:footnote>
  <w:footnote w:id="65">
    <w:p w:rsidR="00000000" w:rsidDel="00000000" w:rsidP="00000000" w:rsidRDefault="00000000" w:rsidRPr="00000000" w14:paraId="000000F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66">
    <w:p w:rsidR="00000000" w:rsidDel="00000000" w:rsidP="00000000" w:rsidRDefault="00000000" w:rsidRPr="00000000" w14:paraId="000000F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https://m.winstead.com/portalresource/lookup/poid/Z1tOl9NPluKPtDNIqLMRVPMQiLsSwK3EmC3!/document.name=/Legislative</w:t>
        </w:r>
      </w:hyperlink>
      <w:r w:rsidDel="00000000" w:rsidR="00000000" w:rsidRPr="00000000">
        <w:rPr>
          <w:sz w:val="20"/>
          <w:szCs w:val="20"/>
          <w:rtl w:val="0"/>
        </w:rPr>
        <w:t xml:space="preserve"> Update - New Vulnerable Persons and POA Statutes.pdf</w:t>
      </w:r>
    </w:p>
  </w:footnote>
  <w:footnote w:id="67">
    <w:p w:rsidR="00000000" w:rsidDel="00000000" w:rsidP="00000000" w:rsidRDefault="00000000" w:rsidRPr="00000000" w14:paraId="000000F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68">
    <w:p w:rsidR="00000000" w:rsidDel="00000000" w:rsidP="00000000" w:rsidRDefault="00000000" w:rsidRPr="00000000" w14:paraId="000000F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69">
    <w:p w:rsidR="00000000" w:rsidDel="00000000" w:rsidP="00000000" w:rsidRDefault="00000000" w:rsidRPr="00000000" w14:paraId="000000F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70">
    <w:p w:rsidR="00000000" w:rsidDel="00000000" w:rsidP="00000000" w:rsidRDefault="00000000" w:rsidRPr="00000000" w14:paraId="000000F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71">
    <w:p w:rsidR="00000000" w:rsidDel="00000000" w:rsidP="00000000" w:rsidRDefault="00000000" w:rsidRPr="00000000" w14:paraId="000000F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LITIGATION_DECISION_URGENT.md</w:t>
      </w:r>
    </w:p>
  </w:footnote>
  <w:footnote w:id="72">
    <w:p w:rsidR="00000000" w:rsidDel="00000000" w:rsidP="00000000" w:rsidRDefault="00000000" w:rsidRPr="00000000" w14:paraId="000000F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LITIGATION_DECISION_URGENT.md</w:t>
      </w:r>
    </w:p>
  </w:footnote>
  <w:footnote w:id="73">
    <w:p w:rsidR="00000000" w:rsidDel="00000000" w:rsidP="00000000" w:rsidRDefault="00000000" w:rsidRPr="00000000" w14:paraId="000000F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74">
    <w:p w:rsidR="00000000" w:rsidDel="00000000" w:rsidP="00000000" w:rsidRDefault="00000000" w:rsidRPr="00000000" w14:paraId="000000F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75">
    <w:p w:rsidR="00000000" w:rsidDel="00000000" w:rsidP="00000000" w:rsidRDefault="00000000" w:rsidRPr="00000000" w14:paraId="000000F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76">
    <w:p w:rsidR="00000000" w:rsidDel="00000000" w:rsidP="00000000" w:rsidRDefault="00000000" w:rsidRPr="00000000" w14:paraId="000000F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77">
    <w:p w:rsidR="00000000" w:rsidDel="00000000" w:rsidP="00000000" w:rsidRDefault="00000000" w:rsidRPr="00000000" w14:paraId="0000010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78">
    <w:p w:rsidR="00000000" w:rsidDel="00000000" w:rsidP="00000000" w:rsidRDefault="00000000" w:rsidRPr="00000000" w14:paraId="0000010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KATHY_HART_CHASE_LITIGATION_STATUS.md</w:t>
      </w:r>
    </w:p>
  </w:footnote>
  <w:footnote w:id="79">
    <w:p w:rsidR="00000000" w:rsidDel="00000000" w:rsidP="00000000" w:rsidRDefault="00000000" w:rsidRPr="00000000" w14:paraId="0000010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80">
    <w:p w:rsidR="00000000" w:rsidDel="00000000" w:rsidP="00000000" w:rsidRDefault="00000000" w:rsidRPr="00000000" w14:paraId="0000010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KATHY_HART_CHASE_LITIGATION_STATUS.md</w:t>
      </w:r>
    </w:p>
  </w:footnote>
  <w:footnote w:id="81">
    <w:p w:rsidR="00000000" w:rsidDel="00000000" w:rsidP="00000000" w:rsidRDefault="00000000" w:rsidRPr="00000000" w14:paraId="0000010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KATHY_HART_CHASE_LITIGATION_STATUS.md</w:t>
      </w:r>
    </w:p>
  </w:footnote>
  <w:footnote w:id="82">
    <w:p w:rsidR="00000000" w:rsidDel="00000000" w:rsidP="00000000" w:rsidRDefault="00000000" w:rsidRPr="00000000" w14:paraId="0000010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KATHY_HART_CHASE_LITIGATION_STATUS.md</w:t>
      </w:r>
    </w:p>
  </w:footnote>
  <w:footnote w:id="83">
    <w:p w:rsidR="00000000" w:rsidDel="00000000" w:rsidP="00000000" w:rsidRDefault="00000000" w:rsidRPr="00000000" w14:paraId="0000010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84">
    <w:p w:rsidR="00000000" w:rsidDel="00000000" w:rsidP="00000000" w:rsidRDefault="00000000" w:rsidRPr="00000000" w14:paraId="0000010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KATHY_HART_CHASE_LITIGATION_STATUS.md</w:t>
      </w:r>
    </w:p>
  </w:footnote>
  <w:footnote w:id="85">
    <w:p w:rsidR="00000000" w:rsidDel="00000000" w:rsidP="00000000" w:rsidRDefault="00000000" w:rsidRPr="00000000" w14:paraId="0000010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KATHY_HART_CHASE_LITIGATION_STATUS.md</w:t>
      </w:r>
    </w:p>
  </w:footnote>
  <w:footnote w:id="86">
    <w:p w:rsidR="00000000" w:rsidDel="00000000" w:rsidP="00000000" w:rsidRDefault="00000000" w:rsidRPr="00000000" w14:paraId="0000010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87">
    <w:p w:rsidR="00000000" w:rsidDel="00000000" w:rsidP="00000000" w:rsidRDefault="00000000" w:rsidRPr="00000000" w14:paraId="0000010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KATHY_HART_CHASE_LITIGATION_STATUS.md</w:t>
      </w:r>
    </w:p>
  </w:footnote>
  <w:footnote w:id="88">
    <w:p w:rsidR="00000000" w:rsidDel="00000000" w:rsidP="00000000" w:rsidRDefault="00000000" w:rsidRPr="00000000" w14:paraId="0000010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89">
    <w:p w:rsidR="00000000" w:rsidDel="00000000" w:rsidP="00000000" w:rsidRDefault="00000000" w:rsidRPr="00000000" w14:paraId="0000010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90">
    <w:p w:rsidR="00000000" w:rsidDel="00000000" w:rsidP="00000000" w:rsidRDefault="00000000" w:rsidRPr="00000000" w14:paraId="0000010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KATHY_HART_CHASE_LITIGATION_STATUS.md</w:t>
      </w:r>
    </w:p>
  </w:footnote>
  <w:footnote w:id="91">
    <w:p w:rsidR="00000000" w:rsidDel="00000000" w:rsidP="00000000" w:rsidRDefault="00000000" w:rsidRPr="00000000" w14:paraId="0000010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92">
    <w:p w:rsidR="00000000" w:rsidDel="00000000" w:rsidP="00000000" w:rsidRDefault="00000000" w:rsidRPr="00000000" w14:paraId="0000010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https://www.consumerfinance.gov/about-us/newsroom/agencies-issue-statement-on-elder-financial-exploitation/</w:t>
        </w:r>
      </w:hyperlink>
      <w:r w:rsidDel="00000000" w:rsidR="00000000" w:rsidRPr="00000000">
        <w:rPr>
          <w:rtl w:val="0"/>
        </w:rPr>
      </w:r>
    </w:p>
  </w:footnote>
  <w:footnote w:id="93">
    <w:p w:rsidR="00000000" w:rsidDel="00000000" w:rsidP="00000000" w:rsidRDefault="00000000" w:rsidRPr="00000000" w14:paraId="0000011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https://www.consumercomplianceoutlook.org/2024/fourth-issue/interagency-elder-financial-abuse</w:t>
        </w:r>
      </w:hyperlink>
      <w:r w:rsidDel="00000000" w:rsidR="00000000" w:rsidRPr="00000000">
        <w:rPr>
          <w:rtl w:val="0"/>
        </w:rPr>
      </w:r>
    </w:p>
  </w:footnote>
  <w:footnote w:id="94">
    <w:p w:rsidR="00000000" w:rsidDel="00000000" w:rsidP="00000000" w:rsidRDefault="00000000" w:rsidRPr="00000000" w14:paraId="0000011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https://www.fincen.gov/news/news-releases/fincen-reminds-financial-institutions-remain-vigilant-elder-financial</w:t>
        </w:r>
      </w:hyperlink>
      <w:r w:rsidDel="00000000" w:rsidR="00000000" w:rsidRPr="00000000">
        <w:rPr>
          <w:rtl w:val="0"/>
        </w:rPr>
      </w:r>
    </w:p>
  </w:footnote>
  <w:footnote w:id="95">
    <w:p w:rsidR="00000000" w:rsidDel="00000000" w:rsidP="00000000" w:rsidRDefault="00000000" w:rsidRPr="00000000" w14:paraId="0000011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96">
    <w:p w:rsidR="00000000" w:rsidDel="00000000" w:rsidP="00000000" w:rsidRDefault="00000000" w:rsidRPr="00000000" w14:paraId="0000011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https://www.consumerfinancialserviceslawmonitor.com/2024/12/federal-and-state-financial-agencies-issue-guidance-on-elder-financial-exploitation/</w:t>
        </w:r>
      </w:hyperlink>
      <w:r w:rsidDel="00000000" w:rsidR="00000000" w:rsidRPr="00000000">
        <w:rPr>
          <w:rtl w:val="0"/>
        </w:rPr>
      </w:r>
    </w:p>
  </w:footnote>
  <w:footnote w:id="97">
    <w:p w:rsidR="00000000" w:rsidDel="00000000" w:rsidP="00000000" w:rsidRDefault="00000000" w:rsidRPr="00000000" w14:paraId="0000011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https://www.consumerfinance.gov/about-us/newsroom/agencies-issue-statement-on-elder-financial-exploitation/</w:t>
        </w:r>
      </w:hyperlink>
      <w:r w:rsidDel="00000000" w:rsidR="00000000" w:rsidRPr="00000000">
        <w:rPr>
          <w:rtl w:val="0"/>
        </w:rPr>
      </w:r>
    </w:p>
  </w:footnote>
  <w:footnote w:id="98">
    <w:p w:rsidR="00000000" w:rsidDel="00000000" w:rsidP="00000000" w:rsidRDefault="00000000" w:rsidRPr="00000000" w14:paraId="0000011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99">
    <w:p w:rsidR="00000000" w:rsidDel="00000000" w:rsidP="00000000" w:rsidRDefault="00000000" w:rsidRPr="00000000" w14:paraId="0000011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KATHY_HART_CHASE_LITIGATION_STATUS.md</w:t>
      </w:r>
    </w:p>
  </w:footnote>
  <w:footnote w:id="100">
    <w:p w:rsidR="00000000" w:rsidDel="00000000" w:rsidP="00000000" w:rsidRDefault="00000000" w:rsidRPr="00000000" w14:paraId="0000011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KATHY_HART_CHASE_LITIGATION_STATUS.md</w:t>
      </w:r>
    </w:p>
  </w:footnote>
  <w:footnote w:id="101">
    <w:p w:rsidR="00000000" w:rsidDel="00000000" w:rsidP="00000000" w:rsidRDefault="00000000" w:rsidRPr="00000000" w14:paraId="0000011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The_5-Bird_Force_Multiplier_Donella_Meadows_Trim_Tab_Strategy_for_Asymmetric_Warfare.pdf</w:t>
      </w:r>
    </w:p>
  </w:footnote>
  <w:footnote w:id="102">
    <w:p w:rsidR="00000000" w:rsidDel="00000000" w:rsidP="00000000" w:rsidRDefault="00000000" w:rsidRPr="00000000" w14:paraId="0000011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force_multiplication_trim_tab_5_bird_analysis.pdf</w:t>
      </w:r>
    </w:p>
  </w:footnote>
  <w:footnote w:id="103">
    <w:p w:rsidR="00000000" w:rsidDel="00000000" w:rsidP="00000000" w:rsidRDefault="00000000" w:rsidRPr="00000000" w14:paraId="0000011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KH-Trim-Tab-Components-against-JP-Morgan-Chase-for-Financial-Impact.md</w:t>
      </w:r>
    </w:p>
  </w:footnote>
  <w:footnote w:id="104">
    <w:p w:rsidR="00000000" w:rsidDel="00000000" w:rsidP="00000000" w:rsidRDefault="00000000" w:rsidRPr="00000000" w14:paraId="0000011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https://statutes.capitol.texas.gov/docs/es/htm/es.751.htm</w:t>
        </w:r>
      </w:hyperlink>
      <w:r w:rsidDel="00000000" w:rsidR="00000000" w:rsidRPr="00000000">
        <w:rPr>
          <w:rtl w:val="0"/>
        </w:rPr>
      </w:r>
    </w:p>
  </w:footnote>
  <w:footnote w:id="105">
    <w:p w:rsidR="00000000" w:rsidDel="00000000" w:rsidP="00000000" w:rsidRDefault="00000000" w:rsidRPr="00000000" w14:paraId="0000011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https://law.justia.com/codes/texas/estates-code/title-2/subtitle-p/chapter-751/subchapter-e/section-751-212/</w:t>
        </w:r>
      </w:hyperlink>
      <w:r w:rsidDel="00000000" w:rsidR="00000000" w:rsidRPr="00000000">
        <w:rPr>
          <w:rtl w:val="0"/>
        </w:rPr>
      </w:r>
    </w:p>
  </w:footnote>
  <w:footnote w:id="106">
    <w:p w:rsidR="00000000" w:rsidDel="00000000" w:rsidP="00000000" w:rsidRDefault="00000000" w:rsidRPr="00000000" w14:paraId="0000011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https://www.consumerfinancialserviceslawmonitor.com/2024/12/federal-and-state-financial-agencies-issue-guidance-on-elder-financial-exploitation/</w:t>
        </w:r>
      </w:hyperlink>
      <w:r w:rsidDel="00000000" w:rsidR="00000000" w:rsidRPr="00000000">
        <w:rPr>
          <w:rtl w:val="0"/>
        </w:rPr>
      </w:r>
    </w:p>
  </w:footnote>
  <w:footnote w:id="107">
    <w:p w:rsidR="00000000" w:rsidDel="00000000" w:rsidP="00000000" w:rsidRDefault="00000000" w:rsidRPr="00000000" w14:paraId="0000011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https://www.consumercomplianceoutlook.org/2024/fourth-issue/interagency-elder-financial-abuse</w:t>
        </w:r>
      </w:hyperlink>
      <w:r w:rsidDel="00000000" w:rsidR="00000000" w:rsidRPr="00000000">
        <w:rPr>
          <w:rtl w:val="0"/>
        </w:rPr>
      </w:r>
    </w:p>
  </w:footnote>
  <w:footnote w:id="108">
    <w:p w:rsidR="00000000" w:rsidDel="00000000" w:rsidP="00000000" w:rsidRDefault="00000000" w:rsidRPr="00000000" w14:paraId="0000011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https://www.consumerfinance.gov/about-us/newsroom/agencies-issue-statement-on-elder-financial-exploitation/</w:t>
        </w:r>
      </w:hyperlink>
      <w:r w:rsidDel="00000000" w:rsidR="00000000" w:rsidRPr="00000000">
        <w:rPr>
          <w:rtl w:val="0"/>
        </w:rPr>
      </w:r>
    </w:p>
  </w:footnote>
  <w:footnote w:id="109">
    <w:p w:rsidR="00000000" w:rsidDel="00000000" w:rsidP="00000000" w:rsidRDefault="00000000" w:rsidRPr="00000000" w14:paraId="0000012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110">
    <w:p w:rsidR="00000000" w:rsidDel="00000000" w:rsidP="00000000" w:rsidRDefault="00000000" w:rsidRPr="00000000" w14:paraId="0000012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111">
    <w:p w:rsidR="00000000" w:rsidDel="00000000" w:rsidP="00000000" w:rsidRDefault="00000000" w:rsidRPr="00000000" w14:paraId="0000012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112">
    <w:p w:rsidR="00000000" w:rsidDel="00000000" w:rsidP="00000000" w:rsidRDefault="00000000" w:rsidRPr="00000000" w14:paraId="0000012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https://lifestyle.sustainability-directory.com/term/leveraged-change/</w:t>
        </w:r>
      </w:hyperlink>
      <w:r w:rsidDel="00000000" w:rsidR="00000000" w:rsidRPr="00000000">
        <w:rPr>
          <w:rtl w:val="0"/>
        </w:rPr>
      </w:r>
    </w:p>
  </w:footnote>
  <w:footnote w:id="113">
    <w:p w:rsidR="00000000" w:rsidDel="00000000" w:rsidP="00000000" w:rsidRDefault="00000000" w:rsidRPr="00000000" w14:paraId="0000012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https://co2coaching.com/finding-and-using-leverage-points-in-business-coaching/</w:t>
        </w:r>
      </w:hyperlink>
      <w:r w:rsidDel="00000000" w:rsidR="00000000" w:rsidRPr="00000000">
        <w:rPr>
          <w:rtl w:val="0"/>
        </w:rPr>
      </w:r>
    </w:p>
  </w:footnote>
  <w:footnote w:id="114">
    <w:p w:rsidR="00000000" w:rsidDel="00000000" w:rsidP="00000000" w:rsidRDefault="00000000" w:rsidRPr="00000000" w14:paraId="0000012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force_multiplication_trim_tab_5_bird_analysis.pdf</w:t>
      </w:r>
    </w:p>
  </w:footnote>
  <w:footnote w:id="115">
    <w:p w:rsidR="00000000" w:rsidDel="00000000" w:rsidP="00000000" w:rsidRDefault="00000000" w:rsidRPr="00000000" w14:paraId="0000012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The_5-Bird_Force_Multiplier_Donella_Meadows_Trim_Tab_Strategy_for_Asymmetric_Warfare.pdf</w:t>
      </w:r>
    </w:p>
  </w:footnote>
  <w:footnote w:id="116">
    <w:p w:rsidR="00000000" w:rsidDel="00000000" w:rsidP="00000000" w:rsidRDefault="00000000" w:rsidRPr="00000000" w14:paraId="0000012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force_multiplication_trim_tab_5_bird_analysis.pdf</w:t>
      </w:r>
    </w:p>
  </w:footnote>
  <w:footnote w:id="117">
    <w:p w:rsidR="00000000" w:rsidDel="00000000" w:rsidP="00000000" w:rsidRDefault="00000000" w:rsidRPr="00000000" w14:paraId="0000012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KH-Trim-Tab-Components-against-JP-Morgan-Chase-for-Financial-Impact.md</w:t>
      </w:r>
    </w:p>
  </w:footnote>
  <w:footnote w:id="118">
    <w:p w:rsidR="00000000" w:rsidDel="00000000" w:rsidP="00000000" w:rsidRDefault="00000000" w:rsidRPr="00000000" w14:paraId="0000012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The_5-Bird_Force_Multiplier_Donella_Meadows_Trim_Tab_Strategy_for_Asymmetric_Warfare.pdf</w:t>
      </w:r>
    </w:p>
  </w:footnote>
  <w:footnote w:id="119">
    <w:p w:rsidR="00000000" w:rsidDel="00000000" w:rsidP="00000000" w:rsidRDefault="00000000" w:rsidRPr="00000000" w14:paraId="0000012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https://co2coaching.com/finding-and-using-leverage-points-in-business-coaching/</w:t>
        </w:r>
      </w:hyperlink>
      <w:r w:rsidDel="00000000" w:rsidR="00000000" w:rsidRPr="00000000">
        <w:rPr>
          <w:rtl w:val="0"/>
        </w:rPr>
      </w:r>
    </w:p>
  </w:footnote>
  <w:footnote w:id="120">
    <w:p w:rsidR="00000000" w:rsidDel="00000000" w:rsidP="00000000" w:rsidRDefault="00000000" w:rsidRPr="00000000" w14:paraId="0000012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https://lifestyle.sustainability-directory.com/term/leveraged-change/</w:t>
        </w:r>
      </w:hyperlink>
      <w:r w:rsidDel="00000000" w:rsidR="00000000" w:rsidRPr="00000000">
        <w:rPr>
          <w:rtl w:val="0"/>
        </w:rPr>
      </w:r>
    </w:p>
  </w:footnote>
  <w:footnote w:id="121">
    <w:p w:rsidR="00000000" w:rsidDel="00000000" w:rsidP="00000000" w:rsidRDefault="00000000" w:rsidRPr="00000000" w14:paraId="0000012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KH-Trim-Tab-Components-against-JP-Morgan-Chase-for-Financial-Impact.md</w:t>
      </w:r>
    </w:p>
  </w:footnote>
  <w:footnote w:id="122">
    <w:p w:rsidR="00000000" w:rsidDel="00000000" w:rsidP="00000000" w:rsidRDefault="00000000" w:rsidRPr="00000000" w14:paraId="0000012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The_5-Bird_Force_Multiplier_Donella_Meadows_Trim_Tab_Strategy_for_Asymmetric_Warfare.pdf</w:t>
      </w:r>
    </w:p>
  </w:footnote>
  <w:footnote w:id="123">
    <w:p w:rsidR="00000000" w:rsidDel="00000000" w:rsidP="00000000" w:rsidRDefault="00000000" w:rsidRPr="00000000" w14:paraId="0000012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force_multiplication_trim_tab_5_bird_analysis.pdf</w:t>
      </w:r>
    </w:p>
  </w:footnote>
  <w:footnote w:id="124">
    <w:p w:rsidR="00000000" w:rsidDel="00000000" w:rsidP="00000000" w:rsidRDefault="00000000" w:rsidRPr="00000000" w14:paraId="0000012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KATHY_HART_CHASE_LITIGATION_STATUS.md</w:t>
      </w:r>
    </w:p>
  </w:footnote>
  <w:footnote w:id="125">
    <w:p w:rsidR="00000000" w:rsidDel="00000000" w:rsidP="00000000" w:rsidRDefault="00000000" w:rsidRPr="00000000" w14:paraId="0000013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126">
    <w:p w:rsidR="00000000" w:rsidDel="00000000" w:rsidP="00000000" w:rsidRDefault="00000000" w:rsidRPr="00000000" w14:paraId="0000013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KATHY_HART_CHASE_LITIGATION_STATUS.md</w:t>
      </w:r>
    </w:p>
  </w:footnote>
  <w:footnote w:id="127">
    <w:p w:rsidR="00000000" w:rsidDel="00000000" w:rsidP="00000000" w:rsidRDefault="00000000" w:rsidRPr="00000000" w14:paraId="0000013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128">
    <w:p w:rsidR="00000000" w:rsidDel="00000000" w:rsidP="00000000" w:rsidRDefault="00000000" w:rsidRPr="00000000" w14:paraId="0000013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KATHY_HART_CHASE_LITIGATION_STATUS.md</w:t>
      </w:r>
    </w:p>
  </w:footnote>
  <w:footnote w:id="129">
    <w:p w:rsidR="00000000" w:rsidDel="00000000" w:rsidP="00000000" w:rsidRDefault="00000000" w:rsidRPr="00000000" w14:paraId="0000013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130">
    <w:p w:rsidR="00000000" w:rsidDel="00000000" w:rsidP="00000000" w:rsidRDefault="00000000" w:rsidRPr="00000000" w14:paraId="0000013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KH-Trim-Tab-Components-against-JP-Morgan-Chase-for-Financial-Impact.md</w:t>
      </w:r>
    </w:p>
  </w:footnote>
  <w:footnote w:id="131">
    <w:p w:rsidR="00000000" w:rsidDel="00000000" w:rsidP="00000000" w:rsidRDefault="00000000" w:rsidRPr="00000000" w14:paraId="0000013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The_5-Bird_Force_Multiplier_Donella_Meadows_Trim_Tab_Strategy_for_Asymmetric_Warfare.pdf</w:t>
      </w:r>
    </w:p>
  </w:footnote>
  <w:footnote w:id="132">
    <w:p w:rsidR="00000000" w:rsidDel="00000000" w:rsidP="00000000" w:rsidRDefault="00000000" w:rsidRPr="00000000" w14:paraId="0000013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force_multiplication_trim_tab_5_bird_analysis.pdf</w:t>
      </w:r>
    </w:p>
  </w:footnote>
  <w:footnote w:id="133">
    <w:p w:rsidR="00000000" w:rsidDel="00000000" w:rsidP="00000000" w:rsidRDefault="00000000" w:rsidRPr="00000000" w14:paraId="0000013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https://lifestyle.sustainability-directory.com/term/leveraged-change/</w:t>
        </w:r>
      </w:hyperlink>
      <w:r w:rsidDel="00000000" w:rsidR="00000000" w:rsidRPr="00000000">
        <w:rPr>
          <w:rtl w:val="0"/>
        </w:rPr>
      </w:r>
    </w:p>
  </w:footnote>
  <w:footnote w:id="134">
    <w:p w:rsidR="00000000" w:rsidDel="00000000" w:rsidP="00000000" w:rsidRDefault="00000000" w:rsidRPr="00000000" w14:paraId="0000013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The_5-Bird_Force_Multiplier_Donella_Meadows_Trim_Tab_Strategy_for_Asymmetric_Warfare.pdf</w:t>
      </w:r>
    </w:p>
  </w:footnote>
  <w:footnote w:id="135">
    <w:p w:rsidR="00000000" w:rsidDel="00000000" w:rsidP="00000000" w:rsidRDefault="00000000" w:rsidRPr="00000000" w14:paraId="0000013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force_multiplication_trim_tab_5_bird_analysis.pdf</w:t>
      </w:r>
    </w:p>
  </w:footnote>
  <w:footnote w:id="136">
    <w:p w:rsidR="00000000" w:rsidDel="00000000" w:rsidP="00000000" w:rsidRDefault="00000000" w:rsidRPr="00000000" w14:paraId="0000013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KH-Trim-Tab-Components-against-JP-Morgan-Chase-for-Financial-Impact.md</w:t>
      </w:r>
    </w:p>
  </w:footnote>
  <w:footnote w:id="137">
    <w:p w:rsidR="00000000" w:rsidDel="00000000" w:rsidP="00000000" w:rsidRDefault="00000000" w:rsidRPr="00000000" w14:paraId="0000013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LITIGATION_DECISION_URGENT.md</w:t>
      </w:r>
    </w:p>
  </w:footnote>
  <w:footnote w:id="138">
    <w:p w:rsidR="00000000" w:rsidDel="00000000" w:rsidP="00000000" w:rsidRDefault="00000000" w:rsidRPr="00000000" w14:paraId="0000013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KATHY_HART_CHASE_LITIGATION_STATUS.md</w:t>
      </w:r>
    </w:p>
  </w:footnote>
  <w:footnote w:id="139">
    <w:p w:rsidR="00000000" w:rsidDel="00000000" w:rsidP="00000000" w:rsidRDefault="00000000" w:rsidRPr="00000000" w14:paraId="0000013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140">
    <w:p w:rsidR="00000000" w:rsidDel="00000000" w:rsidP="00000000" w:rsidRDefault="00000000" w:rsidRPr="00000000" w14:paraId="0000013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https://co2coaching.com/finding-and-using-leverage-points-in-business-coaching/</w:t>
        </w:r>
      </w:hyperlink>
      <w:r w:rsidDel="00000000" w:rsidR="00000000" w:rsidRPr="00000000">
        <w:rPr>
          <w:rtl w:val="0"/>
        </w:rPr>
      </w:r>
    </w:p>
  </w:footnote>
  <w:footnote w:id="141">
    <w:p w:rsidR="00000000" w:rsidDel="00000000" w:rsidP="00000000" w:rsidRDefault="00000000" w:rsidRPr="00000000" w14:paraId="0000014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https://lifestyle.sustainability-directory.com/term/leveraged-change/</w:t>
        </w:r>
      </w:hyperlink>
      <w:r w:rsidDel="00000000" w:rsidR="00000000" w:rsidRPr="00000000">
        <w:rPr>
          <w:rtl w:val="0"/>
        </w:rPr>
      </w:r>
    </w:p>
  </w:footnote>
  <w:footnote w:id="142">
    <w:p w:rsidR="00000000" w:rsidDel="00000000" w:rsidP="00000000" w:rsidRDefault="00000000" w:rsidRPr="00000000" w14:paraId="0000014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The_5-Bird_Force_Multiplier_Donella_Meadows_Trim_Tab_Strategy_for_Asymmetric_Warfare.pdf</w:t>
      </w:r>
    </w:p>
  </w:footnote>
  <w:footnote w:id="143">
    <w:p w:rsidR="00000000" w:rsidDel="00000000" w:rsidP="00000000" w:rsidRDefault="00000000" w:rsidRPr="00000000" w14:paraId="0000014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force_multiplication_trim_tab_5_bird_analysis.pdf</w:t>
      </w:r>
    </w:p>
  </w:footnote>
  <w:footnote w:id="144">
    <w:p w:rsidR="00000000" w:rsidDel="00000000" w:rsidP="00000000" w:rsidRDefault="00000000" w:rsidRPr="00000000" w14:paraId="0000014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KH-Trim-Tab-Components-against-JP-Morgan-Chase-for-Financial-Impact.md</w:t>
      </w:r>
    </w:p>
  </w:footnote>
  <w:footnote w:id="145">
    <w:p w:rsidR="00000000" w:rsidDel="00000000" w:rsidP="00000000" w:rsidRDefault="00000000" w:rsidRPr="00000000" w14:paraId="0000014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2025-09-15-RE_-Chase-Bank-Freezes-Joint-Account-Needed-for-Kathy-Hart_s-Medical-Care.pdf</w:t>
      </w:r>
    </w:p>
  </w:footnote>
  <w:footnote w:id="146">
    <w:p w:rsidR="00000000" w:rsidDel="00000000" w:rsidP="00000000" w:rsidRDefault="00000000" w:rsidRPr="00000000" w14:paraId="0000014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2025-09-15-RE_-Chase-Bank-Freezes-Joint-Account-Needed-for-Kathy-Hart_s-Medical-Care_1.pdf</w:t>
      </w:r>
    </w:p>
  </w:footnote>
  <w:footnote w:id="147">
    <w:p w:rsidR="00000000" w:rsidDel="00000000" w:rsidP="00000000" w:rsidRDefault="00000000" w:rsidRPr="00000000" w14:paraId="0000014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2025-09-14-Chase-Bank-Freezes-Joint-Account-Needed-for-Kathy-Hart_s-Medical-Care.pdf</w:t>
      </w:r>
    </w:p>
  </w:footnote>
  <w:footnote w:id="148">
    <w:p w:rsidR="00000000" w:rsidDel="00000000" w:rsidP="00000000" w:rsidRDefault="00000000" w:rsidRPr="00000000" w14:paraId="0000014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The_5-Bird_Force_Multiplier_Donella_Meadows_Trim_Tab_Strategy_for_Asymmetric_Warfare.pdf</w:t>
      </w:r>
    </w:p>
  </w:footnote>
  <w:footnote w:id="149">
    <w:p w:rsidR="00000000" w:rsidDel="00000000" w:rsidP="00000000" w:rsidRDefault="00000000" w:rsidRPr="00000000" w14:paraId="0000014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force_multiplication_trim_tab_5_bird_analysis.pdf</w:t>
      </w:r>
    </w:p>
  </w:footnote>
  <w:footnote w:id="150">
    <w:p w:rsidR="00000000" w:rsidDel="00000000" w:rsidP="00000000" w:rsidRDefault="00000000" w:rsidRPr="00000000" w14:paraId="0000014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_rels/footnotes.xml.rels><?xml version="1.0" encoding="UTF-8" standalone="yes"?><Relationships xmlns="http://schemas.openxmlformats.org/package/2006/relationships"><Relationship Id="rId40" Type="http://schemas.openxmlformats.org/officeDocument/2006/relationships/hyperlink" Target="https://lifestyle.sustainability-directory.com/term/leveraged-change/" TargetMode="External"/><Relationship Id="rId20" Type="http://schemas.openxmlformats.org/officeDocument/2006/relationships/hyperlink" Target="https://statutes.capitol.texas.gov/docs/es/htm/es.751.htm" TargetMode="External"/><Relationship Id="rId22" Type="http://schemas.openxmlformats.org/officeDocument/2006/relationships/hyperlink" Target="https://hro.house.texas.gov/pdf/focus/elderly.pdf" TargetMode="External"/><Relationship Id="rId21" Type="http://schemas.openxmlformats.org/officeDocument/2006/relationships/hyperlink" Target="https://m.winstead.com/portalresource/lookup/poid/Z1tOl9NPluKPtDNIqLMRVPMQiLsSwK3EmC3!/document.name=/Legislative" TargetMode="External"/><Relationship Id="rId24" Type="http://schemas.openxmlformats.org/officeDocument/2006/relationships/hyperlink" Target="https://www.consumerfinance.gov/about-us/newsroom/agencies-issue-statement-on-elder-financial-exploitation/" TargetMode="External"/><Relationship Id="rId23" Type="http://schemas.openxmlformats.org/officeDocument/2006/relationships/hyperlink" Target="https://m.winstead.com/portalresource/lookup/poid/Z1tOl9NPluKPtDNIqLMRVPMQiLsSwK3EmC3!/document.name=/Legislative" TargetMode="External"/><Relationship Id="rId1" Type="http://schemas.openxmlformats.org/officeDocument/2006/relationships/hyperlink" Target="https://law.justia.com/codes/texas/estates-code/title-2/subtitle-p/chapter-751/subchapter-e/section-751-212/" TargetMode="External"/><Relationship Id="rId2" Type="http://schemas.openxmlformats.org/officeDocument/2006/relationships/hyperlink" Target="https://www.consumerfinance.gov/about-us/newsroom/agencies-issue-statement-on-elder-financial-exploitation/" TargetMode="External"/><Relationship Id="rId3" Type="http://schemas.openxmlformats.org/officeDocument/2006/relationships/hyperlink" Target="https://www.consumerfinancialserviceslawmonitor.com/2024/12/federal-and-state-financial-agencies-issue-guidance-on-elder-financial-exploitation/" TargetMode="External"/><Relationship Id="rId4" Type="http://schemas.openxmlformats.org/officeDocument/2006/relationships/hyperlink" Target="https://statutes.capitol.texas.gov/docs/es/htm/es.751.htm" TargetMode="External"/><Relationship Id="rId9" Type="http://schemas.openxmlformats.org/officeDocument/2006/relationships/hyperlink" Target="https://www.consumerfinance.gov/about-us/newsroom/agencies-issue-statement-on-elder-financial-exploitation/" TargetMode="External"/><Relationship Id="rId26" Type="http://schemas.openxmlformats.org/officeDocument/2006/relationships/hyperlink" Target="https://www.fincen.gov/news/news-releases/fincen-reminds-financial-institutions-remain-vigilant-elder-financial" TargetMode="External"/><Relationship Id="rId25" Type="http://schemas.openxmlformats.org/officeDocument/2006/relationships/hyperlink" Target="https://www.consumercomplianceoutlook.org/2024/fourth-issue/interagency-elder-financial-abuse" TargetMode="External"/><Relationship Id="rId28" Type="http://schemas.openxmlformats.org/officeDocument/2006/relationships/hyperlink" Target="https://www.consumerfinance.gov/about-us/newsroom/agencies-issue-statement-on-elder-financial-exploitation/" TargetMode="External"/><Relationship Id="rId27" Type="http://schemas.openxmlformats.org/officeDocument/2006/relationships/hyperlink" Target="https://www.consumerfinancialserviceslawmonitor.com/2024/12/federal-and-state-financial-agencies-issue-guidance-on-elder-financial-exploitation/" TargetMode="External"/><Relationship Id="rId5" Type="http://schemas.openxmlformats.org/officeDocument/2006/relationships/hyperlink" Target="https://www.consumercomplianceoutlook.org/2024/fourth-issue/interagency-elder-financial-abuse" TargetMode="External"/><Relationship Id="rId6" Type="http://schemas.openxmlformats.org/officeDocument/2006/relationships/hyperlink" Target="https://www.fincen.gov/news/news-releases/fincen-reminds-financial-institutions-remain-vigilant-elder-financial" TargetMode="External"/><Relationship Id="rId29" Type="http://schemas.openxmlformats.org/officeDocument/2006/relationships/hyperlink" Target="https://statutes.capitol.texas.gov/docs/es/htm/es.751.htm" TargetMode="External"/><Relationship Id="rId7" Type="http://schemas.openxmlformats.org/officeDocument/2006/relationships/hyperlink" Target="https://statutes.capitol.texas.gov/docs/es/htm/es.751.htm" TargetMode="External"/><Relationship Id="rId8" Type="http://schemas.openxmlformats.org/officeDocument/2006/relationships/hyperlink" Target="https://law.justia.com/codes/texas/estates-code/title-2/subtitle-p/chapter-751/subchapter-e/section-751-212/" TargetMode="External"/><Relationship Id="rId31" Type="http://schemas.openxmlformats.org/officeDocument/2006/relationships/hyperlink" Target="https://www.consumerfinancialserviceslawmonitor.com/2024/12/federal-and-state-financial-agencies-issue-guidance-on-elder-financial-exploitation/" TargetMode="External"/><Relationship Id="rId30" Type="http://schemas.openxmlformats.org/officeDocument/2006/relationships/hyperlink" Target="https://law.justia.com/codes/texas/estates-code/title-2/subtitle-p/chapter-751/subchapter-e/section-751-212/" TargetMode="External"/><Relationship Id="rId11" Type="http://schemas.openxmlformats.org/officeDocument/2006/relationships/hyperlink" Target="https://www.consumercomplianceoutlook.org/2024/fourth-issue/interagency-elder-financial-abuse" TargetMode="External"/><Relationship Id="rId33" Type="http://schemas.openxmlformats.org/officeDocument/2006/relationships/hyperlink" Target="https://www.consumerfinance.gov/about-us/newsroom/agencies-issue-statement-on-elder-financial-exploitation/" TargetMode="External"/><Relationship Id="rId10" Type="http://schemas.openxmlformats.org/officeDocument/2006/relationships/hyperlink" Target="https://www.consumerfinancialserviceslawmonitor.com/2024/12/federal-and-state-financial-agencies-issue-guidance-on-elder-financial-exploitation/" TargetMode="External"/><Relationship Id="rId32" Type="http://schemas.openxmlformats.org/officeDocument/2006/relationships/hyperlink" Target="https://www.consumercomplianceoutlook.org/2024/fourth-issue/interagency-elder-financial-abuse" TargetMode="External"/><Relationship Id="rId13" Type="http://schemas.openxmlformats.org/officeDocument/2006/relationships/hyperlink" Target="https://www.consumerfinance.gov/about-us/newsroom/agencies-issue-statement-on-elder-financial-exploitation/" TargetMode="External"/><Relationship Id="rId35" Type="http://schemas.openxmlformats.org/officeDocument/2006/relationships/hyperlink" Target="https://co2coaching.com/finding-and-using-leverage-points-in-business-coaching/" TargetMode="External"/><Relationship Id="rId12" Type="http://schemas.openxmlformats.org/officeDocument/2006/relationships/hyperlink" Target="https://www.fincen.gov/news/news-releases/fincen-reminds-financial-institutions-remain-vigilant-elder-financial" TargetMode="External"/><Relationship Id="rId34" Type="http://schemas.openxmlformats.org/officeDocument/2006/relationships/hyperlink" Target="https://lifestyle.sustainability-directory.com/term/leveraged-change/" TargetMode="External"/><Relationship Id="rId15" Type="http://schemas.openxmlformats.org/officeDocument/2006/relationships/hyperlink" Target="https://www.consumerfinance.gov/about-us/newsroom/agencies-issue-statement-on-elder-financial-exploitation/" TargetMode="External"/><Relationship Id="rId37" Type="http://schemas.openxmlformats.org/officeDocument/2006/relationships/hyperlink" Target="https://lifestyle.sustainability-directory.com/term/leveraged-change/" TargetMode="External"/><Relationship Id="rId14" Type="http://schemas.openxmlformats.org/officeDocument/2006/relationships/hyperlink" Target="https://www.fincen.gov/news/news-releases/fincen-reminds-financial-institutions-remain-vigilant-elder-financial" TargetMode="External"/><Relationship Id="rId36" Type="http://schemas.openxmlformats.org/officeDocument/2006/relationships/hyperlink" Target="https://co2coaching.com/finding-and-using-leverage-points-in-business-coaching/" TargetMode="External"/><Relationship Id="rId17" Type="http://schemas.openxmlformats.org/officeDocument/2006/relationships/hyperlink" Target="https://www.consumerfinancialserviceslawmonitor.com/2024/12/federal-and-state-financial-agencies-issue-guidance-on-elder-financial-exploitation/" TargetMode="External"/><Relationship Id="rId39" Type="http://schemas.openxmlformats.org/officeDocument/2006/relationships/hyperlink" Target="https://co2coaching.com/finding-and-using-leverage-points-in-business-coaching/" TargetMode="External"/><Relationship Id="rId16" Type="http://schemas.openxmlformats.org/officeDocument/2006/relationships/hyperlink" Target="https://www.consumercomplianceoutlook.org/2024/fourth-issue/interagency-elder-financial-abuse" TargetMode="External"/><Relationship Id="rId38" Type="http://schemas.openxmlformats.org/officeDocument/2006/relationships/hyperlink" Target="https://lifestyle.sustainability-directory.com/term/leveraged-change/" TargetMode="External"/><Relationship Id="rId19" Type="http://schemas.openxmlformats.org/officeDocument/2006/relationships/hyperlink" Target="https://law.justia.com/codes/texas/estates-code/title-2/subtitle-p/chapter-751/subchapter-e/section-751-212/" TargetMode="External"/><Relationship Id="rId18" Type="http://schemas.openxmlformats.org/officeDocument/2006/relationships/hyperlink" Target="https://www.consumerfinance.gov/about-us/newsroom/agencies-issue-statement-on-elder-financial-exploit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