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TableSync</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Project Proposal</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Hackathon team</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13,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Audience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Four team members</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Event</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AI Infra Summit Hackathon online track</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Build window</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Three remaining days through September 16</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Idea, toolkit guide, shared build steps and evaluation</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pageBreakBefore w:val="1"/>
      </w:pPr>
      <w:r>
        <w:rPr>
          <w:rFonts w:ascii="Helvetica Neue" w:cs="Helvetica Neue" w:eastAsia="Helvetica Neue" w:hAnsi="Helvetica Neue"/>
          <w:color w:val="082a4a"/>
          <w:rtl w:val="0"/>
        </w:rPr>
        <w:t>1  Proposal and three day scope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We propose TableSync, a simulation-first system in which two SO-101 robot arms understand a dinner-table instruction, coordinate their movements, and complete the requested arrangement on Intel hardware. The project combines learned manipulation with an explicit coordination layer and OpenVINO inference. This proposal explains the system and the shared implementation sequence for our four-person team.</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infrastructure question is practical: when model inference slows under background load, can the system preserve successful two-arm coordination? We will test whether checking action freshness and task state improves outcomes compared with ordinary buffered execution. Performance gains are hypotheses to measure, not promised results.</w:t>
      </w:r>
    </w:p>
    <w:p w14:paraId="0000003E">
      <w:pPr>
        <w:pStyle w:val="Heading3"/>
        <w:spacing w:after="90" w:line="280" w:lineRule="auto"/>
        <w:rPr/>
        <w:keepNext w:val="1"/>
      </w:pPr>
      <w:r>
        <w:rPr>
          <w:rtl w:val="0"/>
        </w:rPr>
        <w:t>What we will demonstrate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user requests a plate in the center, a fork on the left, a spoon on the right, and a selected cup above the plate. Arm A opens and holds a drawer while Arm B retrieves utensils. Both arms arrange the objects, negotiate access to the center, and transfer the cup before verifying the final scene. Two or three bounded command variants change the selected cup or target arrangement.</w:t>
      </w:r>
    </w:p>
    <w:p w14:paraId="0000003E">
      <w:pPr>
        <w:pStyle w:val="Heading3"/>
        <w:spacing w:after="90" w:line="280" w:lineRule="auto"/>
        <w:rPr/>
        <w:keepNext w:val="1"/>
      </w:pPr>
      <w:r>
        <w:rPr>
          <w:rtl w:val="0"/>
        </w:rPr>
        <w:t>Scope that protects the submission</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Essential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Simplification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Optional after the core works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Both arms in a complete multi-step task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compact table and a small object set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Additional tasks or richer scenes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Hand-off and complementary drawer action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 graspable object geometry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Fluid pouring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Camera grounding and a learned policy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Bounded vocabulary and reusable skills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General household 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OpenVINO on the final Intel system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Start with one whole-model device target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NPU, INT8 and internal graph splitting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Reproducible evaluation across 10 seeds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Small, declared perturbation ranges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Larger generalization study</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Three days is an aggressive integration window. Feasibility depends on usable SO-101 assets, training compute, and access to the final Intel machine immediately. Our first checkpoint must prove those foundations. The online event page lists September 10–16; confirm the precise submission cutoff and timezone before scheduling the final upload. [1, 2]</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pageBreakBefore w:val="1"/>
      </w:pPr>
      <w:r>
        <w:rPr>
          <w:rFonts w:ascii="Helvetica Neue" w:cs="Helvetica Neue" w:eastAsia="Helvetica Neue" w:hAnsi="Helvetica Neue"/>
          <w:color w:val="082a4a"/>
          <w:rtl w:val="0"/>
        </w:rPr>
        <w:t>2  How the two arms complete the task</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Bimanual means controlling two arms as a coordinated system. It does not require both arms to move continuously. Waiting while the other arm crosses the shared center is useful behavior when it prevents a collision.</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Step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Coordinated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Visible completion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Observe and plan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 the command and camera images; choose objects, target relationships and arm roles.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selected cup and intended layout appear in the task display.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Retrieve utensils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Arm A opens and holds the drawer; Arm B waits for access, then retrieves a utensil.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Drawer remains open and the utensil leaves it without unintended contact.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Place the plate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Arm A places the plate; Arm B stays out of its planned center motion.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Plate is stable inside the target region.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Arrange utensils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Both arms place utensils; overlapping movements are sequenced.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Fork and spoon satisfy the requested spatial relationships.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Transfer the cup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Arm A presents the cup; Arm B establishes a grasp before A releases.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Cup remains supported throughout transfer and is placed successfully.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Verify and finish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Compare the camera-observed arrangement with the command; retry one recoverable error.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scene satisfies the task or the system reports a specific failed stage.</w:t>
            </w:r>
          </w:p>
        </w:tc>
      </w:tr>
    </w:tbl>
    <w:p w14:paraId="0000003E">
      <w:pPr>
        <w:pStyle w:val="Heading3"/>
        <w:spacing w:after="90" w:line="280" w:lineRule="auto"/>
        <w:rPr/>
        <w:keepNext w:val="1"/>
      </w:pPr>
      <w:r>
        <w:rPr>
          <w:rtl w:val="0"/>
        </w:rPr>
        <w:t>Shared workspace and collision checks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Represent the table as left, right, drawer and center regions. A skill reserves the regions needed by its motion. Permit simultaneous work only when reservations and conservative robot-clearance checks agree. During the transfer, both arms enter the center under one joint transfer procedure. Region labels alone are not proof of collision avoidance; inspect the robot geometry along the proposed short motion segment.</w:t>
      </w:r>
    </w:p>
    <w:p w14:paraId="0000003E">
      <w:pPr>
        <w:pStyle w:val="Heading3"/>
        <w:spacing w:after="90" w:line="280" w:lineRule="auto"/>
        <w:rPr/>
        <w:keepNext w:val="1"/>
      </w:pPr>
      <w:r>
        <w:rPr>
          <w:rtl w:val="0"/>
        </w:rPr>
        <w:t>Transfer as a sequence with conditions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approach, align, grasp, confirm, release and retreat stages. Release requires evidence that the receiver holds the object, using declared simulated contact/gripper sensing and visual checks where practical. Gripper closure alone is not sufficient. On uncertainty, keep support and retry within a fixed limit; do not continue a stale release command.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challenge asks for hand-off, collision-aware sequencing, shared workspace reasoning and multi-step execution. One transfer inside this complete workflow covers the hand-off element; an isolated transfer demonstration would not cover the overall objective. [1, pp. 2–4]</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pageBreakBefore w:val="1"/>
      </w:pPr>
      <w:r>
        <w:rPr>
          <w:rFonts w:ascii="Helvetica Neue" w:cs="Helvetica Neue" w:eastAsia="Helvetica Neue" w:hAnsi="Helvetica Neue"/>
          <w:color w:val="082a4a"/>
          <w:rtl w:val="0"/>
        </w:rPr>
        <w:t>3  Architecture explained in plain language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data flow is: command and camera images → scene and task interpretation → task executive → learned action skill → coordination checks → both arms. New camera images close the loop after actions. All final inference and simulation run on the required Intel system; cloud compute is reserved for training. [1, p. 3]</w:t>
      </w:r>
    </w:p>
    <w:p w14:paraId="0000003E">
      <w:pPr>
        <w:pStyle w:val="Heading3"/>
        <w:spacing w:after="90" w:line="280" w:lineRule="auto"/>
        <w:rPr/>
        <w:keepNext w:val="1"/>
      </w:pPr>
      <w:r>
        <w:rPr>
          <w:rtl w:val="0"/>
        </w:rPr>
        <w:t>Understand and choose the next step</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compact vision-language model, or VLM, reads an image together with text. It produces a constrained plan: selected objects, desired relationships and the next allowed skill. A Python task executive stores which steps are complete, validates the plan against reachable regions, and chooses what to run next. The VLM is consulted at task boundaries or failures rather than every motor update. Its exact model is selected by a first-day local inference test.</w:t>
      </w:r>
    </w:p>
    <w:p w14:paraId="0000003E">
      <w:pPr>
        <w:pStyle w:val="Heading3"/>
        <w:spacing w:after="90" w:line="280" w:lineRule="auto"/>
        <w:rPr/>
        <w:keepNext w:val="1"/>
      </w:pPr>
      <w:r>
        <w:rPr>
          <w:rtl w:val="0"/>
        </w:rPr>
        <w:t>Learn how to move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policy is a model that maps observations to actions. ACT, Action Chunking with Transformers, predicts several future actions at once. We will use a small ACT skill set for reusable pick-and-place, drawer interaction and cup transfer. Joint skills observe both arms and output both arms’ targets together. Standard ACT does not supply language understanding; the planner provides that part of our hybrid system.</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Demonstrations are examples of successful movement. A scripted expert using inverse kinematics, which converts a desired gripper pose into joint positions, generates these examples in MuJoCo. Training teaches the policy to reproduce the useful behavior from camera images and joint observations. We validate a small dataset first and add examples around failures rather than assuming a fixed demonstration count guarantees success.</w:t>
      </w:r>
    </w:p>
    <w:p w14:paraId="0000003E">
      <w:pPr>
        <w:pStyle w:val="Heading3"/>
        <w:spacing w:after="90" w:line="280" w:lineRule="auto"/>
        <w:rPr/>
        <w:keepNext w:val="1"/>
      </w:pPr>
      <w:r>
        <w:rPr>
          <w:rtl w:val="0"/>
        </w:rPr>
        <w:t>Keep prediction separate from execution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Inference means running a trained model. The inference worker fills a short action buffer while a separate control loop dispatches actions. Each chunk includes its observation time, skill identity, sequence number and execution interval. Late chunks for a finished or retried skill are rejected. Near contact or release, require fresh observations and gate the transition; if needed, hold or retreat according to the skill.</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50 Hz dispatch target means sending targets 50 times per second; it does not mean obtaining 50 fresh model predictions. Buffering can hide some delay but cannot guarantee a successful grasp. We measure dispatch timing, inference latency and task success separately.</w:t>
      </w:r>
    </w:p>
    <w:p w14:paraId="0000003E">
      <w:pPr>
        <w:pStyle w:val="Heading3"/>
        <w:spacing w:after="90" w:line="280" w:lineRule="auto"/>
        <w:rPr/>
        <w:keepNext w:val="1"/>
      </w:pPr>
      <w:r>
        <w:rPr>
          <w:rtl w:val="0"/>
        </w:rPr>
        <w:t>Start with a simple Intel mapping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CPU: physics, task state, coordination and action dispatch. CPU or iGPU: whole-policy OpenVINO inference, selected by measurement. The planner uses a supported local backend and yields compute during critical manipulation. Camera rendering also consumes resources. NPU placement, reduced precision and splitting the neural network across devices are optional experiments, retained only if task-level measurements improve.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pageBreakBefore w:val="1"/>
      </w:pPr>
      <w:r>
        <w:rPr>
          <w:rFonts w:ascii="Helvetica Neue" w:cs="Helvetica Neue" w:eastAsia="Helvetica Neue" w:hAnsi="Helvetica Neue"/>
          <w:color w:val="082a4a"/>
          <w:rtl w:val="0"/>
        </w:rPr>
        <w:t>4  Toolkit guide and implementation boundaries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We do not need to install every resource listed by the challenge. The minimum working path is Python, MuJoCo, one policy-training route and OpenVINO. The remaining resources can shorten integration when a specific example matches our needs.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Tool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What it does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Role in this project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MuJoCo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Simulates robot joints, object motion, contacts and cameras.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Required simulation environment for both SO-101 arms.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LeRobot and PyTorch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 robotics data/policy tooling and model training.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one tested ACT training path; keep preprocessing consistent.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OpenVINO Toolkit [3]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Converts and runs supported trained models on Intel devices.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Core deployment and benchmark component.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OpenVINO Physical AI [4]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Documents robotics deployment workflows and runtime integration.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Start here for policy export and execution guidance.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Physical AI Studio [5]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Imitation learning and policy export.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First ACT training/export candidate; test Python or CLI.</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Open Edge Platform [6]</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Collection of Intel edge software repositories.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Resource directory, not one extra application to install.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Robotics AI Suite [7]</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Collection of robotics samples, libraries and benchmark tools.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Reuse a matching example only; do not integrate the entire suite.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Intel Geti [8]</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Computer-vision training and deployment.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Optional custom object detector.</w:t>
            </w:r>
          </w:p>
        </w:tc>
      </w:tr>
    </w:tbl>
    <w:p w14:paraId="0000003E">
      <w:pPr>
        <w:pStyle w:val="Heading3"/>
        <w:spacing w:after="90" w:line="280" w:lineRule="auto"/>
        <w:rPr/>
        <w:keepNext w:val="1"/>
      </w:pPr>
      <w:r>
        <w:rPr>
          <w:rtl w:val="0"/>
        </w:rPr>
        <w:t>Choose one path early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Time-box a representative ACT train/export/inference test through Physical AI Studio. Its documentation advertises ACT and OpenVINO export, but our exact two-arm configuration still needs verification. If that path stalls, use a direct LeRobot/PyTorch training route and OpenVINO conversion; avoid maintaining two training frameworks. Reuse asynchronous inference patterns where practical. [5, 9]</w:t>
      </w:r>
    </w:p>
    <w:p w14:paraId="0000003E">
      <w:pPr>
        <w:pStyle w:val="Heading3"/>
        <w:spacing w:after="90" w:line="280" w:lineRule="auto"/>
        <w:rPr/>
        <w:keepNext w:val="1"/>
      </w:pPr>
      <w:r>
        <w:rPr>
          <w:rtl w:val="0"/>
        </w:rPr>
        <w:t>Keep module connections simple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Pass Python records between modules: an observation contains camera frames, both arms’ joint states and a timestamp; a task step contains the skill, objects, regions and completion condition; an action chunk contains paired targets and validity metadata. Keep units, joint order, camera order, normalization and action timing identical across data generation, training and deployment.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simulator object poses for the expert and scoring; ground runtime object understanding in camera images. Disclose simulated sensors and scripted control. NNCF compression is optional after full-precision validation.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pageBreakBefore w:val="1"/>
      </w:pPr>
      <w:r>
        <w:rPr>
          <w:rFonts w:ascii="Helvetica Neue" w:cs="Helvetica Neue" w:eastAsia="Helvetica Neue" w:hAnsi="Helvetica Neue"/>
          <w:color w:val="082a4a"/>
          <w:rtl w:val="0"/>
        </w:rPr>
        <w:t>5  First day foundations and training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sequence below is shared across the team. Checkpoints describe what must exist before dependent work proceeds; they do not assign responsibilities. Use the actual remaining time rather than assuming three full uninterrupted 24-hour days.</w:t>
      </w:r>
    </w:p>
    <w:p w14:paraId="0000003E">
      <w:pPr>
        <w:pStyle w:val="Heading3"/>
        <w:spacing w:after="90" w:line="280" w:lineRule="auto"/>
        <w:rPr/>
        <w:keepNext w:val="1"/>
      </w:pPr>
      <w:r>
        <w:rPr>
          <w:rtl w:val="0"/>
        </w:rPr>
        <w:t>Step 1  Prove hardware and dependencies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Confirm access to an Intel Core Ultra Series 2/3 system for final simulation and inference, as stated in the deployment requirements. Confirm a suitable training GPU or cloud instance and model-download access. Training infrastructure is not supplied by Intel. Record the operating system, hardware, drivers, Python version and package versions. Run a camera-rendering example and list the devices OpenVINO can access. [1, p. 3]</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Checkpoint: the target machine runs MuJoCo and a small OpenVINO inference example. If the final hardware is unavailable, resolve access or organizer clarification immediately; a different machine does not establish compliance.</w:t>
      </w:r>
    </w:p>
    <w:p w14:paraId="0000003E">
      <w:pPr>
        <w:pStyle w:val="Heading3"/>
        <w:spacing w:after="90" w:line="280" w:lineRule="auto"/>
        <w:rPr/>
        <w:keepNext w:val="1"/>
      </w:pPr>
      <w:r>
        <w:rPr>
          <w:rtl w:val="0"/>
        </w:rPr>
        <w:t>Step 2  Prove the scene before training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Reuse a licensed SO-101 model; place two copies with unique names and verify joint order, limits and reachable regions. Add an overhead camera, simple drawer and graspable plate, cup and utensils. Start with a fixed scene. Write scripted expert motions with real contacts; test drawer cooperation and transfer before adding randomization. Do not use hidden object teleportation or attachment tricks as learned success.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Checkpoint: the scripted expert completes the intended full workflow on several development starts. If it cannot, repair reachability, grasps or geometry before collecting thousands of unusable frames.</w:t>
      </w:r>
    </w:p>
    <w:p w14:paraId="0000003E">
      <w:pPr>
        <w:pStyle w:val="Heading3"/>
        <w:spacing w:after="90" w:line="280" w:lineRule="auto"/>
        <w:rPr/>
        <w:keepNext w:val="1"/>
      </w:pPr>
      <w:r>
        <w:rPr>
          <w:rtl w:val="0"/>
        </w:rPr>
        <w:t>Step 3  Build the smallest valid dataset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Record images, paired joint states, paired action targets, skill labels and episode boundaries. Inspect sample images and replay recorded actions. Split by episode and scene seed, so nearly identical frames do not leak into validation. Add modest placement variation only after the fixed scene works. Train a small skill first, evaluate it, then extend coverage to the remaining skills.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Checkpoint: a learned skill succeeds on a held-out start and a representative model exports and runs through the intended OpenVINO path. Compare exported outputs against PyTorch on the same observations before running the robot.</w:t>
      </w:r>
    </w:p>
    <w:p w14:paraId="0000003E">
      <w:pPr>
        <w:pStyle w:val="Heading3"/>
        <w:spacing w:after="90" w:line="280" w:lineRule="auto"/>
        <w:rPr/>
        <w:keepNext w:val="1"/>
      </w:pPr>
      <w:r>
        <w:rPr>
          <w:rtl w:val="0"/>
        </w:rPr>
        <w:t>Step 4  Connect instruction to behavior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Test a compact local VLM with a few table images and two command variants. Require structured output from a fixed skill vocabulary and validate it in Python. Demonstrate that changing the instruction changes the selected object or target relationship. Start with the scripted skill executor while training progresses, then replace the relevant motions with learned execution.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End-of-day gate: working scene, expert workflow, valid training data, one learned success, and a viable local model/export path. Failure here means reducing scene complexity and optional features immediately, while preserving the two-arm task objective.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pageBreakBefore w:val="1"/>
      </w:pPr>
      <w:r>
        <w:rPr>
          <w:rFonts w:ascii="Helvetica Neue" w:cs="Helvetica Neue" w:eastAsia="Helvetica Neue" w:hAnsi="Helvetica Neue"/>
          <w:color w:val="082a4a"/>
          <w:rtl w:val="0"/>
        </w:rPr>
        <w:t>6  Second and third day integration and delivery</w:t>
      </w:r>
    </w:p>
    <w:p w14:paraId="0000003E">
      <w:pPr>
        <w:pStyle w:val="Heading3"/>
        <w:spacing w:after="90" w:line="280" w:lineRule="auto"/>
        <w:rPr/>
        <w:keepNext w:val="1"/>
      </w:pPr>
      <w:r>
        <w:rPr>
          <w:rtl w:val="0"/>
        </w:rPr>
        <w:t>Second day  Complete the learned workflow</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Connect the trained skills to the task executive. Keep an explicit record of observed task state, occupied regions and recovery attempts. Add workspace reservations, conservative motion checks and the transfer confirmation sequence. Collect corrective demonstrations for the failures that actually prevent the full workflow. A scripted expert remains a diagnostic baseline, not a substitute for the learned-policy result.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Next, deploy the working policy through OpenVINO on CPU and the supported iGPU. Use the same weights, observations and preprocessing. Separate action dispatch from inference, timestamp chunks and discard stale results. Introduce bounded, repeatable background load and confirm the response to late predictions near transfer. Keep a successful full-precision configuration available before trying any compression.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End-of-day gate: the full language-directed, two-arm workflow completes on multiple development seeds on Intel hardware. The logs identify policy inference, dispatch timing and each task transition. If necessary, drop NPU, graph splitting and INT8; do not replace the end-to-end goal with a standalone speed benchmark.</w:t>
      </w:r>
    </w:p>
    <w:p w14:paraId="0000003E">
      <w:pPr>
        <w:pStyle w:val="Heading3"/>
        <w:spacing w:after="90" w:line="280" w:lineRule="auto"/>
        <w:rPr/>
        <w:keepNext w:val="1"/>
      </w:pPr>
      <w:r>
        <w:rPr>
          <w:rtl w:val="0"/>
        </w:rPr>
        <w:t>Third day  Freeze and measure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Freeze the checkpoint, scene version, command variants, perturbation ranges and evaluation seeds. Run the required ten randomized seeds and record complete outcomes, including failures. Keep development scenes separate. Evaluate normal load and one reproducible contention setting. Run the paired comparisons described on the next page and calculate success and timing metrics from logs.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Review the failures once, make only necessary fixes, then rerun affected comparisons consistently. Reserve the final six hours of the available window for reproducibility, video, README and submission. Confirm the portal cutoff in its stated timezone and leave upload time.</w:t>
      </w:r>
    </w:p>
    <w:p w14:paraId="0000003E">
      <w:pPr>
        <w:pStyle w:val="Heading3"/>
        <w:spacing w:after="90" w:line="280" w:lineRule="auto"/>
        <w:rPr/>
        <w:keepNext w:val="1"/>
      </w:pPr>
      <w:r>
        <w:rPr>
          <w:rtl w:val="0"/>
        </w:rPr>
        <w:t>Submission package</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What it contains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Completion check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Repository and setup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Dependencies, licensed assets and executable entry points.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Clean setup succeeds.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Policy and data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Checkpoint, preprocessing and data recipe.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Inference is reproducible.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Intel benchmark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Timing, precision, devices and hardware.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Recorded runs support results.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Demo and seeds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Command, both arms and ten outcomes.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Video agrees with logs.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Technical explanation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Architecture, boundaries and limitations.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Claims match implementation.</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pageBreakBefore w:val="1"/>
      </w:pPr>
      <w:r>
        <w:rPr>
          <w:rFonts w:ascii="Helvetica Neue" w:cs="Helvetica Neue" w:eastAsia="Helvetica Neue" w:hAnsi="Helvetica Neue"/>
          <w:color w:val="082a4a"/>
          <w:rtl w:val="0"/>
        </w:rPr>
        <w:t>7  Evaluation and judging evidence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Judge the project by complete-task behavior first. Define success before evaluating: all requested objects are correctly arranged within declared tolerances, the transfer completes without a drop, and no disallowed robot/object collisions occur. Count timeouts and exhausted retries as failures; allow intended grasp contacts.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Judging criterion [1]</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Points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Evidence we will show</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Task completion and bimanual manipulation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30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Drawer cooperation, arrangement, transfer and conflict handling.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VLA and multimodal reasoning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20</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Commands and observed scene state change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Robustness and generalization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Ten held-out seeds and stage outcomes.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OpenVINO and Intel optimization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20</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Paired device benchmarks and task quality.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Technical quality and reproducibility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Versioned setup, assets, policy and commands.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Innovation and demonstration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5</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Measured task-aware scheduling contribution.</w:t>
            </w:r>
          </w:p>
        </w:tc>
      </w:tr>
    </w:tbl>
    <w:p w14:paraId="0000003E">
      <w:pPr>
        <w:pStyle w:val="Heading3"/>
        <w:spacing w:after="90" w:line="280" w:lineRule="auto"/>
        <w:rPr/>
        <w:keepNext w:val="1"/>
      </w:pPr>
      <w:r>
        <w:rPr>
          <w:rtl w:val="0"/>
        </w:rPr>
        <w:t>Three comparable configurations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PyTorch with ordinary asynchronous execution. B: OpenVINO with equivalent buffering and coordination checks. C: OpenVINO with task-aware freshness and scheduling added. Keep weights, scenes, commands and basic collision/release protections comparable. This isolates the backend gain from the scheduler gain. If time only permits A versus B, report that narrower result and leave the scheduler hypothesis unproven.</w:t>
      </w:r>
    </w:p>
    <w:p w14:paraId="0000003E">
      <w:pPr>
        <w:pStyle w:val="Heading3"/>
        <w:spacing w:after="90" w:line="280" w:lineRule="auto"/>
        <w:rPr/>
        <w:keepNext w:val="1"/>
      </w:pPr>
      <w:r>
        <w:rPr>
          <w:rtl w:val="0"/>
        </w:rPr>
        <w:t>Measurements that matter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Report full-task and stage success, drops, disallowed collisions, recovery count and total task duration. Report median, p95 and p99 inference latency, dispatched actions per second, missed dispatch deadlines and observation age. Specify sample counts, warm-up, model precision, selected device, hardware and background-load settings. Ten episodes provide limited statistical certainty even if all succeed.</w:t>
      </w:r>
    </w:p>
    <w:p w14:paraId="0000003E">
      <w:pPr>
        <w:pStyle w:val="Heading3"/>
        <w:spacing w:after="90" w:line="280" w:lineRule="auto"/>
        <w:rPr/>
        <w:keepNext w:val="1"/>
      </w:pPr>
      <w:r>
        <w:rPr>
          <w:rtl w:val="0"/>
        </w:rPr>
        <w:t>Randomization and demonstration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Vary placement, mass, friction, modest shape/size, lighting and background within declared feasible bounds. A seed makes scene generation repeatable; save each configuration and reuse it across comparisons. Ten scenes cannot establish broad generalization.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Show the command, plan, shared regions, drawer interaction, transfer and final arrangement in the video, followed by all ten outcomes. Use honest paired load conditions. A controlled pause that prevents an unsafe release is a meaningful result; do not stage baseline failures.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pageBreakBefore w:val="1"/>
      </w:pPr>
      <w:r>
        <w:rPr>
          <w:rFonts w:ascii="Helvetica Neue" w:cs="Helvetica Neue" w:eastAsia="Helvetica Neue" w:hAnsi="Helvetica Neue"/>
          <w:color w:val="082a4a"/>
          <w:rtl w:val="0"/>
        </w:rPr>
        <w:t>8  Decisions before building and reference links</w:t>
      </w:r>
    </w:p>
    <w:p w14:paraId="0000003E">
      <w:pPr>
        <w:pStyle w:val="Heading3"/>
        <w:spacing w:after="90" w:line="280" w:lineRule="auto"/>
        <w:rPr/>
        <w:keepNext w:val="1"/>
      </w:pPr>
      <w:r>
        <w:rPr>
          <w:rtl w:val="0"/>
        </w:rPr>
        <w:t>Immediate decisions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Confirm the final Intel machine and training access; choose the SO-101 assets and operating system; prove a policy export path; and choose one compact local language/vision model through a smoke test. Agree on the command variants, workspace regions and success tolerances before generating data. These decisions determine feasibility more than adding another optimization feature.</w:t>
      </w:r>
    </w:p>
    <w:p w14:paraId="0000003E">
      <w:pPr>
        <w:pStyle w:val="Heading3"/>
        <w:spacing w:after="90" w:line="280" w:lineRule="auto"/>
        <w:rPr/>
        <w:keepNext w:val="1"/>
      </w:pPr>
      <w:r>
        <w:rPr>
          <w:rtl w:val="0"/>
        </w:rPr>
        <w:t>Recommended project statement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TableSync enables two simulated SO-101 arms to complete language-directed dinner-table tasks on an Intel AI PC. It combines learned manipulation, shared-workspace coordination and an OpenVINO runtime that checks when buffered actions remain valid. We evaluate complete-task success and latency under randomized scenes and compute contention, and provide a reproducible simulation and deployment package.</w:t>
      </w:r>
    </w:p>
    <w:p w14:paraId="0000003E">
      <w:pPr>
        <w:pStyle w:val="Heading3"/>
        <w:spacing w:after="90" w:line="280" w:lineRule="auto"/>
        <w:rPr/>
        <w:keepNext w:val="1"/>
      </w:pPr>
      <w:r>
        <w:rPr>
          <w:rtl w:val="0"/>
        </w:rPr>
        <w:t>References and learning order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Read the challenge brief first, then the OpenVINO Physical AI workflow and the selected training/export documentation. Consult the broader platform and suites only when a specific integration needs them. Resource descriptions below were checked on September 13, 2026; pin tested software revisions because examples can change.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[1] Intel Physical AI Online Challenge. Supplied file: Online_Physical_AI_Challenge_Online.pdf. Pages 2–3: objectives and deployment; pages 4–5: deliverables and scoring.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[2] AI Infra Summit Hackathon. Published online build dates and event information.</w:t>
      </w:r>
      <w:hyperlink r:id="rIdTableSync2">
        <w:r>
          <w:rPr>
            <w:color w:val="24649A"/>
            <w:u w:val="single"/>
          </w:rPr>
          <w:t> Open resource</w:t>
        </w:r>
      </w:hyperlink>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[3] Intel OpenVINO Toolkit. Model optimization and Intel inference overview.</w:t>
      </w:r>
      <w:hyperlink r:id="rIdTableSync3">
        <w:r>
          <w:rPr>
            <w:color w:val="24649A"/>
            <w:u w:val="single"/>
          </w:rPr>
          <w:t> Open resource</w:t>
        </w:r>
      </w:hyperlink>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[4] OpenVINO Physical AI. Robotics workflow and runtime documentation.</w:t>
      </w:r>
      <w:hyperlink r:id="rIdTableSync4">
        <w:r>
          <w:rPr>
            <w:color w:val="24649A"/>
            <w:u w:val="single"/>
          </w:rPr>
          <w:t> Open resource</w:t>
        </w:r>
      </w:hyperlink>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[5] Physical AI Studio. Imitation learning, policy interfaces and export.</w:t>
      </w:r>
      <w:hyperlink r:id="rIdTableSync5">
        <w:r>
          <w:rPr>
            <w:color w:val="24649A"/>
            <w:u w:val="single"/>
          </w:rPr>
          <w:t> Open resource</w:t>
        </w:r>
      </w:hyperlink>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[6] Open Edge Platform. Directory of edge software repositories.</w:t>
      </w:r>
      <w:hyperlink r:id="rIdTableSync6">
        <w:r>
          <w:rPr>
            <w:color w:val="24649A"/>
            <w:u w:val="single"/>
          </w:rPr>
          <w:t> Open resource</w:t>
        </w:r>
      </w:hyperlink>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[7] Robotics AI Suite. Robotics samples, libraries and benchmarks.</w:t>
      </w:r>
      <w:hyperlink r:id="rIdTableSync7">
        <w:r>
          <w:rPr>
            <w:color w:val="24649A"/>
            <w:u w:val="single"/>
          </w:rPr>
          <w:t> Open resource</w:t>
        </w:r>
      </w:hyperlink>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[8] Intel Geti. Computer-vision training and deployment tools.</w:t>
      </w:r>
      <w:hyperlink r:id="rIdTableSync8">
        <w:r>
          <w:rPr>
            <w:color w:val="24649A"/>
            <w:u w:val="single"/>
          </w:rPr>
          <w:t> Open resource</w:t>
        </w:r>
      </w:hyperlink>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[9] LeRobot asynchronous inference. Existing action prediction/execution separation.</w:t>
      </w:r>
      <w:hyperlink r:id="rIdTableSync9">
        <w:r>
          <w:rPr>
            <w:color w:val="24649A"/>
            <w:u w:val="single"/>
          </w:rPr>
          <w:t> Open resource</w:t>
        </w:r>
      </w:hyperlink>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TableSync | Team proposal | September 2026</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TableSync2" Type="http://schemas.openxmlformats.org/officeDocument/2006/relationships/hyperlink" Target="https://lablab.ai/ai-hackathons/ai-infra-summit-hackathon" TargetMode="External"/><Relationship Id="rIdTableSync3" Type="http://schemas.openxmlformats.org/officeDocument/2006/relationships/hyperlink" Target="https://www.intel.com/content/www/us/en/developer/tools/openvino-toolkit/overview.html" TargetMode="External"/><Relationship Id="rIdTableSync4" Type="http://schemas.openxmlformats.org/officeDocument/2006/relationships/hyperlink" Target="https://docs.openvino.ai/2026/physical-ai.html" TargetMode="External"/><Relationship Id="rIdTableSync5" Type="http://schemas.openxmlformats.org/officeDocument/2006/relationships/hyperlink" Target="https://github.com/open-edge-platform/physical-ai-studio" TargetMode="External"/><Relationship Id="rIdTableSync6" Type="http://schemas.openxmlformats.org/officeDocument/2006/relationships/hyperlink" Target="https://github.com/open-edge-platform" TargetMode="External"/><Relationship Id="rIdTableSync7" Type="http://schemas.openxmlformats.org/officeDocument/2006/relationships/hyperlink" Target="https://github.com/open-edge-platform/edge-ai-suites/tree/main/robotics-ai-suite" TargetMode="External"/><Relationship Id="rIdTableSync8" Type="http://schemas.openxmlformats.org/officeDocument/2006/relationships/hyperlink" Target="https://github.com/open-edge-platform/geti" TargetMode="External"/><Relationship Id="rIdTableSync9" Type="http://schemas.openxmlformats.org/officeDocument/2006/relationships/hyperlink" Target="https://huggingface.co/docs/lerobot/asyn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