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C046" w14:textId="77777777" w:rsidR="00445E48" w:rsidRDefault="00000000">
      <w:pPr>
        <w:spacing w:after="60"/>
        <w:jc w:val="center"/>
      </w:pPr>
      <w:r>
        <w:rPr>
          <w:b/>
          <w:bCs/>
          <w:sz w:val="28"/>
          <w:szCs w:val="28"/>
        </w:rPr>
        <w:t>CADENCE MVP</w:t>
      </w:r>
    </w:p>
    <w:p w14:paraId="0BAD0F41" w14:textId="77777777" w:rsidR="00445E48" w:rsidRDefault="00000000">
      <w:pPr>
        <w:spacing w:after="60"/>
        <w:jc w:val="center"/>
      </w:pPr>
      <w:r>
        <w:rPr>
          <w:b/>
          <w:bCs/>
          <w:sz w:val="32"/>
          <w:szCs w:val="32"/>
        </w:rPr>
        <w:t>Section 2B Step 9 — Addendum</w:t>
      </w:r>
    </w:p>
    <w:p w14:paraId="092EF194" w14:textId="77777777" w:rsidR="00445E48" w:rsidRDefault="00000000">
      <w:pPr>
        <w:spacing w:after="240"/>
        <w:jc w:val="center"/>
      </w:pPr>
      <w:r>
        <w:rPr>
          <w:i/>
          <w:iCs/>
        </w:rPr>
        <w:t>May 5, 2026 — Attached to Claude_Code_Kickoff_Section_2B_v1_0.docx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5E48" w14:paraId="53B61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680BF" w14:textId="77777777" w:rsidR="00445E48" w:rsidRDefault="00000000">
            <w:r>
              <w:rPr>
                <w:b/>
                <w:bCs/>
              </w:rPr>
              <w:t>Read this addendum before executing Section 2B Step 9. The instruction in the original kickoff is stale.</w:t>
            </w:r>
          </w:p>
        </w:tc>
      </w:tr>
    </w:tbl>
    <w:p w14:paraId="0AE70C8D" w14:textId="77777777" w:rsidR="00445E48" w:rsidRDefault="00445E48"/>
    <w:p w14:paraId="5CD934E5" w14:textId="77777777" w:rsidR="00445E48" w:rsidRDefault="00000000">
      <w:pPr>
        <w:pStyle w:val="Heading1"/>
      </w:pPr>
      <w:r>
        <w:t>Summary</w:t>
      </w:r>
    </w:p>
    <w:p w14:paraId="13CF0D76" w14:textId="77777777" w:rsidR="00445E48" w:rsidRDefault="00000000">
      <w:pPr>
        <w:spacing w:after="120"/>
      </w:pPr>
      <w:r>
        <w:t>Section 2B Step 9, as written in Claude_Code_Kickoff_Section_2B_v1_0.docx, is titled 'Multi-location adaptive UI' and describes wiring location filtering through existing data — a header location switcher, per-location filtering on Calendar/Practitioners/Services, per-location Cadence Brief generation, and location tags on approvals.</w:t>
      </w:r>
    </w:p>
    <w:p w14:paraId="09441A4C" w14:textId="77777777" w:rsidR="00445E48" w:rsidRDefault="00000000">
      <w:pPr>
        <w:spacing w:after="120"/>
      </w:pPr>
      <w:r>
        <w:t>The instruction was written assuming a locations data model existed. The May 5 Step 1 audit confirmed it does not. There is no locations table. There is no location_id column on practitioners, posts, or services. There is no column with 'location' in its name anywhere in the public schema. Project memory's prior assertion that locations existed was incorrect.</w:t>
      </w:r>
    </w:p>
    <w:p w14:paraId="14B19274" w14:textId="77777777" w:rsidR="00445E48" w:rsidRDefault="00000000">
      <w:pPr>
        <w:spacing w:after="120"/>
      </w:pPr>
      <w:r>
        <w:t>Step 9 cannot be executed as written. Wiring filters against schema that doesn't exist is impossible.</w:t>
      </w:r>
    </w:p>
    <w:p w14:paraId="7B4C327F" w14:textId="77777777" w:rsidR="00445E48" w:rsidRDefault="00000000">
      <w:pPr>
        <w:pStyle w:val="Heading1"/>
      </w:pPr>
      <w:r>
        <w:t>What to Do for Step 9</w:t>
      </w:r>
    </w:p>
    <w:p w14:paraId="353A217B" w14:textId="77777777" w:rsidR="00445E48" w:rsidRDefault="00000000">
      <w:pPr>
        <w:spacing w:after="120"/>
      </w:pPr>
      <w:r>
        <w:t>Step 9 is lifted out of Section 2B and into a new kickoff: Section 2J. Section 2B ships Steps 1-8, 10, 11, 12 only. The location work — schema design, foreign key additions, Euphoria backfill, and all the original Step 9 UI work — happens in Section 2J after Section 2B ships.</w:t>
      </w:r>
    </w:p>
    <w:p w14:paraId="12234261" w14:textId="77777777" w:rsidR="00445E48" w:rsidRDefault="00000000">
      <w:pPr>
        <w:spacing w:after="120"/>
      </w:pPr>
      <w:r>
        <w:t>Three actions for the developer running Section 2B:</w:t>
      </w:r>
    </w:p>
    <w:p w14:paraId="6DB63CC8" w14:textId="77777777" w:rsidR="00445E48" w:rsidRDefault="00000000">
      <w:pPr>
        <w:pStyle w:val="ListParagraph"/>
        <w:numPr>
          <w:ilvl w:val="0"/>
          <w:numId w:val="2"/>
        </w:numPr>
      </w:pPr>
      <w:r>
        <w:t>Skip Step 9 entirely. Do not make any schema changes related to locations, do not add location_id foreign keys to any table, do not build a location switcher UI.</w:t>
      </w:r>
    </w:p>
    <w:p w14:paraId="0346B1AE" w14:textId="77777777" w:rsidR="00445E48" w:rsidRDefault="00000000">
      <w:pPr>
        <w:pStyle w:val="ListParagraph"/>
        <w:numPr>
          <w:ilvl w:val="0"/>
          <w:numId w:val="2"/>
        </w:numPr>
      </w:pPr>
      <w:r>
        <w:t>In Step 12 (final visual QA), drop the multi-location verification points: switching a test org to have 2 locations, confirming location switcher appears, confirming calendar/practitioners/services filter correctly, confirming approvals show location tags. Those acceptance criteria belong to Section 2J, not Section 2B.</w:t>
      </w:r>
    </w:p>
    <w:p w14:paraId="4A1B1EC7" w14:textId="77777777" w:rsidR="00445E48" w:rsidRDefault="00000000">
      <w:pPr>
        <w:pStyle w:val="ListParagraph"/>
        <w:numPr>
          <w:ilvl w:val="0"/>
          <w:numId w:val="2"/>
        </w:numPr>
      </w:pPr>
      <w:r>
        <w:t>Add this finding to the Step 1 audit report (see Cadence_Section_2B_Step_1_Audit_May05.docx, Finding 4): 'Step 9 (multi-location adaptive UI): LIFTED. No locations table or location_id columns exist in the live database. Step 9's premise is invalid. Multi-location work moves to Section 2J kickoff (to be drafted) per the May 5 strategic decision.'</w:t>
      </w:r>
    </w:p>
    <w:p w14:paraId="0D78857A" w14:textId="77777777" w:rsidR="00445E48" w:rsidRDefault="00000000">
      <w:pPr>
        <w:pStyle w:val="Heading1"/>
      </w:pPr>
      <w:r>
        <w:t>What Section 2J Will Cover</w:t>
      </w:r>
    </w:p>
    <w:p w14:paraId="63A540E1" w14:textId="77777777" w:rsidR="00445E48" w:rsidRDefault="00000000">
      <w:pPr>
        <w:spacing w:after="120"/>
      </w:pPr>
      <w:r>
        <w:t>Section 2J's kickoff has not yet been drafted. When it is, it will include:</w:t>
      </w:r>
    </w:p>
    <w:p w14:paraId="55B6F458" w14:textId="77777777" w:rsidR="00445E48" w:rsidRDefault="00000000">
      <w:pPr>
        <w:pStyle w:val="ListParagraph"/>
        <w:numPr>
          <w:ilvl w:val="0"/>
          <w:numId w:val="3"/>
        </w:numPr>
      </w:pPr>
      <w:r>
        <w:t>Locations table schema design — at minimum: id, org_id FK, name, address, timezone (per-location), is_active, created_at, updated_at. Open questions for the kickoff: per-</w:t>
      </w:r>
      <w:r>
        <w:lastRenderedPageBreak/>
        <w:t>location brand kit overrides (kickoff said Phase 2, defer); per-location pricing on services (likely yes for medspas).</w:t>
      </w:r>
    </w:p>
    <w:p w14:paraId="66C8B06E" w14:textId="77777777" w:rsidR="00445E48" w:rsidRDefault="00000000">
      <w:pPr>
        <w:pStyle w:val="ListParagraph"/>
        <w:numPr>
          <w:ilvl w:val="0"/>
          <w:numId w:val="3"/>
        </w:numPr>
      </w:pPr>
      <w:r>
        <w:t xml:space="preserve">Foreign key additions — </w:t>
      </w:r>
      <w:proofErr w:type="gramStart"/>
      <w:r>
        <w:t>practitioners.location</w:t>
      </w:r>
      <w:proofErr w:type="gramEnd"/>
      <w:r>
        <w:t xml:space="preserve">_id (nullable initially? or many-to-many junction since Euphoria practitioners work at both Barnegat and Lake Wylie?), </w:t>
      </w:r>
      <w:proofErr w:type="gramStart"/>
      <w:r>
        <w:t>posts.location</w:t>
      </w:r>
      <w:proofErr w:type="gramEnd"/>
      <w:r>
        <w:t xml:space="preserve">_id, </w:t>
      </w:r>
      <w:proofErr w:type="gramStart"/>
      <w:r>
        <w:t>services.location</w:t>
      </w:r>
      <w:proofErr w:type="gramEnd"/>
      <w:r>
        <w:t>_id. Decision: practitioner-to-location is many-to-many for medspa reality.</w:t>
      </w:r>
    </w:p>
    <w:p w14:paraId="3C254B58" w14:textId="77777777" w:rsidR="00445E48" w:rsidRDefault="00000000">
      <w:pPr>
        <w:pStyle w:val="ListParagraph"/>
        <w:numPr>
          <w:ilvl w:val="0"/>
          <w:numId w:val="3"/>
        </w:numPr>
      </w:pPr>
      <w:r>
        <w:t xml:space="preserve">Euphoria </w:t>
      </w:r>
      <w:proofErr w:type="gramStart"/>
      <w:r>
        <w:t>backfill</w:t>
      </w:r>
      <w:proofErr w:type="gramEnd"/>
      <w:r>
        <w:t xml:space="preserve"> — two locations: Barnegat NJ (primary) and Lake Wylie SC. Existing posts/practitioners need to be assigned to the correct location based on practitioner-to-location mapping or default to Barnegat with manual reassignment afterward.</w:t>
      </w:r>
    </w:p>
    <w:p w14:paraId="7DC85192" w14:textId="77777777" w:rsidR="00445E48" w:rsidRDefault="00000000">
      <w:pPr>
        <w:pStyle w:val="ListParagraph"/>
        <w:numPr>
          <w:ilvl w:val="0"/>
          <w:numId w:val="3"/>
        </w:numPr>
      </w:pPr>
      <w:r>
        <w:t xml:space="preserve">Header location switcher UI — visible only when org has 2+ locations. URL query </w:t>
      </w:r>
      <w:proofErr w:type="gramStart"/>
      <w:r>
        <w:t>param ?location</w:t>
      </w:r>
      <w:proofErr w:type="gramEnd"/>
      <w:r>
        <w:t>=&lt;id&gt; + localStorage persistence per the original Step 9 spec.</w:t>
      </w:r>
    </w:p>
    <w:p w14:paraId="08EE4FBE" w14:textId="77777777" w:rsidR="00445E48" w:rsidRDefault="00000000">
      <w:pPr>
        <w:pStyle w:val="ListParagraph"/>
        <w:numPr>
          <w:ilvl w:val="0"/>
          <w:numId w:val="3"/>
        </w:numPr>
      </w:pPr>
      <w:r>
        <w:t>Per-location filtering on Calendar / Practitioners / Services pages.</w:t>
      </w:r>
    </w:p>
    <w:p w14:paraId="3975EFAF" w14:textId="77777777" w:rsidR="00445E48" w:rsidRDefault="00000000">
      <w:pPr>
        <w:pStyle w:val="ListParagraph"/>
        <w:numPr>
          <w:ilvl w:val="0"/>
          <w:numId w:val="3"/>
        </w:numPr>
      </w:pPr>
      <w:r>
        <w:t>Per-location Cadence Brief generation — /api/schedule-week accepts a location_id parameter, runs separately for each location, cron iterates over all locations for each org.</w:t>
      </w:r>
    </w:p>
    <w:p w14:paraId="7C78E73C" w14:textId="77777777" w:rsidR="00445E48" w:rsidRDefault="00000000">
      <w:pPr>
        <w:pStyle w:val="ListParagraph"/>
        <w:numPr>
          <w:ilvl w:val="0"/>
          <w:numId w:val="3"/>
        </w:numPr>
      </w:pPr>
      <w:r>
        <w:t>Location tagging on approvals — approvals stay org-wide, but each item shows a small location tag.</w:t>
      </w:r>
    </w:p>
    <w:p w14:paraId="454BE0C2" w14:textId="77777777" w:rsidR="00445E48" w:rsidRDefault="00000000">
      <w:pPr>
        <w:pStyle w:val="ListParagraph"/>
        <w:numPr>
          <w:ilvl w:val="0"/>
          <w:numId w:val="3"/>
        </w:numPr>
      </w:pPr>
      <w:r>
        <w:t>Performance and Team pages stay org-wide — explicitly out of scope for per-location filtering, matches original kickoff scope.</w:t>
      </w:r>
    </w:p>
    <w:p w14:paraId="0AFA44FA" w14:textId="77777777" w:rsidR="00445E48" w:rsidRDefault="00000000">
      <w:pPr>
        <w:pStyle w:val="Heading1"/>
      </w:pPr>
      <w:r>
        <w:t>Decision Context</w:t>
      </w:r>
    </w:p>
    <w:p w14:paraId="3E34DDC6" w14:textId="77777777" w:rsidR="00445E48" w:rsidRDefault="00000000">
      <w:pPr>
        <w:spacing w:after="120"/>
      </w:pPr>
      <w:r>
        <w:t>The audit considered two paths: (1) lift Step 9 into a separate kickoff (Section 2J), or (2) rewrite Step 9 in an addendum to include schema design, FK additions, and backfill, keeping it inside Section 2B.</w:t>
      </w:r>
    </w:p>
    <w:p w14:paraId="0D2CBC31" w14:textId="77777777" w:rsidR="00445E48" w:rsidRDefault="00000000">
      <w:pPr>
        <w:spacing w:after="120"/>
      </w:pPr>
      <w:r>
        <w:t>Path 1 (lift) was selected. Reasoning, as captured in the audit's Decision Log:</w:t>
      </w:r>
    </w:p>
    <w:p w14:paraId="083C4D51" w14:textId="77777777" w:rsidR="00445E48" w:rsidRDefault="00000000">
      <w:pPr>
        <w:pStyle w:val="ListParagraph"/>
        <w:numPr>
          <w:ilvl w:val="0"/>
          <w:numId w:val="3"/>
        </w:numPr>
      </w:pPr>
      <w:r>
        <w:t>Schema design + FK + backfill + UI is 3-4x the scope the original kickoff describes for Step 9.</w:t>
      </w:r>
    </w:p>
    <w:p w14:paraId="0C6EC1AB" w14:textId="77777777" w:rsidR="00445E48" w:rsidRDefault="00000000">
      <w:pPr>
        <w:pStyle w:val="ListParagraph"/>
        <w:numPr>
          <w:ilvl w:val="0"/>
          <w:numId w:val="3"/>
        </w:numPr>
      </w:pPr>
      <w:r>
        <w:t>Section 2B's 'largest scope of work since Section 1' framing was already large. Expanding further invites scope creep and risks the kickoff fragmenting mid-implementation.</w:t>
      </w:r>
    </w:p>
    <w:p w14:paraId="10087B2A" w14:textId="77777777" w:rsidR="00445E48" w:rsidRDefault="00000000">
      <w:pPr>
        <w:pStyle w:val="ListParagraph"/>
        <w:numPr>
          <w:ilvl w:val="0"/>
          <w:numId w:val="3"/>
        </w:numPr>
      </w:pPr>
      <w:r>
        <w:t>Steps 1-8, 10-12 are coherent without locations. Section 2B can ship lifecycle infrastructure, top strip, right rail, streak system, and cron wiring as a complete unit.</w:t>
      </w:r>
    </w:p>
    <w:p w14:paraId="3069BD05" w14:textId="77777777" w:rsidR="00445E48" w:rsidRDefault="00000000">
      <w:pPr>
        <w:pStyle w:val="ListParagraph"/>
        <w:numPr>
          <w:ilvl w:val="0"/>
          <w:numId w:val="3"/>
        </w:numPr>
      </w:pPr>
      <w:r>
        <w:t>Multi-location data-model decisions (single-location vs many-to-many practitioner/location, per-location pricing, timezone-per-location, etc.) deserve their own focused kickoff with its own Step 1 audit.</w:t>
      </w:r>
    </w:p>
    <w:p w14:paraId="63853C96" w14:textId="77777777" w:rsidR="00445E48" w:rsidRDefault="00000000">
      <w:pPr>
        <w:pStyle w:val="ListParagraph"/>
        <w:numPr>
          <w:ilvl w:val="0"/>
          <w:numId w:val="3"/>
        </w:numPr>
      </w:pPr>
      <w:r>
        <w:t>Mitigation against the 'lifted kickoffs that never get done' risk: Section 2J is inserted into Project Plan v1.19 sprint sequence between 2B and 2C, scheduled as the immediate follow-on.</w:t>
      </w:r>
    </w:p>
    <w:p w14:paraId="0972232F" w14:textId="77777777" w:rsidR="00445E48" w:rsidRDefault="00000000">
      <w:pPr>
        <w:pStyle w:val="Heading1"/>
      </w:pPr>
      <w:r>
        <w:t>Process Note</w:t>
      </w:r>
    </w:p>
    <w:p w14:paraId="7ABC69A2" w14:textId="77777777" w:rsidR="00445E48" w:rsidRDefault="00000000">
      <w:pPr>
        <w:spacing w:after="120"/>
      </w:pPr>
      <w:r>
        <w:t xml:space="preserve">This is the second time in two days that a kickoff has been written assuming a state of the world that didn't </w:t>
      </w:r>
      <w:proofErr w:type="gramStart"/>
      <w:r>
        <w:t>actually exist</w:t>
      </w:r>
      <w:proofErr w:type="gramEnd"/>
      <w:r>
        <w:t>. May 4's Section 2B Step 11 addendum captured the same pattern: a step that referenced a file (TrendInbox.tsx) that had been deleted by Section 2A, with no rebuild path documented.</w:t>
      </w:r>
    </w:p>
    <w:p w14:paraId="292D6876" w14:textId="77777777" w:rsidR="00445E48" w:rsidRDefault="00000000">
      <w:pPr>
        <w:spacing w:after="120"/>
      </w:pPr>
      <w:r>
        <w:t xml:space="preserve">The pattern: kickoff documents written ahead of time can become stale relative to the live state of the codebase or database. The mitigation is the same as the May 4 working agreement on </w:t>
      </w:r>
      <w:r>
        <w:lastRenderedPageBreak/>
        <w:t>destructive kickoffs: kickoffs should be re-audited against live state at Step 1, which is exactly what this Step 1 produced.</w:t>
      </w:r>
    </w:p>
    <w:p w14:paraId="4E0D2D0A" w14:textId="77777777" w:rsidR="00445E48" w:rsidRDefault="00000000">
      <w:pPr>
        <w:spacing w:after="120"/>
      </w:pPr>
      <w:r>
        <w:t>Three documentation-drift findings emerged from the May 5 audit: (1) the WeeklyCalendarView path was wrong, (2) the 'missing posts columns' from Section 1 audit were no longer missing, (3) Step 9's data-model premise was invalid. The audit caught all three before any code touched them. The system is working — and that's worth naming explicitly so the practice continues.</w:t>
      </w:r>
    </w:p>
    <w:p w14:paraId="6A85BEFC" w14:textId="77777777" w:rsidR="00445E48" w:rsidRDefault="00000000">
      <w:pPr>
        <w:spacing w:after="120"/>
      </w:pPr>
      <w:r>
        <w:t>See RecurSocial_ProjectPlan_v1_19.docx (to be written) for the addition of Section 2J to the sprint sequence.</w:t>
      </w:r>
    </w:p>
    <w:p w14:paraId="27FCA809" w14:textId="77777777" w:rsidR="00445E48" w:rsidRDefault="00000000">
      <w:pPr>
        <w:spacing w:before="240"/>
        <w:jc w:val="center"/>
      </w:pPr>
      <w:r>
        <w:rPr>
          <w:i/>
          <w:iCs/>
          <w:sz w:val="18"/>
          <w:szCs w:val="18"/>
        </w:rPr>
        <w:t>RecurSocial LLC | Confidential and Proprietary | cadence-mvp.vercel.app</w:t>
      </w:r>
    </w:p>
    <w:sectPr w:rsidR="00445E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0F44"/>
    <w:multiLevelType w:val="hybridMultilevel"/>
    <w:tmpl w:val="C48E074A"/>
    <w:lvl w:ilvl="0" w:tplc="1A048658">
      <w:start w:val="1"/>
      <w:numFmt w:val="bullet"/>
      <w:lvlText w:val="●"/>
      <w:lvlJc w:val="left"/>
      <w:pPr>
        <w:ind w:left="720" w:hanging="360"/>
      </w:pPr>
    </w:lvl>
    <w:lvl w:ilvl="1" w:tplc="66C4D262">
      <w:start w:val="1"/>
      <w:numFmt w:val="bullet"/>
      <w:lvlText w:val="○"/>
      <w:lvlJc w:val="left"/>
      <w:pPr>
        <w:ind w:left="1440" w:hanging="360"/>
      </w:pPr>
    </w:lvl>
    <w:lvl w:ilvl="2" w:tplc="B75AB140">
      <w:start w:val="1"/>
      <w:numFmt w:val="bullet"/>
      <w:lvlText w:val="■"/>
      <w:lvlJc w:val="left"/>
      <w:pPr>
        <w:ind w:left="2160" w:hanging="360"/>
      </w:pPr>
    </w:lvl>
    <w:lvl w:ilvl="3" w:tplc="5990867E">
      <w:start w:val="1"/>
      <w:numFmt w:val="bullet"/>
      <w:lvlText w:val="●"/>
      <w:lvlJc w:val="left"/>
      <w:pPr>
        <w:ind w:left="2880" w:hanging="360"/>
      </w:pPr>
    </w:lvl>
    <w:lvl w:ilvl="4" w:tplc="F70ACEAE">
      <w:start w:val="1"/>
      <w:numFmt w:val="bullet"/>
      <w:lvlText w:val="○"/>
      <w:lvlJc w:val="left"/>
      <w:pPr>
        <w:ind w:left="3600" w:hanging="360"/>
      </w:pPr>
    </w:lvl>
    <w:lvl w:ilvl="5" w:tplc="671C2BD4">
      <w:start w:val="1"/>
      <w:numFmt w:val="bullet"/>
      <w:lvlText w:val="■"/>
      <w:lvlJc w:val="left"/>
      <w:pPr>
        <w:ind w:left="4320" w:hanging="360"/>
      </w:pPr>
    </w:lvl>
    <w:lvl w:ilvl="6" w:tplc="BE7638B4">
      <w:start w:val="1"/>
      <w:numFmt w:val="bullet"/>
      <w:lvlText w:val="●"/>
      <w:lvlJc w:val="left"/>
      <w:pPr>
        <w:ind w:left="5040" w:hanging="360"/>
      </w:pPr>
    </w:lvl>
    <w:lvl w:ilvl="7" w:tplc="D6CE36B0">
      <w:start w:val="1"/>
      <w:numFmt w:val="bullet"/>
      <w:lvlText w:val="●"/>
      <w:lvlJc w:val="left"/>
      <w:pPr>
        <w:ind w:left="5760" w:hanging="360"/>
      </w:pPr>
    </w:lvl>
    <w:lvl w:ilvl="8" w:tplc="4C2A3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C33096"/>
    <w:multiLevelType w:val="hybridMultilevel"/>
    <w:tmpl w:val="552A8752"/>
    <w:lvl w:ilvl="0" w:tplc="CF7418DA">
      <w:start w:val="1"/>
      <w:numFmt w:val="decimal"/>
      <w:lvlText w:val="%1."/>
      <w:lvlJc w:val="left"/>
      <w:pPr>
        <w:ind w:left="720" w:hanging="360"/>
      </w:pPr>
    </w:lvl>
    <w:lvl w:ilvl="1" w:tplc="AEEE86D8">
      <w:numFmt w:val="decimal"/>
      <w:lvlText w:val=""/>
      <w:lvlJc w:val="left"/>
    </w:lvl>
    <w:lvl w:ilvl="2" w:tplc="A6C0BB5A">
      <w:numFmt w:val="decimal"/>
      <w:lvlText w:val=""/>
      <w:lvlJc w:val="left"/>
    </w:lvl>
    <w:lvl w:ilvl="3" w:tplc="E4A8BB5E">
      <w:numFmt w:val="decimal"/>
      <w:lvlText w:val=""/>
      <w:lvlJc w:val="left"/>
    </w:lvl>
    <w:lvl w:ilvl="4" w:tplc="B3B49CA2">
      <w:numFmt w:val="decimal"/>
      <w:lvlText w:val=""/>
      <w:lvlJc w:val="left"/>
    </w:lvl>
    <w:lvl w:ilvl="5" w:tplc="5C4C5F78">
      <w:numFmt w:val="decimal"/>
      <w:lvlText w:val=""/>
      <w:lvlJc w:val="left"/>
    </w:lvl>
    <w:lvl w:ilvl="6" w:tplc="F6164454">
      <w:numFmt w:val="decimal"/>
      <w:lvlText w:val=""/>
      <w:lvlJc w:val="left"/>
    </w:lvl>
    <w:lvl w:ilvl="7" w:tplc="CF6AA74E">
      <w:numFmt w:val="decimal"/>
      <w:lvlText w:val=""/>
      <w:lvlJc w:val="left"/>
    </w:lvl>
    <w:lvl w:ilvl="8" w:tplc="EA86AAE4">
      <w:numFmt w:val="decimal"/>
      <w:lvlText w:val=""/>
      <w:lvlJc w:val="left"/>
    </w:lvl>
  </w:abstractNum>
  <w:abstractNum w:abstractNumId="2" w15:restartNumberingAfterBreak="0">
    <w:nsid w:val="508E1176"/>
    <w:multiLevelType w:val="hybridMultilevel"/>
    <w:tmpl w:val="1F101C64"/>
    <w:lvl w:ilvl="0" w:tplc="A9DE2760">
      <w:start w:val="1"/>
      <w:numFmt w:val="bullet"/>
      <w:lvlText w:val="•"/>
      <w:lvlJc w:val="left"/>
      <w:pPr>
        <w:ind w:left="720" w:hanging="360"/>
      </w:pPr>
    </w:lvl>
    <w:lvl w:ilvl="1" w:tplc="00A4126A">
      <w:numFmt w:val="decimal"/>
      <w:lvlText w:val=""/>
      <w:lvlJc w:val="left"/>
    </w:lvl>
    <w:lvl w:ilvl="2" w:tplc="BF38634E">
      <w:numFmt w:val="decimal"/>
      <w:lvlText w:val=""/>
      <w:lvlJc w:val="left"/>
    </w:lvl>
    <w:lvl w:ilvl="3" w:tplc="3FD8A87C">
      <w:numFmt w:val="decimal"/>
      <w:lvlText w:val=""/>
      <w:lvlJc w:val="left"/>
    </w:lvl>
    <w:lvl w:ilvl="4" w:tplc="4FD87F44">
      <w:numFmt w:val="decimal"/>
      <w:lvlText w:val=""/>
      <w:lvlJc w:val="left"/>
    </w:lvl>
    <w:lvl w:ilvl="5" w:tplc="E998EC24">
      <w:numFmt w:val="decimal"/>
      <w:lvlText w:val=""/>
      <w:lvlJc w:val="left"/>
    </w:lvl>
    <w:lvl w:ilvl="6" w:tplc="DF3CA9C6">
      <w:numFmt w:val="decimal"/>
      <w:lvlText w:val=""/>
      <w:lvlJc w:val="left"/>
    </w:lvl>
    <w:lvl w:ilvl="7" w:tplc="85FA30B4">
      <w:numFmt w:val="decimal"/>
      <w:lvlText w:val=""/>
      <w:lvlJc w:val="left"/>
    </w:lvl>
    <w:lvl w:ilvl="8" w:tplc="F5E27AD6">
      <w:numFmt w:val="decimal"/>
      <w:lvlText w:val=""/>
      <w:lvlJc w:val="left"/>
    </w:lvl>
  </w:abstractNum>
  <w:num w:numId="1" w16cid:durableId="764348852">
    <w:abstractNumId w:val="0"/>
    <w:lvlOverride w:ilvl="0">
      <w:startOverride w:val="1"/>
    </w:lvlOverride>
  </w:num>
  <w:num w:numId="2" w16cid:durableId="942960336">
    <w:abstractNumId w:val="1"/>
    <w:lvlOverride w:ilvl="0">
      <w:startOverride w:val="1"/>
    </w:lvlOverride>
  </w:num>
  <w:num w:numId="3" w16cid:durableId="2568633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E48"/>
    <w:rsid w:val="00445E48"/>
    <w:rsid w:val="00AA5E63"/>
    <w:rsid w:val="00DC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6B066"/>
  <w15:docId w15:val="{DA1D8A02-5F42-994D-9F0F-2CE8B67D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2026-05-06T01:47:00Z</dcterms:created>
  <dcterms:modified xsi:type="dcterms:W3CDTF">2026-05-06T01:47:00Z</dcterms:modified>
</cp:coreProperties>
</file>