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B8907F"/>
          <w:sz w:val="28"/>
          <w:szCs w:val="28"/>
        </w:rPr>
        <w:t xml:space="preserve">CADENCE MVP</w:t>
      </w:r>
    </w:p>
    <w:p>
      <w:pPr>
        <w:spacing w:after="120" w:before="0"/>
        <w:jc w:val="center"/>
      </w:pPr>
      <w:r>
        <w:rPr>
          <w:b/>
          <w:bCs/>
          <w:color w:val="3A3D42"/>
          <w:sz w:val="36"/>
          <w:szCs w:val="36"/>
        </w:rPr>
        <w:t xml:space="preserve">Session Wrap</w:t>
      </w:r>
    </w:p>
    <w:p>
      <w:pPr>
        <w:spacing w:after="240" w:before="0"/>
        <w:jc w:val="center"/>
      </w:pPr>
      <w:r>
        <w:rPr>
          <w:i/>
          <w:iCs/>
          <w:color w:val="B8907F"/>
          <w:sz w:val="22"/>
          <w:szCs w:val="22"/>
        </w:rPr>
        <w:t xml:space="preserve">April 30, 2026</w:t>
      </w:r>
    </w:p>
    <w:p>
      <w:pPr>
        <w:spacing w:after="320" w:before="0"/>
        <w:jc w:val="center"/>
      </w:pPr>
      <w:r>
        <w:rPr>
          <w:color w:val="3A3D42"/>
          <w:sz w:val="20"/>
          <w:szCs w:val="20"/>
        </w:rPr>
        <w:t xml:space="preserve">Sprint 0 Complete  |  Service Library Live  |  Compliance Inheritance Operational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8F5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✅  Sprint 0 Complete</w:t>
            </w:r>
          </w:p>
        </w:tc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8F5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✅  Commit 5e1ec24 Pushed</w:t>
            </w:r>
          </w:p>
        </w:tc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⏳  Sprint 1 Tomorrow</w:t>
            </w:r>
          </w:p>
        </w:tc>
      </w:tr>
    </w:tbl>
    <w:p>
      <w:pPr>
        <w:pStyle w:val="Heading1"/>
        <w:spacing w:after="160" w:before="320"/>
      </w:pPr>
      <w:r>
        <w:t xml:space="preserve">Headline</w:t>
      </w:r>
    </w:p>
    <w:p>
      <w:pPr>
        <w:spacing w:after="80" w:before="80"/>
      </w:pPr>
      <w:r>
        <w:t xml:space="preserve">Sprint 0 — Service Library Migration + Euphoria Backfill — is complete. The compliance inheritance moat is operational at the data layer. A Botox post in Euphoria's database now automatically inherits FDA boxed warning, trademark, and off-label restriction rules through database joins, with zero per-tenant configuration. This is the architectural foundation BEL Phase 1 (Sprint 4) builds on.</w:t>
      </w:r>
    </w:p>
    <w:p>
      <w:pPr>
        <w:spacing w:after="80" w:before="80"/>
        <w:rPr>
          <w:i/>
          <w:iCs/>
        </w:rPr>
      </w:pPr>
      <w:r>
        <w:rPr>
          <w:i/>
          <w:iCs/>
        </w:rPr>
        <w:t xml:space="preserve">This was a long session with real friction — three broken SQL files in a row, a partial backfill that needed remediation, and a library taxonomy that needed realignment to match med spa industry language. The data layer that emerged is substantially better than what would have shipped from a fast first pass. Real-world calibrated, industry-aligned, end-to-end verified.</w:t>
      </w:r>
    </w:p>
    <w:p>
      <w:pPr>
        <w:pStyle w:val="Heading1"/>
        <w:spacing w:after="160" w:before="320"/>
      </w:pPr>
      <w:r>
        <w:t xml:space="preserve">What we accomplished</w:t>
      </w:r>
    </w:p>
    <w:p>
      <w:pPr>
        <w:pStyle w:val="Heading2"/>
        <w:spacing w:after="120" w:before="240"/>
      </w:pPr>
      <w:r>
        <w:t xml:space="preserve">1. Service Library architecture shipped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Four new tables live in production: service_categories, service_library, product_library, compliance_rules.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Versioning support built in: compliance_rules has version, superseded_by, effective_date columns. Product library has last_verified_at and verification_source columns for the future trademark monitoring cron.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Library populated with 16 categories, 142 services, 67 products, 17 compliance rules — all calibrated against Euphoria's real-world data.</w:t>
      </w:r>
    </w:p>
    <w:p>
      <w:pPr>
        <w:pStyle w:val="Heading2"/>
        <w:spacing w:after="120" w:before="240"/>
      </w:pPr>
      <w:r>
        <w:t xml:space="preserve">2. Library categories rebuilt to match med spa reality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Original v1 used invented abstractions ("Neuromodulators," "Energy Devices," etc.). v1.1 realigned to Euphoria's actual category names: Neurotoxins, Fillers, IPL Laser, Fraxel, RF Microneedling, Microneedling — language real practices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Brand-attached services replaced brand-decoupled model. Library has explicit Botox, Dysport, Xeomin, Jeuveau, Daxxify entries because med spas track them as separate services.</w:t>
      </w:r>
    </w:p>
    <w:p>
      <w:pPr>
        <w:pStyle w:val="Heading2"/>
        <w:spacing w:after="120" w:before="240"/>
      </w:pPr>
      <w:r>
        <w:t xml:space="preserve">3. Library expanded through real-world calibration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v1.2 patch added 5 products (SaltMed, Compounded Semaglutide, Sermorelin, Zepbound, VI Peel) plus 1 service plus 2 compliance rules — each surfaced through Euphoria's data revealing gaps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v1.3 patch added 15 services after the full 130-row Euphoria service list revealed long-tail gaps (SkinVive variants, Sports Massage, Telehealth quartet, niche injections, VI Peel variants).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Sprint 0 closeout patch reflected Brianna's confirmations: 6 Juvederm Collection products + 2 skincare lines (Obagi, SkinBetter Science) added to Euphoria's products. Weight Loss Consult duplicates consolidated.</w:t>
      </w:r>
    </w:p>
    <w:p>
      <w:pPr>
        <w:pStyle w:val="Heading2"/>
        <w:spacing w:after="120" w:before="240"/>
      </w:pPr>
      <w:r>
        <w:t xml:space="preserve">4. Euphoria data 100% library-linked or explicitly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130 services: 128 mapped to library, 2 explicitly is_custom=TRUE (Salty Mermaid Facial, Tween Facial), 0 unresolved.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26 products: all 26 mapped to library entries (was 18, +8 from closeout patch).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Final unresolved count for Euphoria: zero. No silent gaps. Clean data layer.</w:t>
      </w:r>
    </w:p>
    <w:p>
      <w:pPr>
        <w:pStyle w:val="Heading2"/>
        <w:spacing w:after="120" w:before="240"/>
      </w:pPr>
      <w:r>
        <w:t xml:space="preserve">5. Compliance inheritance verified end-to-end</w:t>
      </w:r>
    </w:p>
    <w:p>
      <w:pPr>
        <w:spacing w:after="80" w:before="80"/>
      </w:pPr>
      <w:r>
        <w:t xml:space="preserve">Smoke test query confirmed compliance rules inherit automatically through library joins. Botox post returns three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CMP_001 (boxed_warning) — Cannot claim safe or risk-free, must reference distant spread of toxin effect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CMP_002 (trademark) — Use full trademark BOTOX® (onabotulinumtoxinA) on first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CMP_003 (off_label) — Off-label uses cannot be promoted as FDA-approved indications.</w:t>
      </w:r>
    </w:p>
    <w:p>
      <w:pPr>
        <w:spacing w:after="80" w:before="80"/>
      </w:pPr>
      <w:r>
        <w:t xml:space="preserve">Zero per-tenant configuration. The data model does the work. This is what Buffer, Hootsuite, and Later cannot do — and what Sprint 4 will turn into pre-publish enforcement.</w:t>
      </w:r>
    </w:p>
    <w:p>
      <w:pPr>
        <w:pStyle w:val="Heading2"/>
        <w:spacing w:after="120" w:before="240"/>
      </w:pPr>
      <w:r>
        <w:t xml:space="preserve">6. Repository state secured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All 8 Sprint 0 SQL files version-controlled in supabase/migrations/ with timestamped prefixes.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Single clean commit (5e1ec24) on origin/main with descriptive message documenting the architectural shift.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1,326 lines of new SQL committed and pushed.</w:t>
      </w:r>
    </w:p>
    <w:p>
      <w:pPr>
        <w:pStyle w:val="Heading1"/>
        <w:spacing w:after="160" w:before="320"/>
      </w:pPr>
      <w:r>
        <w:t xml:space="preserve">What we did NOT accomplish (and why that's correct)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Did NOT start Sprint 1 (PostWizard refactor). Spec is ready, build is tomorrow. Starting a 16-hour sprint at end of day was the wrong move.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Did NOT discard the unrelated test file modification. Need to do that tomorrow before Sprint 1 starts (`git checkout -- tests/seasonal-moments.test.ts`).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Did NOT draft Euphoria's practice_story seed data. Saved for tomorrow morning when fresh — the brand voice work deserves better cognitive resources than end-of-day.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Did NOT send Brianna the confirmation message. Drafted, ready to send when convenient.</w:t>
      </w:r>
    </w:p>
    <w:p>
      <w:pPr>
        <w:pStyle w:val="Heading1"/>
        <w:spacing w:after="160" w:before="320"/>
      </w:pPr>
      <w:r>
        <w:t xml:space="preserve">Process failures and fixes</w:t>
      </w:r>
    </w:p>
    <w:p>
      <w:pPr>
        <w:spacing w:after="80" w:before="80"/>
      </w:pPr>
      <w:r>
        <w:t xml:space="preserve">Honest documentation of the friction in this session. Process changes are now permanent.</w:t>
      </w:r>
    </w:p>
    <w:p>
      <w:pPr>
        <w:pStyle w:val="Heading2"/>
        <w:spacing w:after="120" w:before="240"/>
      </w:pPr>
      <w:r>
        <w:t xml:space="preserve">What went wrong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Three broken SQL files shipped consecutively. First file had silent transaction rollback from services/org_products collisions. Second file had inline comments breaking VALUES parsing. Third file had a string literal containing a semicolon that confused regex-based statement splitting.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Backfill mapping was incomplete. Built from a 100-row diagnostic query result that was actually display-truncated. Full Euphoria service count was 130. Missed 30 services. Caught only because of a safety-check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Library categories were invented rather than derived from real customer data. Required v1.1 realignment to fix.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Setup instructions for repo migration promotion were ambiguous. Listed filenames as code that triggered command-not-found errors when pasted.</w:t>
      </w:r>
    </w:p>
    <w:p>
      <w:pPr>
        <w:pStyle w:val="Heading2"/>
        <w:spacing w:after="120" w:before="240"/>
      </w:pPr>
      <w:r>
        <w:t xml:space="preserve">Root causes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Treating SQL like text instead of grammar. Hand-rolled regex string manipulation rather than using a real SQL parser.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Treating user-pasted query results as exhaustive without verifying row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Designing taxonomy from first principles instead of from real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Mixing reference content with executable instructions in the same code block.</w:t>
      </w:r>
    </w:p>
    <w:p>
      <w:pPr>
        <w:pStyle w:val="Heading2"/>
        <w:spacing w:after="120" w:before="240"/>
      </w:pPr>
      <w:r>
        <w:t xml:space="preserve">Workflow changes — permanent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All SQL deliverables parsed through sqlparse before delivery. Lint check confirms balanced parens, no truncated strings, valid statement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Tenant-data migrations require SELECT COUNT(*) ground truth confirmation BEFORE writing any UPDATE statements. Mapping universe must equal source-of-truth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Dangling-FK reference validation. Every library_id referenced in a backfill is checked against the seeded library before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Safety queries baked into every backfill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Diagnostic-first approach for any migration touching tenant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Real-data calibration over invented abstractions.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Reference content (filename lists, schema examples) clearly labeled as non-executable in instructions.</w:t>
      </w:r>
    </w:p>
    <w:p>
      <w:pPr>
        <w:pStyle w:val="Heading2"/>
        <w:spacing w:after="120" w:before="240"/>
      </w:pPr>
      <w:r>
        <w:t xml:space="preserve">What went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Diagnostic queries were requested before any backfill SQL was written — workflow that surfaced the 130 vs 100 mismatch.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Each broken SQL file was diagnosed, fixed, and validated before re-delivery rather than papered 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Real-data calibration happened. Library is substantially better than what would have shipped fast.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Compliance inheritance verified end-to-end before declaring Sprint 0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Stopped at the right moment. Did not push into Sprint 1 build at end of long day.</w:t>
      </w:r>
    </w:p>
    <w:p>
      <w:pPr>
        <w:pStyle w:val="Heading1"/>
        <w:spacing w:after="160" w:before="320"/>
      </w:pPr>
      <w:r>
        <w:t xml:space="preserve">Final data layer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Row Count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service_categories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16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Euphoria-aligned naming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service_library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142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v1.1 (127) + v1.2 (1) + v1.3 (15) - 1 orphan removed in closeout = 142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product_library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67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Includes pharmaceutical class for compounded peptides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compliance_rules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17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Versioned for audit trail when FDA guidance changes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services (Euphoria)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130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128 library-linked, 2 explicitly custom, 0 unresolved</w:t>
            </w:r>
          </w:p>
        </w:tc>
      </w:tr>
      <w:tr>
        <w:tc>
          <w:tcPr>
            <w:tcW w:type="dxa" w:w="312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products (Euphoria)</w:t>
            </w:r>
          </w:p>
        </w:tc>
        <w:tc>
          <w:tcPr>
            <w:tcW w:type="dxa" w:w="1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26</w:t>
            </w:r>
          </w:p>
        </w:tc>
        <w:tc>
          <w:tcPr>
            <w:tcW w:type="dxa" w:w="444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A3D42"/>
                <w:sz w:val="20"/>
                <w:szCs w:val="20"/>
              </w:rPr>
              <w:t xml:space="preserve">All 26 library-linked</w:t>
            </w:r>
          </w:p>
        </w:tc>
      </w:tr>
    </w:tbl>
    <w:p>
      <w:pPr>
        <w:pStyle w:val="Heading1"/>
        <w:spacing w:after="160" w:before="320"/>
      </w:pPr>
      <w:r>
        <w:t xml:space="preserve">New strategic findings</w:t>
      </w:r>
    </w:p>
    <w:p>
      <w:pPr>
        <w:pStyle w:val="Heading2"/>
        <w:spacing w:after="120" w:before="240"/>
      </w:pPr>
      <w:r>
        <w:t xml:space="preserve">Euphoria Wellness Primary Care is not a Cadence customer</w:t>
      </w:r>
    </w:p>
    <w:p>
      <w:pPr>
        <w:spacing w:after="80" w:before="80"/>
      </w:pPr>
      <w:r>
        <w:t xml:space="preserve">Surfaced near end of session: Daisy (currently in practitioners table) is a Medical Assistant at Euphoria Wellness Primary Care, not Euphoria Esthetics. Primary Care is a separate business and Cadence is not pitched at it — primary care offices compete on insurance acceptance and word-of-mouth, not Instagram aesthetics.</w:t>
      </w:r>
    </w:p>
    <w:p>
      <w:pPr>
        <w:spacing w:after="80" w:before="80"/>
      </w:pPr>
      <w:r>
        <w:t xml:space="preserve">Implications: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 second Cadence org needed for Primary Care.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Daisy should eventually be removed from the practitioners table. Not blocking, but flagged as tidy-up for next time we're in that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The existing single-org setup for Euphoria Esthetics (UUID 74b04f56-8cf0-7427-b977-7574b183226d) remains correct.</w:t>
      </w:r>
    </w:p>
    <w:p>
      <w:pPr>
        <w:pStyle w:val="Heading2"/>
        <w:spacing w:after="120" w:before="240"/>
      </w:pPr>
      <w:r>
        <w:t xml:space="preserve">Service composition junction needed before customer #5</w:t>
      </w:r>
    </w:p>
    <w:p>
      <w:pPr>
        <w:spacing w:after="80" w:before="80"/>
      </w:pPr>
      <w:r>
        <w:t xml:space="preserve">Custom packages like Salty Mermaid Facial ("Salt Facial + Vamp Treatment + IV therapy") are flagged is_custom=TRUE and inherit no compliance rules — because the custom row has no library link. This is acceptable for v1 but breaks down when customers build packages combining 3+ library services.</w:t>
      </w:r>
    </w:p>
    <w:p>
      <w:pPr>
        <w:spacing w:after="80" w:before="80"/>
      </w:pPr>
      <w:r>
        <w:t xml:space="preserve">Future enhancement: service_composition junction table letting custom packages reference 1-N library entries for compliance inheritance. Bare minimum needs to exist before customer #5 builds their first package, or BEL can't reason about packages and either waves them through (compliance gap) or blocks them (broken UX).</w:t>
      </w:r>
    </w:p>
    <w:p>
      <w:pPr>
        <w:pStyle w:val="Heading2"/>
        <w:spacing w:after="120" w:before="240"/>
      </w:pPr>
      <w:r>
        <w:t xml:space="preserve">Skincare line granularity is shallow</w:t>
      </w:r>
    </w:p>
    <w:p>
      <w:pPr>
        <w:spacing w:after="80" w:before="80"/>
      </w:pPr>
      <w:r>
        <w:t xml:space="preserve">Three skincare brands (SkinMedica, SkinBetter, Obagi) stored as single product rows each, not as individual SKUs. Limits content generation — "a post about your retinol" needs to know whether you carry SkinMedica HA5 vs Obagi Professional-C.</w:t>
      </w:r>
    </w:p>
    <w:p>
      <w:pPr>
        <w:spacing w:after="80" w:before="80"/>
      </w:pPr>
      <w:r>
        <w:t xml:space="preserve">Long-term fix: parent-child structure (brand → SKU). Not worth building now. Worth flagging for post-MVP era — once you have ~50 customers, you'll want SKU-level content generation.</w:t>
      </w:r>
    </w:p>
    <w:p>
      <w:pPr>
        <w:pStyle w:val="Heading1"/>
        <w:spacing w:after="160" w:before="320"/>
      </w:pPr>
      <w:r>
        <w:t xml:space="preserve">Current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shd w:fill="EFE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A3D4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Send Brianna confirmation message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Drafted in chat. 5 confirmations as paper trail.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Discard tests/seasonal-moments.test.ts modification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Run before Sprint 1 starts. Broken refactor leftover.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Draft Euphoria practice_story seed data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Tomorrow morning. ~20 min of writing what makes Euphoria distinctive.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Eventually remove Daisy from practitioners table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She's at Primary Care, not Esthetics. 30-second SQL when ready.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OAuth — Brianna and Michelle availability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Required before Schedule My Week can publish. Carryover.</w:t>
            </w:r>
          </w:p>
        </w:tc>
      </w:tr>
      <w:tr>
        <w:tc>
          <w:tcPr>
            <w:tcW w:type="dxa" w:w="38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Verify Euphoria brand hex values at desktop</w:t>
            </w:r>
          </w:p>
        </w:tc>
        <w:tc>
          <w:tcPr>
            <w:tcW w:type="dxa" w:w="200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Kevin</w:t>
            </w:r>
          </w:p>
        </w:tc>
        <w:tc>
          <w:tcPr>
            <w:tcW w:type="dxa" w:w="3560"/>
            <w:tcBorders>
              <w:top w:val="single" w:color="D6D6D6" w:sz="4"/>
              <w:left w:val="single" w:color="D6D6D6" w:sz="4"/>
              <w:bottom w:val="single" w:color="D6D6D6" w:sz="4"/>
              <w:right w:val="single" w:color="D6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A3D42"/>
                <w:sz w:val="20"/>
                <w:szCs w:val="20"/>
              </w:rPr>
              <w:t xml:space="preserve">DevTools color-picker check. Carryover.</w:t>
            </w:r>
          </w:p>
        </w:tc>
      </w:tr>
    </w:tbl>
    <w:p>
      <w:pPr>
        <w:pStyle w:val="Heading1"/>
        <w:spacing w:after="160" w:before="320"/>
      </w:pPr>
      <w:r>
        <w:t xml:space="preserve">Final note</w:t>
      </w:r>
    </w:p>
    <w:p>
      <w:pPr>
        <w:spacing w:after="80" w:before="80"/>
      </w:pPr>
      <w:r>
        <w:t xml:space="preserve">Sprint 0 was hard but the right work. The Service Library + compliance inheritance is not a feature — it's a moat. Every Botox post inherits the FDA boxed warning rule automatically. Every Sculptra post inherits the series-treatment disclosure. None of it requires per-customer setup.</w:t>
      </w:r>
    </w:p>
    <w:p>
      <w:pPr>
        <w:spacing w:after="80" w:before="80"/>
      </w:pPr>
      <w:r>
        <w:t xml:space="preserve">Buffer schedules posts. Hootsuite schedules posts. Later schedules posts. Cadence schedules posts that won't get the practice a warning letter from the FDA. That's the $199/month story, and it's now operational.</w:t>
      </w:r>
    </w:p>
    <w:p>
      <w:pPr>
        <w:spacing w:after="80" w:before="80"/>
        <w:rPr>
          <w:b/>
          <w:bCs/>
          <w:i/>
          <w:iCs/>
          <w:color w:val="B8907F"/>
        </w:rPr>
      </w:pPr>
      <w:r>
        <w:rPr>
          <w:b/>
          <w:bCs/>
          <w:i/>
          <w:iCs/>
          <w:color w:val="B8907F"/>
        </w:rPr>
        <w:t xml:space="preserve">Sprint 1 starts tomorrow morning. Coffee, then PostWizard refactor.</w:t>
      </w:r>
    </w:p>
    <w:p>
      <w:pPr>
        <w:spacing w:before="480"/>
      </w:pPr>
      <w:r>
        <w:t xml:space="preserve"/>
      </w:r>
    </w:p>
    <w:p>
      <w:pPr>
        <w:pBdr>
          <w:top w:val="single" w:color="B8907F" w:sz="6" w:space="8"/>
        </w:pBdr>
        <w:spacing w:before="200"/>
        <w:jc w:val="center"/>
      </w:pPr>
      <w:r>
        <w:rPr>
          <w:color w:val="3A3D42"/>
          <w:sz w:val="18"/>
          <w:szCs w:val="18"/>
        </w:rPr>
        <w:t xml:space="preserve">RecurSocial LLC  |  Confidential &amp; Proprietary  |  cadence-mvp.vercel.app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D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A3D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90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2026-05-01T02:49:25.088Z</dcterms:created>
  <dcterms:modified xsi:type="dcterms:W3CDTF">2026-05-01T02:49:25.089Z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