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/>
      </w:pPr>
      <w:r>
        <w:rPr>
          <w:rFonts w:ascii="Aptos" w:hAnsi="Aptos"/>
          <w:b/>
          <w:color w:val="087E8B"/>
          <w:sz w:val="30"/>
        </w:rPr>
        <w:t>CARE-AI</w:t>
      </w:r>
    </w:p>
    <w:p>
      <w:pPr>
        <w:spacing w:after="200" w:line="240" w:lineRule="auto"/>
      </w:pPr>
      <w:r>
        <w:rPr>
          <w:rFonts w:ascii="Aptos" w:hAnsi="Aptos"/>
          <w:b/>
          <w:color w:val="0B1220"/>
          <w:sz w:val="68"/>
        </w:rPr>
        <w:t>V1 Architecture</w:t>
        <w:br/>
        <w:t>&amp; Build Plan</w:t>
      </w:r>
    </w:p>
    <w:p>
      <w:pPr>
        <w:spacing w:after="480"/>
      </w:pPr>
      <w:r>
        <w:rPr>
          <w:rFonts w:ascii="Aptos" w:hAnsi="Aptos"/>
          <w:i w:val="0"/>
          <w:color w:val="64748B"/>
          <w:sz w:val="28"/>
        </w:rPr>
        <w:t>SLM-first longitudinal patient intelligence and early-warning prototype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1"/>
        </w:trPr>
        <w:tc>
          <w:tcPr>
            <w:tcW w:type="dxa" w:w="10166"/>
            <w:shd w:fill="087E8B"/>
          </w:tcPr>
          <w:p>
            <w:r/>
          </w:p>
        </w:tc>
      </w:tr>
    </w:tbl>
    <w:p>
      <w:pPr>
        <w:spacing w:after="80"/>
      </w:pPr>
      <w:r>
        <w:rPr>
          <w:rFonts w:ascii="Aptos" w:hAnsi="Aptos"/>
          <w:i w:val="0"/>
          <w:color w:val="243449"/>
          <w:sz w:val="19"/>
        </w:rPr>
      </w:r>
    </w:p>
    <w:p>
      <w:pPr>
        <w:spacing w:after="400"/>
      </w:pPr>
      <w:r>
        <w:rPr>
          <w:rFonts w:ascii="Aptos" w:hAnsi="Aptos"/>
          <w:i w:val="0"/>
          <w:color w:val="243449"/>
          <w:sz w:val="24"/>
        </w:rPr>
        <w:t>A practical first version optimized for local development, lower inference cost, traceable evidence, and human oversight.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0" w:color="FFF7E6"/>
              <w:left w:val="single" w:sz="0" w:color="FFF7E6"/>
              <w:bottom w:val="single" w:sz="0" w:color="FFF7E6"/>
              <w:right w:val="single" w:sz="0" w:color="FFF7E6"/>
              <w:insideH w:val="single" w:sz="0" w:color="FFF7E6"/>
              <w:insideV w:val="single" w:sz="0" w:color="FFF7E6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A5A0A"/>
                <w:sz w:val="18"/>
              </w:rPr>
              <w:t>IMPORTANT SAFETY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243449"/>
                <w:sz w:val="17"/>
              </w:rPr>
              <w:t>This is an educational engineering prototype using synthetic/demo data. It is not clinically validated, does not diagnose or treat, and must not be used to make real clinical decisions. The 0–100 signal index is a rule-based demo value, not a clinical risk probability.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/>
          <w:i w:val="0"/>
          <w:color w:val="64748B"/>
          <w:sz w:val="18"/>
        </w:rPr>
        <w:t>Scope: First working slice  •  Stack: FastAPI + SQLite + static dashboard  •  AI: optional local SLM, optional isolated LLM narration</w:t>
      </w:r>
    </w:p>
    <w:p>
      <w:pPr>
        <w:spacing w:after="80"/>
      </w:pPr>
      <w:r>
        <w:rPr>
          <w:rFonts w:ascii="Aptos" w:hAnsi="Aptos"/>
          <w:i w:val="0"/>
          <w:color w:val="64748B"/>
          <w:sz w:val="18"/>
        </w:rPr>
        <w:t>Version 1.0  |  October 2026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01 / OVERVIEW</w:t>
      </w:r>
    </w:p>
    <w:p>
      <w:pPr>
        <w:pStyle w:val="Heading1"/>
      </w:pPr>
      <w:r>
        <w:t>Executive summary</w:t>
      </w:r>
    </w:p>
    <w:p>
      <w:pPr>
        <w:spacing w:after="160"/>
      </w:pPr>
      <w:r>
        <w:rPr>
          <w:rFonts w:ascii="Aptos" w:hAnsi="Aptos"/>
          <w:i w:val="0"/>
          <w:color w:val="64748B"/>
          <w:sz w:val="18"/>
        </w:rPr>
        <w:t>The source blueprint describes longitudinal patient-state monitoring, specialized analysis, evidence-backed warnings, uncertainty handling, auditability, and clinician decision authority. V1 preserves these principles and trims the infrastructure to a testable local system.</w:t>
      </w:r>
    </w:p>
    <w:p>
      <w:pPr>
        <w:spacing w:after="80"/>
      </w:pPr>
      <w:r>
        <w:rPr>
          <w:rFonts w:ascii="Aptos" w:hAnsi="Aptos"/>
          <w:i w:val="0"/>
          <w:color w:val="243449"/>
          <w:sz w:val="19"/>
        </w:rPr>
        <w:t>CARE-AI should not be built as one large language-model prompt. It should assemble a timestamped patient timeline, calculate personal baselines, detect meaningful changes with normal code, extract note phrases only when needed, link each finding to evidence, and let a separate safety gate decide whether the software should monitor, request review, or abstain.</w:t>
      </w:r>
    </w:p>
    <w:p>
      <w:pPr>
        <w:pStyle w:val="Heading2"/>
      </w:pPr>
      <w:r>
        <w:t>V1 success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691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512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416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 behavior</w:t>
            </w:r>
          </w:p>
        </w:tc>
      </w:tr>
      <w:tr>
        <w:tc>
          <w:tcPr>
            <w:tcW w:type="dxa" w:w="69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1</w:t>
            </w:r>
          </w:p>
        </w:tc>
        <w:tc>
          <w:tcPr>
            <w:tcW w:type="dxa" w:w="151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Ingest</w:t>
            </w:r>
          </w:p>
        </w:tc>
        <w:tc>
          <w:tcPr>
            <w:tcW w:type="dxa" w:w="7416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Validate a vital/lab measurement or a synthetic note.</w:t>
            </w:r>
          </w:p>
        </w:tc>
      </w:tr>
      <w:tr>
        <w:tc>
          <w:tcPr>
            <w:tcW w:type="dxa" w:w="69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2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Compare</w:t>
            </w:r>
          </w:p>
        </w:tc>
        <w:tc>
          <w:tcPr>
            <w:tcW w:type="dxa" w:w="7416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Build the timeline and personal baseline; calculate deltas and recent trends.</w:t>
            </w:r>
          </w:p>
        </w:tc>
      </w:tr>
      <w:tr>
        <w:tc>
          <w:tcPr>
            <w:tcW w:type="dxa" w:w="69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3</w:t>
            </w:r>
          </w:p>
        </w:tc>
        <w:tc>
          <w:tcPr>
            <w:tcW w:type="dxa" w:w="151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Extract</w:t>
            </w:r>
          </w:p>
        </w:tc>
        <w:tc>
          <w:tcPr>
            <w:tcW w:type="dxa" w:w="7416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Use a local SLM for explicit note mentions only when configured; otherwise use deterministic phrase matching.</w:t>
            </w:r>
          </w:p>
        </w:tc>
      </w:tr>
      <w:tr>
        <w:tc>
          <w:tcPr>
            <w:tcW w:type="dxa" w:w="69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4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Score</w:t>
            </w:r>
          </w:p>
        </w:tc>
        <w:tc>
          <w:tcPr>
            <w:tcW w:type="dxa" w:w="7416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Calculate a documented demonstration index; never claim clinical probability without a validated model.</w:t>
            </w:r>
          </w:p>
        </w:tc>
      </w:tr>
      <w:tr>
        <w:tc>
          <w:tcPr>
            <w:tcW w:type="dxa" w:w="69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5</w:t>
            </w:r>
          </w:p>
        </w:tc>
        <w:tc>
          <w:tcPr>
            <w:tcW w:type="dxa" w:w="151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Gate</w:t>
            </w:r>
          </w:p>
        </w:tc>
        <w:tc>
          <w:tcPr>
            <w:tcW w:type="dxa" w:w="7416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Attach evidence and apply a deterministic data-quality/safety check.</w:t>
            </w:r>
          </w:p>
        </w:tc>
      </w:tr>
      <w:tr>
        <w:tc>
          <w:tcPr>
            <w:tcW w:type="dxa" w:w="69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6</w:t>
            </w:r>
          </w:p>
        </w:tc>
        <w:tc>
          <w:tcPr>
            <w:tcW w:type="dxa" w:w="151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Review</w:t>
            </w:r>
          </w:p>
        </w:tc>
        <w:tc>
          <w:tcPr>
            <w:tcW w:type="dxa" w:w="7416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7"/>
              </w:rPr>
              <w:t>Display the result and let a human record a review outcome; audit each workflow.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Non-negotiable principles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Deterministic core, probabilistic text extraction: never call an LLM to calculate a baseline, compare two values, validate a unit, or persist a record.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Source-grounded evidence: measurements remain in the database; extracted phrases must be found in the source note or be discarded.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Safety can abstain: absent, inadequate, inconsistent or failed inputs must not result in an invented score.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Human decision authority: the UI is a decision-support prototype only; it does not prescribe, diagnose or autonomously act.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No unsupported validation claims: there is no labeled clinical outcome dataset included, so V1 does not provide a trained clinical predictor.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02 / SCOPE</w:t>
      </w:r>
    </w:p>
    <w:p>
      <w:pPr>
        <w:pStyle w:val="Heading1"/>
      </w:pPr>
      <w:r>
        <w:t>What to build in V1</w:t>
      </w:r>
    </w:p>
    <w:p>
      <w:pPr>
        <w:spacing w:after="160"/>
      </w:pPr>
      <w:r>
        <w:rPr>
          <w:rFonts w:ascii="Aptos" w:hAnsi="Aptos"/>
          <w:i w:val="0"/>
          <w:color w:val="64748B"/>
          <w:sz w:val="18"/>
        </w:rPr>
        <w:t>One modular monolith is deliberate: fewer moving parts, lower cost, local operation, and simpler debugging while the end-to-end data flow is proved.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38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Included in V1</w:t>
            </w:r>
          </w:p>
        </w:tc>
        <w:tc>
          <w:tcPr>
            <w:tcW w:type="dxa" w:w="4781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Deferred until justified</w:t>
            </w:r>
          </w:p>
        </w:tc>
      </w:tr>
      <w:tr>
        <w:tc>
          <w:tcPr>
            <w:tcW w:type="dxa" w:w="4838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Patient labels, synthetic observations, notes, assessments, reviews and audit records</w:t>
            </w:r>
          </w:p>
        </w:tc>
        <w:tc>
          <w:tcPr>
            <w:tcW w:type="dxa" w:w="478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Production identity provider, SSO and multi-organization access</w:t>
            </w:r>
          </w:p>
        </w:tc>
      </w:tr>
      <w:tr>
        <w:tc>
          <w:tcPr>
            <w:tcW w:type="dxa" w:w="4838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SQLite source of truth, FastAPI/Pydantic validation, OpenAPI docs</w:t>
            </w:r>
          </w:p>
        </w:tc>
        <w:tc>
          <w:tcPr>
            <w:tcW w:type="dxa" w:w="478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PostgreSQL, managed object storage and event streaming</w:t>
            </w:r>
          </w:p>
        </w:tc>
      </w:tr>
      <w:tr>
        <w:tc>
          <w:tcPr>
            <w:tcW w:type="dxa" w:w="4838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Personal baseline, trend/change rules and transparent demo signal index</w:t>
            </w:r>
          </w:p>
        </w:tc>
        <w:tc>
          <w:tcPr>
            <w:tcW w:type="dxa" w:w="478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Trained forecasting model; LSTM/Transformer; model registry</w:t>
            </w:r>
          </w:p>
        </w:tc>
      </w:tr>
      <w:tr>
        <w:tc>
          <w:tcPr>
            <w:tcW w:type="dxa" w:w="4838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Local Ollama SLM adapter and deterministic fallback for note extraction</w:t>
            </w:r>
          </w:p>
        </w:tc>
        <w:tc>
          <w:tcPr>
            <w:tcW w:type="dxa" w:w="478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Multi-model agent framework, multiple deployed services and GPU fleet</w:t>
            </w:r>
          </w:p>
        </w:tc>
      </w:tr>
      <w:tr>
        <w:tc>
          <w:tcPr>
            <w:tcW w:type="dxa" w:w="4838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Evidence builder and deterministic safety/abstention gate</w:t>
            </w:r>
          </w:p>
        </w:tc>
        <w:tc>
          <w:tcPr>
            <w:tcW w:type="dxa" w:w="478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Vector DB / RAG, clinical guideline ingestion, OCR, medical imaging</w:t>
            </w:r>
          </w:p>
        </w:tc>
      </w:tr>
      <w:tr>
        <w:tc>
          <w:tcPr>
            <w:tcW w:type="dxa" w:w="4838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Static dashboard served directly by FastAPI; local scripts, tests and optional Docker</w:t>
            </w:r>
          </w:p>
        </w:tc>
        <w:tc>
          <w:tcPr>
            <w:tcW w:type="dxa" w:w="478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Cloud production operations, FHIR integration, prospective validation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Cost-first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99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60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V1 choice</w:t>
            </w:r>
          </w:p>
        </w:tc>
        <w:tc>
          <w:tcPr>
            <w:tcW w:type="dxa" w:w="432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6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UI</w:t>
            </w:r>
          </w:p>
        </w:tc>
        <w:tc>
          <w:tcPr>
            <w:tcW w:type="dxa" w:w="360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HTML + CSS + vanilla JavaScript, served by FastAPI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No separate Node build or frontend server required</w:t>
            </w:r>
          </w:p>
        </w:tc>
      </w:tr>
      <w:tr>
        <w:tc>
          <w:tcPr>
            <w:tcW w:type="dxa" w:w="16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API / application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Python 3.11+ + FastAPI + Pydantic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Typed validation, API docs, one service</w:t>
            </w:r>
          </w:p>
        </w:tc>
      </w:tr>
      <w:tr>
        <w:tc>
          <w:tcPr>
            <w:tcW w:type="dxa" w:w="16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Persistence</w:t>
            </w:r>
          </w:p>
        </w:tc>
        <w:tc>
          <w:tcPr>
            <w:tcW w:type="dxa" w:w="360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SQLite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Zero separate database server for local prototype</w:t>
            </w:r>
          </w:p>
        </w:tc>
      </w:tr>
      <w:tr>
        <w:tc>
          <w:tcPr>
            <w:tcW w:type="dxa" w:w="16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Numeric reasoning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Python statistics + transparent rules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No token cost, easy to audit and unit test</w:t>
            </w:r>
          </w:p>
        </w:tc>
      </w:tr>
      <w:tr>
        <w:tc>
          <w:tcPr>
            <w:tcW w:type="dxa" w:w="16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SLM</w:t>
            </w:r>
          </w:p>
        </w:tc>
        <w:tc>
          <w:tcPr>
            <w:tcW w:type="dxa" w:w="360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Ollama-compatible local model, configurable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Optional local note phrase extraction; no cloud call by default</w:t>
            </w:r>
          </w:p>
        </w:tc>
      </w:tr>
      <w:tr>
        <w:tc>
          <w:tcPr>
            <w:tcW w:type="dxa" w:w="16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LLM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OpenAI-compatible adapter; off by default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Wording-only helper, not allowed to set score/status</w:t>
            </w:r>
          </w:p>
        </w:tc>
      </w:tr>
      <w:tr>
        <w:tc>
          <w:tcPr>
            <w:tcW w:type="dxa" w:w="16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QA / packaging</w:t>
            </w:r>
          </w:p>
        </w:tc>
        <w:tc>
          <w:tcPr>
            <w:tcW w:type="dxa" w:w="360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pytest, Docker optional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Repeatable local checks, simple deployment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8"/>
            <w:tcBorders>
              <w:top w:val="single" w:sz="0" w:color="EAF6F8"/>
              <w:left w:val="single" w:sz="0" w:color="EAF6F8"/>
              <w:bottom w:val="single" w:sz="0" w:color="EAF6F8"/>
              <w:right w:val="single" w:sz="0" w:color="EAF6F8"/>
              <w:insideH w:val="single" w:sz="0" w:color="EAF6F8"/>
              <w:insideV w:val="single" w:sz="0" w:color="EAF6F8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87E8B"/>
                <w:sz w:val="18"/>
              </w:rPr>
              <w:t>WHY NOT LANGGRAPH / VECTOR DB / TRANSFORMER YET?</w:t>
            </w:r>
          </w:p>
          <w:p>
            <w:pPr>
              <w:spacing w:after="0"/>
            </w:pPr>
            <w:r>
              <w:rPr>
                <w:rFonts w:ascii="Aptos" w:hAnsi="Aptos"/>
                <w:color w:val="243449"/>
                <w:sz w:val="17"/>
              </w:rPr>
              <w:t>The first milestone should validate the ingestion-to-review flow. Add orchestration frameworks, semantic retrieval and temporal neural models only when measured workflow complexity, an approved evidence collection, or labeled data justify the extra cost and operational burden.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03 / MODEL ROUTING</w:t>
      </w:r>
    </w:p>
    <w:p>
      <w:pPr>
        <w:pStyle w:val="Heading1"/>
      </w:pPr>
      <w:r>
        <w:t>SLM-first, LLM-optional design</w:t>
      </w:r>
    </w:p>
    <w:p>
      <w:pPr>
        <w:spacing w:after="160"/>
      </w:pPr>
      <w:r>
        <w:rPr>
          <w:rFonts w:ascii="Aptos" w:hAnsi="Aptos"/>
          <w:i w:val="0"/>
          <w:color w:val="64748B"/>
          <w:sz w:val="18"/>
        </w:rPr>
        <w:t>The lowest-cost model call is the one not made. Keep numerical and safety operations in ordinary code; use language models only for constrained text tasks.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31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83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mechanism</w:t>
            </w:r>
          </w:p>
        </w:tc>
        <w:tc>
          <w:tcPr>
            <w:tcW w:type="dxa" w:w="4205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Model policy / guardrail</w:t>
            </w:r>
          </w:p>
        </w:tc>
      </w:tr>
      <w:tr>
        <w:tc>
          <w:tcPr>
            <w:tcW w:type="dxa" w:w="213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Schema validation, unit checks, timestamps, duplicate prevention</w:t>
            </w:r>
          </w:p>
        </w:tc>
        <w:tc>
          <w:tcPr>
            <w:tcW w:type="dxa" w:w="328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Pydantic + Python</w:t>
            </w:r>
          </w:p>
        </w:tc>
        <w:tc>
          <w:tcPr>
            <w:tcW w:type="dxa" w:w="4205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 model call</w:t>
            </w:r>
          </w:p>
        </w:tc>
      </w:tr>
      <w:tr>
        <w:tc>
          <w:tcPr>
            <w:tcW w:type="dxa" w:w="213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History, timeline and patient baseline</w:t>
            </w:r>
          </w:p>
        </w:tc>
        <w:tc>
          <w:tcPr>
            <w:tcW w:type="dxa" w:w="328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SQLite queries + Python median/delta/trend</w:t>
            </w:r>
          </w:p>
        </w:tc>
        <w:tc>
          <w:tcPr>
            <w:tcW w:type="dxa" w:w="4205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 model call</w:t>
            </w:r>
          </w:p>
        </w:tc>
      </w:tr>
      <w:tr>
        <w:tc>
          <w:tcPr>
            <w:tcW w:type="dxa" w:w="213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Significant-change gate</w:t>
            </w:r>
          </w:p>
        </w:tc>
        <w:tc>
          <w:tcPr>
            <w:tcW w:type="dxa" w:w="328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Deterministic rules</w:t>
            </w:r>
          </w:p>
        </w:tc>
        <w:tc>
          <w:tcPr>
            <w:tcW w:type="dxa" w:w="4205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 model call; log reasons</w:t>
            </w:r>
          </w:p>
        </w:tc>
      </w:tr>
      <w:tr>
        <w:tc>
          <w:tcPr>
            <w:tcW w:type="dxa" w:w="213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Demo signal index</w:t>
            </w:r>
          </w:p>
        </w:tc>
        <w:tc>
          <w:tcPr>
            <w:tcW w:type="dxa" w:w="328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Versioned rule weights</w:t>
            </w:r>
          </w:p>
        </w:tc>
        <w:tc>
          <w:tcPr>
            <w:tcW w:type="dxa" w:w="4205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Not a clinical probability; no LLM override</w:t>
            </w:r>
          </w:p>
        </w:tc>
      </w:tr>
      <w:tr>
        <w:tc>
          <w:tcPr>
            <w:tcW w:type="dxa" w:w="213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Note phrase extraction</w:t>
            </w:r>
          </w:p>
        </w:tc>
        <w:tc>
          <w:tcPr>
            <w:tcW w:type="dxa" w:w="328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Local Ollama SLM when configured</w:t>
            </w:r>
          </w:p>
        </w:tc>
        <w:tc>
          <w:tcPr>
            <w:tcW w:type="dxa" w:w="4205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JSON schema; source-grounding checks; deterministic fallback on error</w:t>
            </w:r>
          </w:p>
        </w:tc>
      </w:tr>
      <w:tr>
        <w:tc>
          <w:tcPr>
            <w:tcW w:type="dxa" w:w="213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Evidence assembly</w:t>
            </w:r>
          </w:p>
        </w:tc>
        <w:tc>
          <w:tcPr>
            <w:tcW w:type="dxa" w:w="328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Source IDs and exact note phrase references</w:t>
            </w:r>
          </w:p>
        </w:tc>
        <w:tc>
          <w:tcPr>
            <w:tcW w:type="dxa" w:w="4205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 model-generated source facts</w:t>
            </w:r>
          </w:p>
        </w:tc>
      </w:tr>
      <w:tr>
        <w:tc>
          <w:tcPr>
            <w:tcW w:type="dxa" w:w="2131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Safety gate</w:t>
            </w:r>
          </w:p>
        </w:tc>
        <w:tc>
          <w:tcPr>
            <w:tcW w:type="dxa" w:w="328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Deterministic minimum-data and validity checks</w:t>
            </w:r>
          </w:p>
        </w:tc>
        <w:tc>
          <w:tcPr>
            <w:tcW w:type="dxa" w:w="4205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Can abstain even if a score was tentatively calculated</w:t>
            </w:r>
          </w:p>
        </w:tc>
      </w:tr>
      <w:tr>
        <w:tc>
          <w:tcPr>
            <w:tcW w:type="dxa" w:w="2131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Readable summary</w:t>
            </w:r>
          </w:p>
        </w:tc>
        <w:tc>
          <w:tcPr>
            <w:tcW w:type="dxa" w:w="328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Deterministic template</w:t>
            </w:r>
          </w:p>
        </w:tc>
        <w:tc>
          <w:tcPr>
            <w:tcW w:type="dxa" w:w="4205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Optional larger LLM only rephrases de-identified metadata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Model integration contracts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SLM returns structured mention objects, not diagnoses or treatment recommendations. Output that cannot be grounded in the note is rejected.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If Ollama is missing, offline or times out, the backend continues with deterministic extraction and exposes `rules` or `fallback` metadata.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LLM narration is disabled by default. When deliberately enabled, the request contains only counts, score, state and evidence types—not patient IDs, names, raw notes or exact note text.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The LLM response can only replace wording. It cannot change the numeric index, status, evidence, safety reasons or reviewer outcome.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Never commit `.env` or API keys. Hosted inference may incur cost and needs provider privacy review before use.</w:t>
      </w:r>
    </w:p>
    <w:p>
      <w:pPr>
        <w:spacing w:before="140" w:after="60"/>
      </w:pPr>
      <w:r>
        <w:rPr>
          <w:rFonts w:ascii="Aptos" w:hAnsi="Aptos"/>
          <w:b/>
          <w:color w:val="0B1220"/>
          <w:sz w:val="21"/>
        </w:rPr>
        <w:t>V1 logical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Dashboard</w:t>
            </w:r>
          </w:p>
        </w:tc>
        <w:tc>
          <w:tcPr>
            <w:tcW w:type="dxa" w:w="2405"/>
            <w:shd w:fill="087E8B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API + validation</w:t>
            </w:r>
          </w:p>
        </w:tc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Timeline + baseline</w:t>
            </w:r>
          </w:p>
        </w:tc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Change detection</w:t>
            </w:r>
          </w:p>
        </w:tc>
      </w:tr>
      <w:tr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Optional local SLM</w:t>
            </w:r>
          </w:p>
        </w:tc>
        <w:tc>
          <w:tcPr>
            <w:tcW w:type="dxa" w:w="2405"/>
            <w:shd w:fill="087E8B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Demo rules</w:t>
            </w:r>
          </w:p>
        </w:tc>
        <w:tc>
          <w:tcPr>
            <w:tcW w:type="dxa" w:w="2405"/>
            <w:shd w:fill="087E8B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builder</w:t>
            </w:r>
          </w:p>
        </w:tc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Safety gate</w:t>
            </w:r>
          </w:p>
        </w:tc>
      </w:tr>
      <w:tr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Template / optional LLM wording</w:t>
            </w:r>
          </w:p>
        </w:tc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Audit + human review</w:t>
            </w:r>
          </w:p>
        </w:tc>
        <w:tc>
          <w:tcPr>
            <w:tcW w:type="dxa" w:w="2405"/>
            <w:shd w:fill="0B1220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SQLite source of truth</w:t>
            </w:r>
          </w:p>
        </w:tc>
        <w:tc>
          <w:tcPr>
            <w:tcW w:type="dxa" w:w="2405"/>
            <w:shd w:fill="FFFFFF"/>
            <w:vAlign w:val="center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449"/>
                <w:sz w:val="15"/>
              </w:rPr>
            </w:r>
          </w:p>
        </w:tc>
      </w:tr>
    </w:tbl>
    <w:p>
      <w:pPr>
        <w:spacing w:after="0"/>
      </w:pPr>
      <w:r>
        <w:rPr>
          <w:rFonts w:ascii="Aptos" w:hAnsi="Aptos"/>
          <w:i/>
          <w:color w:val="64748B"/>
          <w:sz w:val="16"/>
        </w:rPr>
        <w:t>Model output never bypasses the evidence builder or safety gate.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04 / WORKFLOW</w:t>
      </w:r>
    </w:p>
    <w:p>
      <w:pPr>
        <w:pStyle w:val="Heading1"/>
      </w:pPr>
      <w:r>
        <w:t>Observation-to-review sequence</w:t>
      </w:r>
    </w:p>
    <w:p>
      <w:pPr>
        <w:spacing w:after="160"/>
      </w:pPr>
      <w:r>
        <w:rPr>
          <w:rFonts w:ascii="Aptos" w:hAnsi="Aptos"/>
          <w:i w:val="0"/>
          <w:color w:val="64748B"/>
          <w:sz w:val="18"/>
        </w:rPr>
        <w:t>Each run should be reproducible from timestamped input records and a versioned ruleset. In V1, agent boundaries are code modules inside one backend service.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1. Ingest and persist  </w:t>
      </w:r>
      <w:r>
        <w:rPr>
          <w:rFonts w:ascii="Aptos" w:hAnsi="Aptos"/>
          <w:color w:val="243449"/>
          <w:sz w:val="18"/>
        </w:rPr>
        <w:t>Validate the type, canonical unit, numeric demo input bounds, timezone-aware timestamp and source event ID; write the event before analysis and add an audit event.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2. Build patient state  </w:t>
      </w:r>
      <w:r>
        <w:rPr>
          <w:rFonts w:ascii="Aptos" w:hAnsi="Aptos"/>
          <w:color w:val="243449"/>
          <w:sz w:val="18"/>
        </w:rPr>
        <w:t>Load the chronological timeline; group by observation type; compute a baseline from prior observations and preserve observation time separately from ingestion time.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3. Detect change  </w:t>
      </w:r>
      <w:r>
        <w:rPr>
          <w:rFonts w:ascii="Aptos" w:hAnsi="Aptos"/>
          <w:color w:val="243449"/>
          <w:sz w:val="18"/>
        </w:rPr>
        <w:t>Calculate baseline deviation and trend rules. Do not call a model if a language task is absent or a numeric calculation is sufficient.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4. Extract note mentions if present  </w:t>
      </w:r>
      <w:r>
        <w:rPr>
          <w:rFonts w:ascii="Aptos" w:hAnsi="Aptos"/>
          <w:color w:val="243449"/>
          <w:sz w:val="18"/>
        </w:rPr>
        <w:t>Invoke the configured local SLM, constrain the output schema and ground extracted phrases in source text. If unavailable or invalid, use deterministic fallback and disclose it.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5. Compute demo signal index  </w:t>
      </w:r>
      <w:r>
        <w:rPr>
          <w:rFonts w:ascii="Aptos" w:hAnsi="Aptos"/>
          <w:color w:val="243449"/>
          <w:sz w:val="18"/>
        </w:rPr>
        <w:t>Apply the documented example weights. Missing measurements are unknown, never silently treated as normal. Score rules and version are returned as metadata.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6. Build evidence and apply safety  </w:t>
      </w:r>
      <w:r>
        <w:rPr>
          <w:rFonts w:ascii="Aptos" w:hAnsi="Aptos"/>
          <w:color w:val="243449"/>
          <w:sz w:val="18"/>
        </w:rPr>
        <w:t>Link each evidence item to an observation ID or note ID/phrase. Data-quality checks can return `ABSTAIN`; otherwise demo flow returns `MONITOR` or `REVIEW`.</w:t>
      </w:r>
    </w:p>
    <w:p>
      <w:pPr>
        <w:spacing w:after="40"/>
      </w:pPr>
      <w:r>
        <w:rPr>
          <w:rFonts w:ascii="Aptos" w:hAnsi="Aptos"/>
          <w:b/>
          <w:color w:val="087E8B"/>
          <w:sz w:val="18"/>
        </w:rPr>
        <w:t xml:space="preserve">7. Generate wording and persist review  </w:t>
      </w:r>
      <w:r>
        <w:rPr>
          <w:rFonts w:ascii="Aptos" w:hAnsi="Aptos"/>
          <w:color w:val="243449"/>
          <w:sz w:val="18"/>
        </w:rPr>
        <w:t>Use template wording by default. Optional LLM can rephrase metadata but cannot change structured fields. Persist the assessment, audit record and any human review outcome.</w:t>
      </w:r>
    </w:p>
    <w:p>
      <w:pPr>
        <w:pStyle w:val="Heading2"/>
      </w:pPr>
      <w:r>
        <w:t>API surface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299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GET `/api/health`</w:t>
            </w:r>
          </w:p>
        </w:tc>
        <w:tc>
          <w:tcPr>
            <w:tcW w:type="dxa" w:w="52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App readiness + safe configuration flags</w:t>
            </w:r>
          </w:p>
        </w:tc>
      </w:tr>
      <w:tr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GET / POST `/api/patients`</w:t>
            </w:r>
          </w:p>
        </w:tc>
        <w:tc>
          <w:tcPr>
            <w:tcW w:type="dxa" w:w="52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List/create synthetic or de-identified patient labels</w:t>
            </w:r>
          </w:p>
        </w:tc>
      </w:tr>
      <w:tr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 `/api/demo/seed`</w:t>
            </w:r>
          </w:p>
        </w:tc>
        <w:tc>
          <w:tcPr>
            <w:tcW w:type="dxa" w:w="52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Idempotently seed the demo record</w:t>
            </w:r>
          </w:p>
        </w:tc>
      </w:tr>
      <w:tr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GET `/api/patients/{id}/timeline`</w:t>
            </w:r>
          </w:p>
        </w:tc>
        <w:tc>
          <w:tcPr>
            <w:tcW w:type="dxa" w:w="52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Chronological observations and notes</w:t>
            </w:r>
          </w:p>
        </w:tc>
      </w:tr>
      <w:tr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 `/api/patients/{id}/observations`</w:t>
            </w:r>
          </w:p>
        </w:tc>
        <w:tc>
          <w:tcPr>
            <w:tcW w:type="dxa" w:w="52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Validate and store a measurement</w:t>
            </w:r>
          </w:p>
        </w:tc>
      </w:tr>
      <w:tr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 `/api/patients/{id}/notes`</w:t>
            </w:r>
          </w:p>
        </w:tc>
        <w:tc>
          <w:tcPr>
            <w:tcW w:type="dxa" w:w="52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Store note and return extraction metadata</w:t>
            </w:r>
          </w:p>
        </w:tc>
      </w:tr>
      <w:tr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 `/api/patients/{id}/analyze`</w:t>
            </w:r>
          </w:p>
        </w:tc>
        <w:tc>
          <w:tcPr>
            <w:tcW w:type="dxa" w:w="52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Build signal index, evidence and safety result</w:t>
            </w:r>
          </w:p>
        </w:tc>
      </w:tr>
      <w:tr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GET `/api/patients/{id}/analyses`</w:t>
            </w:r>
          </w:p>
        </w:tc>
        <w:tc>
          <w:tcPr>
            <w:tcW w:type="dxa" w:w="52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Assessment history</w:t>
            </w:r>
          </w:p>
        </w:tc>
      </w:tr>
      <w:tr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 `/api/analyses/{id}/review`</w:t>
            </w:r>
          </w:p>
        </w:tc>
        <w:tc>
          <w:tcPr>
            <w:tcW w:type="dxa" w:w="52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Save a human review outcome</w:t>
            </w:r>
          </w:p>
        </w:tc>
      </w:tr>
      <w:tr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GET `/api/patients/{id}/audit`</w:t>
            </w:r>
          </w:p>
        </w:tc>
        <w:tc>
          <w:tcPr>
            <w:tcW w:type="dxa" w:w="52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Latest audit events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05 / DATA AND SAFETY</w:t>
      </w:r>
    </w:p>
    <w:p>
      <w:pPr>
        <w:pStyle w:val="Heading1"/>
      </w:pPr>
      <w:r>
        <w:t>Data model, evidence and failure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13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032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974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61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Patient</w:t>
            </w:r>
          </w:p>
        </w:tc>
        <w:tc>
          <w:tcPr>
            <w:tcW w:type="dxa" w:w="403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id, display label, created_at, data_kind</w:t>
            </w:r>
          </w:p>
        </w:tc>
        <w:tc>
          <w:tcPr>
            <w:tcW w:type="dxa" w:w="3974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Internal identity for demo records; not a real-world identifier</w:t>
            </w:r>
          </w:p>
        </w:tc>
      </w:tr>
      <w:tr>
        <w:tc>
          <w:tcPr>
            <w:tcW w:type="dxa" w:w="161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Observation</w:t>
            </w:r>
          </w:p>
        </w:tc>
        <w:tc>
          <w:tcPr>
            <w:tcW w:type="dxa" w:w="403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id, patient_id, type, value, unit, observed_at, ingested_at, source, quality flag, event ID</w:t>
            </w:r>
          </w:p>
        </w:tc>
        <w:tc>
          <w:tcPr>
            <w:tcW w:type="dxa" w:w="3974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Longitudinal measurement record; duplicate source IDs rejected</w:t>
            </w:r>
          </w:p>
        </w:tc>
      </w:tr>
      <w:tr>
        <w:tc>
          <w:tcPr>
            <w:tcW w:type="dxa" w:w="161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Clinical note</w:t>
            </w:r>
          </w:p>
        </w:tc>
        <w:tc>
          <w:tcPr>
            <w:tcW w:type="dxa" w:w="403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id, patient_id, text, created_at, extraction mode, structured mentions</w:t>
            </w:r>
          </w:p>
        </w:tc>
        <w:tc>
          <w:tcPr>
            <w:tcW w:type="dxa" w:w="3974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Note phrase extraction with source context; use only synthetic/de-identified text</w:t>
            </w:r>
          </w:p>
        </w:tc>
      </w:tr>
      <w:tr>
        <w:tc>
          <w:tcPr>
            <w:tcW w:type="dxa" w:w="161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Analysis</w:t>
            </w:r>
          </w:p>
        </w:tc>
        <w:tc>
          <w:tcPr>
            <w:tcW w:type="dxa" w:w="403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id, patient_id, nullable signal_index, state, summary, evidence JSON, safety JSON, model/rule metadata</w:t>
            </w:r>
          </w:p>
        </w:tc>
        <w:tc>
          <w:tcPr>
            <w:tcW w:type="dxa" w:w="3974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Reproducible assessment trace</w:t>
            </w:r>
          </w:p>
        </w:tc>
      </w:tr>
      <w:tr>
        <w:tc>
          <w:tcPr>
            <w:tcW w:type="dxa" w:w="1613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Review</w:t>
            </w:r>
          </w:p>
        </w:tc>
        <w:tc>
          <w:tcPr>
            <w:tcW w:type="dxa" w:w="403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analysis ID, reviewer label, outcome, comment, timestamp</w:t>
            </w:r>
          </w:p>
        </w:tc>
        <w:tc>
          <w:tcPr>
            <w:tcW w:type="dxa" w:w="3974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Human review only; no automatic medical action</w:t>
            </w:r>
          </w:p>
        </w:tc>
      </w:tr>
      <w:tr>
        <w:tc>
          <w:tcPr>
            <w:tcW w:type="dxa" w:w="1613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Audit event</w:t>
            </w:r>
          </w:p>
        </w:tc>
        <w:tc>
          <w:tcPr>
            <w:tcW w:type="dxa" w:w="403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action, component, status, timestamp, compact details</w:t>
            </w:r>
          </w:p>
        </w:tc>
        <w:tc>
          <w:tcPr>
            <w:tcW w:type="dxa" w:w="3974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Traceability without dumping raw notes or secrets into logs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Safety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69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32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 in V1</w:t>
            </w:r>
          </w:p>
        </w:tc>
        <w:tc>
          <w:tcPr>
            <w:tcW w:type="dxa" w:w="383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UI behavior</w:t>
            </w:r>
          </w:p>
        </w:tc>
      </w:tr>
      <w:tr>
        <w:tc>
          <w:tcPr>
            <w:tcW w:type="dxa" w:w="146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MONITOR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Illustrative demo rules did not request review and data gate passed</w:t>
            </w:r>
          </w:p>
        </w:tc>
        <w:tc>
          <w:tcPr>
            <w:tcW w:type="dxa" w:w="383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Show the evidence; do not claim health or no risk</w:t>
            </w:r>
          </w:p>
        </w:tc>
      </w:tr>
      <w:tr>
        <w:tc>
          <w:tcPr>
            <w:tcW w:type="dxa" w:w="146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REVIEW</w:t>
            </w:r>
          </w:p>
        </w:tc>
        <w:tc>
          <w:tcPr>
            <w:tcW w:type="dxa" w:w="43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A demo rule/change requested human review</w:t>
            </w:r>
          </w:p>
        </w:tc>
        <w:tc>
          <w:tcPr>
            <w:tcW w:type="dxa" w:w="383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Highlight a workflow review, not an actual clinical alert</w:t>
            </w:r>
          </w:p>
        </w:tc>
      </w:tr>
      <w:tr>
        <w:tc>
          <w:tcPr>
            <w:tcW w:type="dxa" w:w="146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ABSTAIN</w:t>
            </w:r>
          </w:p>
        </w:tc>
        <w:tc>
          <w:tcPr>
            <w:tcW w:type="dxa" w:w="43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Insufficient evidence or required processing was not safe/available</w:t>
            </w:r>
          </w:p>
        </w:tc>
        <w:tc>
          <w:tcPr>
            <w:tcW w:type="dxa" w:w="383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Do not display numeric index as usable; show reason codes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Security and privacy boundary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Default dataset is synthetic; use approved de-identified data only for prototype testing.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This V1 includes no production authentication or role-based access. Do not deploy to the public internet or use as a real patient record system.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Cap note length and validate all inputs. Keep CORS limited to local origins, and never expose secret values from health/config endpoints.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Avoid raw note text in audit events. Local SQLite is the source of truth; back up files before reset or migration.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Clinical validation requires a defined outcome, appropriate labeled data, patient/time-aware splits, calibration, subgroup evaluation, prospective review, governance and qualified oversight.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0" w:color="FFF7E6"/>
              <w:left w:val="single" w:sz="0" w:color="FFF7E6"/>
              <w:bottom w:val="single" w:sz="0" w:color="FFF7E6"/>
              <w:right w:val="single" w:sz="0" w:color="FFF7E6"/>
              <w:insideH w:val="single" w:sz="0" w:color="FFF7E6"/>
              <w:insideV w:val="single" w:sz="0" w:color="FFF7E6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8A5A0A"/>
                <w:sz w:val="18"/>
              </w:rPr>
              <w:t>ABSTENTION RULE</w:t>
            </w:r>
          </w:p>
          <w:p>
            <w:pPr>
              <w:spacing w:after="0"/>
            </w:pPr>
            <w:r>
              <w:rPr>
                <w:rFonts w:ascii="Aptos" w:hAnsi="Aptos"/>
                <w:color w:val="243449"/>
                <w:sz w:val="17"/>
              </w:rPr>
              <w:t>If the input is too sparse, the model fails, or evidence cannot be grounded, return a transparent abstention or deterministic fallback. Never turn a timeout, missing value or low confidence into a fabricated prediction.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06 / PROJECT LAYOUT</w:t>
      </w:r>
    </w:p>
    <w:p>
      <w:pPr>
        <w:pStyle w:val="Heading1"/>
      </w:pPr>
      <w:r>
        <w:t>What the ZIP contains</w:t>
      </w:r>
    </w:p>
    <w:p>
      <w:pPr>
        <w:spacing w:after="160"/>
        <w:ind w:left="173"/>
      </w:pPr>
      <w:r>
        <w:rPr>
          <w:rFonts w:ascii="Cascadia Mono" w:hAnsi="Cascadia Mono"/>
          <w:color w:val="0B1220"/>
          <w:sz w:val="17"/>
        </w:rPr>
        <w:t>CARE-AI-V1/</w:t>
        <w:br/>
      </w:r>
      <w:r>
        <w:rPr>
          <w:rFonts w:ascii="Cascadia Mono" w:hAnsi="Cascadia Mono"/>
          <w:color w:val="0B1220"/>
          <w:sz w:val="17"/>
        </w:rPr>
        <w:t>├── backend/</w:t>
        <w:br/>
      </w:r>
      <w:r>
        <w:rPr>
          <w:rFonts w:ascii="Cascadia Mono" w:hAnsi="Cascadia Mono"/>
          <w:color w:val="0B1220"/>
          <w:sz w:val="17"/>
        </w:rPr>
        <w:t>│   ├── app/</w:t>
        <w:br/>
      </w:r>
      <w:r>
        <w:rPr>
          <w:rFonts w:ascii="Cascadia Mono" w:hAnsi="Cascadia Mono"/>
          <w:color w:val="0B1220"/>
          <w:sz w:val="17"/>
        </w:rPr>
        <w:t>│   │   ├── agents/          monitoring, vitals, note NLP, evidence, safety</w:t>
        <w:br/>
      </w:r>
      <w:r>
        <w:rPr>
          <w:rFonts w:ascii="Cascadia Mono" w:hAnsi="Cascadia Mono"/>
          <w:color w:val="0B1220"/>
          <w:sz w:val="17"/>
        </w:rPr>
        <w:t>│   │   ├── services/        optional LLM wording adapter</w:t>
        <w:br/>
      </w:r>
      <w:r>
        <w:rPr>
          <w:rFonts w:ascii="Cascadia Mono" w:hAnsi="Cascadia Mono"/>
          <w:color w:val="0B1220"/>
          <w:sz w:val="17"/>
        </w:rPr>
        <w:t>│   │   ├── db.py            SQLite schema + connection boundary</w:t>
        <w:br/>
      </w:r>
      <w:r>
        <w:rPr>
          <w:rFonts w:ascii="Cascadia Mono" w:hAnsi="Cascadia Mono"/>
          <w:color w:val="0B1220"/>
          <w:sz w:val="17"/>
        </w:rPr>
        <w:t>│   │   ├── schemas.py       request validation and canonical units</w:t>
        <w:br/>
      </w:r>
      <w:r>
        <w:rPr>
          <w:rFonts w:ascii="Cascadia Mono" w:hAnsi="Cascadia Mono"/>
          <w:color w:val="0B1220"/>
          <w:sz w:val="17"/>
        </w:rPr>
        <w:t>│   │   └── main.py          API routes + dashboard hosting</w:t>
        <w:br/>
      </w:r>
      <w:r>
        <w:rPr>
          <w:rFonts w:ascii="Cascadia Mono" w:hAnsi="Cascadia Mono"/>
          <w:color w:val="0B1220"/>
          <w:sz w:val="17"/>
        </w:rPr>
        <w:t>│   ├── tests/               unit/API tests</w:t>
        <w:br/>
      </w:r>
      <w:r>
        <w:rPr>
          <w:rFonts w:ascii="Cascadia Mono" w:hAnsi="Cascadia Mono"/>
          <w:color w:val="0B1220"/>
          <w:sz w:val="17"/>
        </w:rPr>
        <w:t>│   ├── requirements.txt</w:t>
        <w:br/>
      </w:r>
      <w:r>
        <w:rPr>
          <w:rFonts w:ascii="Cascadia Mono" w:hAnsi="Cascadia Mono"/>
          <w:color w:val="0B1220"/>
          <w:sz w:val="17"/>
        </w:rPr>
        <w:t>│   └── .env.example</w:t>
        <w:br/>
      </w:r>
      <w:r>
        <w:rPr>
          <w:rFonts w:ascii="Cascadia Mono" w:hAnsi="Cascadia Mono"/>
          <w:color w:val="0B1220"/>
          <w:sz w:val="17"/>
        </w:rPr>
        <w:t>├── frontend/                index.html, app.js, styles.css</w:t>
        <w:br/>
      </w:r>
      <w:r>
        <w:rPr>
          <w:rFonts w:ascii="Cascadia Mono" w:hAnsi="Cascadia Mono"/>
          <w:color w:val="0B1220"/>
          <w:sz w:val="17"/>
        </w:rPr>
        <w:t>├── docs/                    architecture, data dictionary, run guide</w:t>
        <w:br/>
      </w:r>
      <w:r>
        <w:rPr>
          <w:rFonts w:ascii="Cascadia Mono" w:hAnsi="Cascadia Mono"/>
          <w:color w:val="0B1220"/>
          <w:sz w:val="17"/>
        </w:rPr>
        <w:t>├── infra/                   backend Dockerfile + Compose</w:t>
        <w:br/>
      </w:r>
      <w:r>
        <w:rPr>
          <w:rFonts w:ascii="Cascadia Mono" w:hAnsi="Cascadia Mono"/>
          <w:color w:val="0B1220"/>
          <w:sz w:val="17"/>
        </w:rPr>
        <w:t>├── BUILD_PROMPT.md          copy-paste coding-agent specification</w:t>
        <w:br/>
      </w:r>
      <w:r>
        <w:rPr>
          <w:rFonts w:ascii="Cascadia Mono" w:hAnsi="Cascadia Mono"/>
          <w:color w:val="0B1220"/>
          <w:sz w:val="17"/>
        </w:rPr>
        <w:t>└── README.md</w:t>
        <w:br/>
      </w:r>
    </w:p>
    <w:p>
      <w:pPr>
        <w:pStyle w:val="Heading2"/>
      </w:pPr>
      <w:r>
        <w:t>Run locally on Windows (PowerShell)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099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</w:tr>
      <w:tr>
        <w:tc>
          <w:tcPr>
            <w:tcW w:type="dxa" w:w="25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1. Go to backend</w:t>
            </w:r>
          </w:p>
        </w:tc>
        <w:tc>
          <w:tcPr>
            <w:tcW w:type="dxa" w:w="70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cd backend</w:t>
            </w:r>
          </w:p>
        </w:tc>
      </w:tr>
      <w:tr>
        <w:tc>
          <w:tcPr>
            <w:tcW w:type="dxa" w:w="25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2. Create environment</w:t>
            </w:r>
          </w:p>
        </w:tc>
        <w:tc>
          <w:tcPr>
            <w:tcW w:type="dxa" w:w="70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py -m venv .venv</w:t>
            </w:r>
          </w:p>
        </w:tc>
      </w:tr>
      <w:tr>
        <w:tc>
          <w:tcPr>
            <w:tcW w:type="dxa" w:w="25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3. Activate environment</w:t>
            </w:r>
          </w:p>
        </w:tc>
        <w:tc>
          <w:tcPr>
            <w:tcW w:type="dxa" w:w="70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.\.venv\Scripts\Activate.ps1</w:t>
            </w:r>
          </w:p>
        </w:tc>
      </w:tr>
      <w:tr>
        <w:tc>
          <w:tcPr>
            <w:tcW w:type="dxa" w:w="25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4. Install dependencies</w:t>
            </w:r>
          </w:p>
        </w:tc>
        <w:tc>
          <w:tcPr>
            <w:tcW w:type="dxa" w:w="70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python -m pip install --upgrade pip  ;  pip install -r requirements.txt</w:t>
            </w:r>
          </w:p>
        </w:tc>
      </w:tr>
      <w:tr>
        <w:tc>
          <w:tcPr>
            <w:tcW w:type="dxa" w:w="252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5. Configure local settings</w:t>
            </w:r>
          </w:p>
        </w:tc>
        <w:tc>
          <w:tcPr>
            <w:tcW w:type="dxa" w:w="7099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Copy-Item .env.example .env</w:t>
            </w:r>
          </w:p>
        </w:tc>
      </w:tr>
      <w:tr>
        <w:tc>
          <w:tcPr>
            <w:tcW w:type="dxa" w:w="252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6. Start the app</w:t>
            </w:r>
          </w:p>
        </w:tc>
        <w:tc>
          <w:tcPr>
            <w:tcW w:type="dxa" w:w="7099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6"/>
              </w:rPr>
              <w:t>uvicorn app.main:app --reload --host 127.0.0.1 --port 8000</w:t>
            </w:r>
          </w:p>
        </w:tc>
      </w:tr>
    </w:tbl>
    <w:p>
      <w:pPr>
        <w:spacing w:after="0" w:before="0"/>
      </w:pPr>
    </w:p>
    <w:p>
      <w:pPr>
        <w:spacing w:after="100"/>
      </w:pPr>
      <w:r>
        <w:rPr>
          <w:rFonts w:ascii="Aptos" w:hAnsi="Aptos"/>
          <w:i w:val="0"/>
          <w:color w:val="243449"/>
          <w:sz w:val="18"/>
        </w:rPr>
        <w:t>Open the dashboard at http://127.0.0.1:8000 and API docs at http://127.0.0.1:8000/docs. The first run creates the local SQLite database automatically. Full Windows/macOS/Linux, optional Ollama, optional LLM and Docker instructions are in `docs/RUN_GUIDE.md`.</w:t>
      </w:r>
    </w:p>
    <w:p>
      <w:pPr>
        <w:pStyle w:val="Heading2"/>
      </w:pPr>
      <w:r>
        <w:t>Enable local SLM (optional)</w:t>
      </w:r>
    </w:p>
    <w:p>
      <w:pPr>
        <w:spacing w:after="80"/>
      </w:pPr>
      <w:r>
        <w:rPr>
          <w:rFonts w:ascii="Aptos" w:hAnsi="Aptos"/>
          <w:i w:val="0"/>
          <w:color w:val="243449"/>
          <w:sz w:val="18"/>
        </w:rPr>
        <w:t>Install Ollama, pull a small model such as `qwen3.5:0.8b`, then set `CARE_AI_SLM_MODE=ollama`, `CARE_AI_OLLAMA_BASE_URL=http://localhost:11434`, and `CARE_AI_SLM_MODEL=qwen3.5:0.8b` in `backend/.env`. Restart the backend. If the local service is unavailable, deterministic extraction remains available.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087E8B"/>
          <w:sz w:val="16"/>
        </w:rPr>
        <w:t>07 / VERIFICATION</w:t>
      </w:r>
    </w:p>
    <w:p>
      <w:pPr>
        <w:pStyle w:val="Heading1"/>
      </w:pPr>
      <w:r>
        <w:t>Acceptance tests and staged roadmap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App starts without an API key or language model installed.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Dashboard and `/docs` load; `/api/health` returns `ok`.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Repeated demo seeding does not duplicate example observations.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Validated observation -&gt; timeline -&gt; baseline/change detection -&gt; analysis -&gt; evidence -&gt; safety state works.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Insufficient data produces `ABSTAIN` instead of a fabricated score.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Ollama offline path falls back to deterministic extraction and returns metadata.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Optional LLM is disabled by default and cannot change index/status/evidence.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Review outcomes persist and appear in audit history.</w:t>
      </w:r>
    </w:p>
    <w:p>
      <w:pPr>
        <w:pStyle w:val="ListBullet"/>
        <w:spacing w:after="40"/>
      </w:pPr>
      <w:r>
        <w:rPr>
          <w:rFonts w:ascii="Aptos" w:hAnsi="Aptos"/>
          <w:color w:val="243449"/>
          <w:sz w:val="18"/>
        </w:rPr>
        <w:t>Automated tests pass with `pytest -q` from `backend/`.</w:t>
      </w:r>
    </w:p>
    <w:p>
      <w:pPr>
        <w:pStyle w:val="Heading2"/>
      </w:pPr>
      <w:r>
        <w:t>Roadmap after the first working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917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 next</w:t>
            </w:r>
          </w:p>
        </w:tc>
        <w:tc>
          <w:tcPr>
            <w:tcW w:type="dxa" w:w="4550"/>
            <w:shd w:fill="0B1220"/>
            <w:vAlign w:val="center"/>
            <w:tcBorders>
              <w:top w:val="single" w:sz="2" w:color="0B1220"/>
              <w:left w:val="single" w:sz="2" w:color="0B1220"/>
              <w:bottom w:val="single" w:sz="2" w:color="0B1220"/>
              <w:right w:val="single" w:sz="2" w:color="0B1220"/>
              <w:insideH w:val="single" w:sz="2" w:color="0B1220"/>
              <w:insideV w:val="single" w:sz="2" w:color="0B1220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 before proceeding</w:t>
            </w:r>
          </w:p>
        </w:tc>
      </w:tr>
      <w:tr>
        <w:tc>
          <w:tcPr>
            <w:tcW w:type="dxa" w:w="115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V1.1</w:t>
            </w:r>
          </w:p>
        </w:tc>
        <w:tc>
          <w:tcPr>
            <w:tcW w:type="dxa" w:w="3917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Authentication/RBAC, better DB abstraction, error monitoring and retention policy</w:t>
            </w:r>
          </w:p>
        </w:tc>
        <w:tc>
          <w:tcPr>
            <w:tcW w:type="dxa" w:w="455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Threat model, access tests, no-secret logging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V1.2</w:t>
            </w:r>
          </w:p>
        </w:tc>
        <w:tc>
          <w:tcPr>
            <w:tcW w:type="dxa" w:w="3917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Choose one clinical outcome; obtain suitable approved dataset and define labels</w:t>
            </w:r>
          </w:p>
        </w:tc>
        <w:tc>
          <w:tcPr>
            <w:tcW w:type="dxa" w:w="455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Data governance + evaluation protocol accepted by qualified reviewers</w:t>
            </w:r>
          </w:p>
        </w:tc>
      </w:tr>
      <w:tr>
        <w:tc>
          <w:tcPr>
            <w:tcW w:type="dxa" w:w="115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V1.3</w:t>
            </w:r>
          </w:p>
        </w:tc>
        <w:tc>
          <w:tcPr>
            <w:tcW w:type="dxa" w:w="3917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Train and benchmark a classical baseline (e.g. Logistic Regression/XGBoost)</w:t>
            </w:r>
          </w:p>
        </w:tc>
        <w:tc>
          <w:tcPr>
            <w:tcW w:type="dxa" w:w="455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Patient/time-aware split, calibration, sensitivity, false-alert review and subgroup analyses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V1.4</w:t>
            </w:r>
          </w:p>
        </w:tc>
        <w:tc>
          <w:tcPr>
            <w:tcW w:type="dxa" w:w="3917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Evaluate clinical NLP/SLM extraction, evidence retrieval and temporal models</w:t>
            </w:r>
          </w:p>
        </w:tc>
        <w:tc>
          <w:tcPr>
            <w:tcW w:type="dxa" w:w="4550"/>
            <w:shd w:fill="FFFFFF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Demonstrated value over deterministic baselines; documented cost and latency</w:t>
            </w:r>
          </w:p>
        </w:tc>
      </w:tr>
      <w:tr>
        <w:tc>
          <w:tcPr>
            <w:tcW w:type="dxa" w:w="1152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V2 / production study</w:t>
            </w:r>
          </w:p>
        </w:tc>
        <w:tc>
          <w:tcPr>
            <w:tcW w:type="dxa" w:w="3917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PostgreSQL, FHIR, queues, formal model registry, prospective evaluation</w:t>
            </w:r>
          </w:p>
        </w:tc>
        <w:tc>
          <w:tcPr>
            <w:tcW w:type="dxa" w:w="4550"/>
            <w:shd w:fill="F4F7FB"/>
            <w:vAlign w:val="center"/>
            <w:tcBorders>
              <w:top w:val="single" w:sz="4" w:color="DCE5EF"/>
              <w:left w:val="single" w:sz="4" w:color="DCE5EF"/>
              <w:bottom w:val="single" w:sz="4" w:color="DCE5EF"/>
              <w:right w:val="single" w:sz="4" w:color="DCE5EF"/>
              <w:insideH w:val="single" w:sz="4" w:color="DCE5EF"/>
              <w:insideV w:val="single" w:sz="4" w:color="DCE5EF"/>
            </w:tcBorders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449"/>
                <w:sz w:val="15"/>
              </w:rPr>
              <w:t>Security, privacy, clinical workflow and regulatory review complete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8"/>
            <w:tcBorders>
              <w:top w:val="single" w:sz="0" w:color="EAF6F8"/>
              <w:left w:val="single" w:sz="0" w:color="EAF6F8"/>
              <w:bottom w:val="single" w:sz="0" w:color="EAF6F8"/>
              <w:right w:val="single" w:sz="0" w:color="EAF6F8"/>
              <w:insideH w:val="single" w:sz="0" w:color="EAF6F8"/>
              <w:insideV w:val="single" w:sz="0" w:color="EAF6F8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87E8B"/>
                <w:sz w:val="18"/>
              </w:rPr>
              <w:t>FINAL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243449"/>
                <w:sz w:val="17"/>
              </w:rPr>
              <w:t>Build the early-warning workflow, not an autonomous doctor. Keep the SLM small and local for narrow language tasks; keep numerical reasoning, evidence provenance, and the safety gate deterministic and independently testable.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ptos" w:hAnsi="Aptos"/>
          <w:i/>
          <w:color w:val="64748B"/>
          <w:sz w:val="16"/>
        </w:rPr>
        <w:t>Source alignment: this V1 architecture is a cost-optimized implementation plan derived from the provided CARE-AI technical architecture. It preserves the original longitudinal approach, separated agent responsibilities, source-linked evidence, safety abstention, audit trail and clinician oversight while trimming V1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5"/>
      </w:rPr>
      <w:t xml:space="preserve">CARE-AI V1  •  EDUCATIONAL PROTOTYPE  •  NOT FOR CLINICAL DECISION-MAKING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087E8B"/>
        <w:sz w:val="16"/>
      </w:rPr>
      <w:t>CARE-AI  /  V1 ARCHITECTURE</w:t>
    </w:r>
    <w:r>
      <w:rPr>
        <w:rFonts w:ascii="Aptos" w:hAnsi="Aptos"/>
        <w:b/>
        <w:color w:val="64748B"/>
        <w:sz w:val="16"/>
      </w:rPr>
      <w:t xml:space="preserve">                                        COST-FIRST • SLM-FIRST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4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CARE-AI V1 Architecture and Build Plan</dc:title>
  <dc:subject>SLM-first cost-optimized longitudinal patient intelligence prototype</dc:subject>
  <dc:creator>CARE-AI Project Team</dc:creator>
  <cp:keywords>CARE-AI, SLM, longitudinal monitoring, FastAPI, SQLite,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