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143000" cy="1103391"/>
            <wp:docPr id="1" name="Picture 1"/>
            <wp:cNvGraphicFramePr>
              <a:graphicFrameLocks noChangeAspect="1"/>
            </wp:cNvGraphicFramePr>
            <a:graphic>
              <a:graphicData uri="http://schemas.openxmlformats.org/drawingml/2006/picture">
                <pic:pic>
                  <pic:nvPicPr>
                    <pic:cNvPr id="0" name="hoerskool_florida_wapen.png"/>
                    <pic:cNvPicPr/>
                  </pic:nvPicPr>
                  <pic:blipFill>
                    <a:blip r:embed="rId11"/>
                    <a:stretch>
                      <a:fillRect/>
                    </a:stretch>
                  </pic:blipFill>
                  <pic:spPr>
                    <a:xfrm>
                      <a:off x="0" y="0"/>
                      <a:ext cx="1143000" cy="1103391"/>
                    </a:xfrm>
                    <a:prstGeom prst="rect"/>
                  </pic:spPr>
                </pic:pic>
              </a:graphicData>
            </a:graphic>
          </wp:inline>
        </w:drawing>
      </w:r>
    </w:p>
    <w:p>
      <w:pPr>
        <w:spacing w:before="0" w:after="40" w:line="264" w:lineRule="auto"/>
        <w:jc w:val="center"/>
      </w:pPr>
      <w:r>
        <w:rPr>
          <w:rFonts w:ascii="Calibri" w:hAnsi="Calibri"/>
          <w:b/>
          <w:i w:val="0"/>
          <w:color w:val="0B5A32"/>
          <w:sz w:val="44"/>
        </w:rPr>
        <w:t>Voorlegging: Hoerskool Florida Leerplatform</w:t>
      </w:r>
    </w:p>
    <w:p>
      <w:pPr>
        <w:spacing w:before="0" w:after="200" w:line="264" w:lineRule="auto"/>
        <w:jc w:val="center"/>
        <w:pBdr>
          <w:bottom w:val="single" w:sz="10" w:space="1" w:color="F5C842"/>
        </w:pBdr>
      </w:pPr>
      <w:r>
        <w:rPr>
          <w:rFonts w:ascii="Calibri" w:hAnsi="Calibri"/>
          <w:b w:val="0"/>
          <w:i/>
          <w:color w:val="666666"/>
          <w:sz w:val="25"/>
        </w:rPr>
        <w:t>Aansoek om beginselgoedkeuring vir verdere ontwikkeling en ’n beperkte aanlyn-proeflopie</w:t>
      </w:r>
    </w:p>
    <w:p>
      <w:pPr>
        <w:spacing w:after="40"/>
      </w:pPr>
      <w:r>
        <w:rPr>
          <w:rFonts w:ascii="Calibri" w:hAnsi="Calibri"/>
          <w:b/>
          <w:i w:val="0"/>
          <w:color w:val="063E23"/>
          <w:sz w:val="21"/>
        </w:rPr>
        <w:t xml:space="preserve">Aan: </w:t>
      </w:r>
      <w:r>
        <w:rPr>
          <w:rFonts w:ascii="Calibri" w:hAnsi="Calibri"/>
          <w:b w:val="0"/>
          <w:i w:val="0"/>
          <w:color w:val="222222"/>
          <w:sz w:val="21"/>
        </w:rPr>
        <w:t>Skoolbeheerliggaam, Hoerskool Florida</w:t>
      </w:r>
    </w:p>
    <w:p>
      <w:pPr>
        <w:spacing w:after="40"/>
      </w:pPr>
      <w:r>
        <w:rPr>
          <w:rFonts w:ascii="Calibri" w:hAnsi="Calibri"/>
          <w:b/>
          <w:i w:val="0"/>
          <w:color w:val="063E23"/>
          <w:sz w:val="21"/>
        </w:rPr>
        <w:t xml:space="preserve">Van: </w:t>
      </w:r>
      <w:r>
        <w:rPr>
          <w:rFonts w:ascii="Calibri" w:hAnsi="Calibri"/>
          <w:b w:val="0"/>
          <w:i w:val="0"/>
          <w:color w:val="222222"/>
          <w:sz w:val="21"/>
        </w:rPr>
        <w:t>Hoerskool Florida App-projekspan</w:t>
      </w:r>
    </w:p>
    <w:p>
      <w:pPr>
        <w:spacing w:after="40"/>
      </w:pPr>
      <w:r>
        <w:rPr>
          <w:rFonts w:ascii="Calibri" w:hAnsi="Calibri"/>
          <w:b/>
          <w:i w:val="0"/>
          <w:color w:val="063E23"/>
          <w:sz w:val="21"/>
        </w:rPr>
        <w:t xml:space="preserve">Datum: </w:t>
      </w:r>
      <w:r>
        <w:rPr>
          <w:rFonts w:ascii="Calibri" w:hAnsi="Calibri"/>
          <w:b w:val="0"/>
          <w:i w:val="0"/>
          <w:color w:val="222222"/>
          <w:sz w:val="21"/>
        </w:rPr>
        <w:t>13 Julie 2026</w:t>
      </w:r>
    </w:p>
    <w:p>
      <w:pPr>
        <w:spacing w:after="40"/>
      </w:pPr>
      <w:r>
        <w:rPr>
          <w:rFonts w:ascii="Calibri" w:hAnsi="Calibri"/>
          <w:b/>
          <w:i w:val="0"/>
          <w:color w:val="063E23"/>
          <w:sz w:val="21"/>
        </w:rPr>
        <w:t xml:space="preserve">Onderwerp: </w:t>
      </w:r>
      <w:r>
        <w:rPr>
          <w:rFonts w:ascii="Calibri" w:hAnsi="Calibri"/>
          <w:b w:val="0"/>
          <w:i w:val="0"/>
          <w:color w:val="222222"/>
          <w:sz w:val="21"/>
        </w:rPr>
        <w:t>Goedkeuring vir webloodsing en proefimplementering van die Hoerskool Florida leerplatform</w:t>
      </w:r>
    </w:p>
    <w:p>
      <w:pPr>
        <w:spacing w:after="40"/>
      </w:pPr>
      <w:r>
        <w:rPr>
          <w:rFonts w:ascii="Calibri" w:hAnsi="Calibri"/>
          <w:b/>
          <w:i w:val="0"/>
          <w:color w:val="063E23"/>
          <w:sz w:val="21"/>
        </w:rPr>
        <w:t xml:space="preserve">Besluit benodig: </w:t>
      </w:r>
      <w:r>
        <w:rPr>
          <w:rFonts w:ascii="Calibri" w:hAnsi="Calibri"/>
          <w:b w:val="0"/>
          <w:i w:val="0"/>
          <w:color w:val="222222"/>
          <w:sz w:val="21"/>
        </w:rPr>
        <w:t>Beginselgoedkeuring vir voortgesette ontwikkeling, beperkte aanlyn-proeflopie en finale beleidstoetsing.</w:t>
      </w:r>
    </w:p>
    <w:tbl>
      <w:tblPr>
        <w:tblW w:type="auto" w:w="0"/>
        <w:jc w:val="center"/>
        <w:tblLayout w:type="fixed"/>
        <w:tblLook w:firstColumn="1" w:firstRow="1" w:lastColumn="0" w:lastRow="0" w:noHBand="0" w:noVBand="1" w:val="04A0"/>
      </w:tblPr>
      <w:tblGrid>
        <w:gridCol w:w="9360"/>
      </w:tblGrid>
      <w:tr>
        <w:tc>
          <w:tcPr>
            <w:tcW w:type="dxa" w:w="9360"/>
            <w:tcMar>
              <w:top w:w="160" w:type="dxa"/>
              <w:start w:w="180" w:type="dxa"/>
              <w:bottom w:w="160" w:type="dxa"/>
              <w:end w:w="180" w:type="dxa"/>
            </w:tcMar>
            <w:shd w:fill="FFF5D6"/>
          </w:tcPr>
          <w:p>
            <w:pPr>
              <w:spacing w:after="80"/>
            </w:pPr>
            <w:r>
              <w:rPr>
                <w:rFonts w:ascii="Calibri" w:hAnsi="Calibri"/>
                <w:b/>
                <w:i w:val="0"/>
                <w:color w:val="B6282B"/>
                <w:sz w:val="23"/>
              </w:rPr>
              <w:t>Kernversoek</w:t>
            </w:r>
          </w:p>
          <w:p>
            <w:pPr>
              <w:spacing w:after="0" w:line="269" w:lineRule="auto"/>
            </w:pPr>
            <w:r>
              <w:rPr>
                <w:rFonts w:ascii="Calibri" w:hAnsi="Calibri"/>
                <w:b w:val="0"/>
                <w:i w:val="0"/>
                <w:color w:val="222222"/>
                <w:sz w:val="21"/>
              </w:rPr>
              <w:t>Die Skoolbeheerliggaam word versoek om beginselgoedkeuring te gee dat die projekspan die Hoerskool Florida App verder mag verfyn, ’n klein aanlyn-proeflopie mag voorberei, en alle toepaslike toestemming-, privaatheid- en veiligheidsvereistes formeel mag finaliseer voordat enige publieke gebruik plaasvind.</w:t>
            </w:r>
          </w:p>
        </w:tc>
      </w:tr>
    </w:tbl>
    <w:p>
      <w:pPr>
        <w:spacing w:after="40"/>
      </w:pPr>
    </w:p>
    <w:p>
      <w:pPr>
        <w:spacing w:before="280" w:after="120"/>
      </w:pPr>
      <w:r>
        <w:rPr>
          <w:rFonts w:ascii="Calibri" w:hAnsi="Calibri"/>
          <w:b/>
          <w:i w:val="0"/>
          <w:color w:val="0B5A32"/>
          <w:sz w:val="32"/>
        </w:rPr>
        <w:t>1. Projekopsomming</w:t>
      </w:r>
    </w:p>
    <w:p>
      <w:pPr>
        <w:spacing w:before="0" w:after="120" w:line="264" w:lineRule="auto"/>
      </w:pPr>
      <w:r>
        <w:rPr>
          <w:rFonts w:ascii="Calibri" w:hAnsi="Calibri"/>
          <w:b w:val="0"/>
          <w:i w:val="0"/>
          <w:color w:val="222222"/>
          <w:sz w:val="22"/>
        </w:rPr>
        <w:t>Die Hoerskool Florida App is ’n digitale leerplatform wat daarop gemik is om leerders se vaardighede op ’n toeganklike, interaktiewe en motiverende manier te versterk. Die platform ondersteun akademiese oefening, leesbegrip, spelgebaseerde leer en ’n afsonderlike Kodering Akademie wat jong leerders stelselmatig aan probleemoplossing en rekenaardenke bekendstel.</w:t>
      </w:r>
    </w:p>
    <w:p>
      <w:pPr>
        <w:pStyle w:val="ListBullet"/>
        <w:spacing w:after="80"/>
        <w:ind w:left="360" w:hanging="144"/>
      </w:pPr>
      <w:r>
        <w:rPr>
          <w:rFonts w:ascii="Calibri" w:hAnsi="Calibri"/>
          <w:b w:val="0"/>
          <w:i w:val="0"/>
          <w:color w:val="222222"/>
          <w:sz w:val="21"/>
        </w:rPr>
        <w:t>Teikengebruikers: Hoerskool Florida-leerders en, waar toepaslik, omliggende laerskole as deel van uitreik en voorbereiding.</w:t>
      </w:r>
    </w:p>
    <w:p>
      <w:pPr>
        <w:pStyle w:val="ListBullet"/>
        <w:spacing w:after="80"/>
        <w:ind w:left="360" w:hanging="144"/>
      </w:pPr>
      <w:r>
        <w:rPr>
          <w:rFonts w:ascii="Calibri" w:hAnsi="Calibri"/>
          <w:b w:val="0"/>
          <w:i w:val="0"/>
          <w:color w:val="222222"/>
          <w:sz w:val="21"/>
        </w:rPr>
        <w:t>Taal en identiteit: Afrikaans-vriendelike ervaring met Hoerskool Florida-kleure en skoolwapen.</w:t>
      </w:r>
    </w:p>
    <w:p>
      <w:pPr>
        <w:pStyle w:val="ListBullet"/>
        <w:spacing w:after="80"/>
        <w:ind w:left="360" w:hanging="144"/>
      </w:pPr>
      <w:r>
        <w:rPr>
          <w:rFonts w:ascii="Calibri" w:hAnsi="Calibri"/>
          <w:b w:val="0"/>
          <w:i w:val="0"/>
          <w:color w:val="222222"/>
          <w:sz w:val="21"/>
        </w:rPr>
        <w:t>Leerbenadering: kort oefeninge, onmiddellike terugvoer, punte, vlakke, avatars en speelse aktiwiteite.</w:t>
      </w:r>
    </w:p>
    <w:p>
      <w:pPr>
        <w:spacing w:before="280" w:after="120"/>
      </w:pPr>
      <w:r>
        <w:rPr>
          <w:rFonts w:ascii="Calibri" w:hAnsi="Calibri"/>
          <w:b/>
          <w:i w:val="0"/>
          <w:color w:val="0B5A32"/>
          <w:sz w:val="32"/>
        </w:rPr>
        <w:t>2. Opvoedkundige waarde</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tcMar>
              <w:top w:w="100" w:type="dxa"/>
              <w:start w:w="120" w:type="dxa"/>
              <w:bottom w:w="100" w:type="dxa"/>
              <w:end w:w="120" w:type="dxa"/>
            </w:tcMar>
            <w:shd w:fill="F3F5F4"/>
            <w:vAlign w:val="center"/>
          </w:tcPr>
          <w:p>
            <w:pPr>
              <w:spacing w:after="0"/>
            </w:pPr>
            <w:r/>
            <w:r>
              <w:rPr>
                <w:rFonts w:ascii="Calibri" w:hAnsi="Calibri"/>
                <w:b/>
                <w:color w:val="063E23"/>
                <w:sz w:val="19"/>
              </w:rPr>
              <w:t>Vaardigheidsbou</w:t>
            </w:r>
          </w:p>
        </w:tc>
        <w:tc>
          <w:tcPr>
            <w:tcW w:type="dxa" w:w="6840"/>
            <w:tcMar>
              <w:top w:w="100" w:type="dxa"/>
              <w:start w:w="120" w:type="dxa"/>
              <w:bottom w:w="100" w:type="dxa"/>
              <w:end w:w="120" w:type="dxa"/>
            </w:tcMar>
            <w:vAlign w:val="center"/>
          </w:tcPr>
          <w:p>
            <w:pPr>
              <w:spacing w:after="0"/>
            </w:pPr>
            <w:r/>
            <w:r>
              <w:rPr>
                <w:rFonts w:ascii="Calibri" w:hAnsi="Calibri"/>
                <w:b w:val="0"/>
                <w:color w:val="222222"/>
                <w:sz w:val="19"/>
              </w:rPr>
              <w:t>Leerders oefen lees, begrip, akkuraatheid, tydsbestuur en basiese probleemoplossing in klein, haalbare stappe.</w:t>
            </w:r>
          </w:p>
        </w:tc>
      </w:tr>
      <w:tr>
        <w:tc>
          <w:tcPr>
            <w:tcW w:type="dxa" w:w="4680"/>
            <w:shd w:fill="F3F5F4"/>
            <w:vAlign w:val="center"/>
          </w:tcPr>
          <w:p>
            <w:pPr>
              <w:spacing w:after="0"/>
            </w:pPr>
            <w:r/>
            <w:r>
              <w:rPr>
                <w:rFonts w:ascii="Calibri" w:hAnsi="Calibri"/>
                <w:b/>
                <w:color w:val="063E23"/>
                <w:sz w:val="19"/>
              </w:rPr>
              <w:t>Kodering</w:t>
            </w:r>
          </w:p>
        </w:tc>
        <w:tc>
          <w:tcPr>
            <w:tcW w:type="dxa" w:w="4680"/>
            <w:vAlign w:val="center"/>
          </w:tcPr>
          <w:p>
            <w:pPr>
              <w:spacing w:after="0"/>
            </w:pPr>
            <w:r/>
            <w:r>
              <w:rPr>
                <w:rFonts w:ascii="Calibri" w:hAnsi="Calibri"/>
                <w:b w:val="0"/>
                <w:color w:val="222222"/>
                <w:sz w:val="19"/>
              </w:rPr>
              <w:t>Kodering word eers as logiese denke en patrone aangebied, en later as voorbereiding vir Python en Java op hoër grade.</w:t>
            </w:r>
          </w:p>
        </w:tc>
      </w:tr>
      <w:tr>
        <w:tc>
          <w:tcPr>
            <w:tcW w:type="dxa" w:w="4680"/>
            <w:shd w:fill="F3F5F4"/>
            <w:vAlign w:val="center"/>
          </w:tcPr>
          <w:p>
            <w:pPr>
              <w:spacing w:after="0"/>
            </w:pPr>
            <w:r/>
            <w:r>
              <w:rPr>
                <w:rFonts w:ascii="Calibri" w:hAnsi="Calibri"/>
                <w:b/>
                <w:color w:val="063E23"/>
                <w:sz w:val="19"/>
              </w:rPr>
              <w:t>Motivering</w:t>
            </w:r>
          </w:p>
        </w:tc>
        <w:tc>
          <w:tcPr>
            <w:tcW w:type="dxa" w:w="4680"/>
            <w:vAlign w:val="center"/>
          </w:tcPr>
          <w:p>
            <w:pPr>
              <w:spacing w:after="0"/>
            </w:pPr>
            <w:r/>
            <w:r>
              <w:rPr>
                <w:rFonts w:ascii="Calibri" w:hAnsi="Calibri"/>
                <w:b w:val="0"/>
                <w:color w:val="222222"/>
                <w:sz w:val="19"/>
              </w:rPr>
              <w:t>Spelelemente soos vlakke, avatars en kort vasvrae help om herhaalde oefening minder intimiderend te maak.</w:t>
            </w:r>
          </w:p>
        </w:tc>
      </w:tr>
      <w:tr>
        <w:tc>
          <w:tcPr>
            <w:tcW w:type="dxa" w:w="4680"/>
            <w:shd w:fill="F3F5F4"/>
            <w:vAlign w:val="center"/>
          </w:tcPr>
          <w:p>
            <w:pPr>
              <w:spacing w:after="0"/>
            </w:pPr>
            <w:r/>
            <w:r>
              <w:rPr>
                <w:rFonts w:ascii="Calibri" w:hAnsi="Calibri"/>
                <w:b/>
                <w:color w:val="063E23"/>
                <w:sz w:val="19"/>
              </w:rPr>
              <w:t>Gemeenskapswaarde</w:t>
            </w:r>
          </w:p>
        </w:tc>
        <w:tc>
          <w:tcPr>
            <w:tcW w:type="dxa" w:w="4680"/>
            <w:vAlign w:val="center"/>
          </w:tcPr>
          <w:p>
            <w:pPr>
              <w:spacing w:after="0"/>
            </w:pPr>
            <w:r/>
            <w:r>
              <w:rPr>
                <w:rFonts w:ascii="Calibri" w:hAnsi="Calibri"/>
                <w:b w:val="0"/>
                <w:color w:val="222222"/>
                <w:sz w:val="19"/>
              </w:rPr>
              <w:t>Die projek kan as ’n positiewe advertensie vir die skool dien en verhoudings met omliggende laerskole versterk.</w:t>
            </w:r>
          </w:p>
        </w:tc>
      </w:tr>
    </w:tbl>
    <w:p>
      <w:pPr>
        <w:spacing w:after="40"/>
      </w:pPr>
    </w:p>
    <w:p>
      <w:pPr>
        <w:spacing w:before="280" w:after="120"/>
      </w:pPr>
      <w:r>
        <w:rPr>
          <w:rFonts w:ascii="Calibri" w:hAnsi="Calibri"/>
          <w:b/>
          <w:i w:val="0"/>
          <w:color w:val="0B5A32"/>
          <w:sz w:val="32"/>
        </w:rPr>
        <w:t>3. Huidige funksionaliteit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tcMar>
              <w:top w:w="100" w:type="dxa"/>
              <w:start w:w="120" w:type="dxa"/>
              <w:bottom w:w="100" w:type="dxa"/>
              <w:end w:w="120" w:type="dxa"/>
            </w:tcMar>
            <w:shd w:fill="0B5A32"/>
            <w:vAlign w:val="center"/>
          </w:tcPr>
          <w:p>
            <w:pPr>
              <w:spacing w:after="0"/>
            </w:pPr>
            <w:r/>
            <w:r>
              <w:rPr>
                <w:rFonts w:ascii="Calibri" w:hAnsi="Calibri"/>
                <w:b/>
                <w:color w:val="FFFFFF"/>
                <w:sz w:val="19"/>
              </w:rPr>
              <w:t>Area</w:t>
            </w:r>
          </w:p>
        </w:tc>
        <w:tc>
          <w:tcPr>
            <w:tcW w:type="dxa" w:w="3384"/>
            <w:tcMar>
              <w:top w:w="100" w:type="dxa"/>
              <w:start w:w="120" w:type="dxa"/>
              <w:bottom w:w="100" w:type="dxa"/>
              <w:end w:w="120" w:type="dxa"/>
            </w:tcMar>
            <w:shd w:fill="0B5A32"/>
            <w:vAlign w:val="center"/>
          </w:tcPr>
          <w:p>
            <w:pPr>
              <w:spacing w:after="0"/>
            </w:pPr>
            <w:r/>
            <w:r>
              <w:rPr>
                <w:rFonts w:ascii="Calibri" w:hAnsi="Calibri"/>
                <w:b/>
                <w:color w:val="FFFFFF"/>
                <w:sz w:val="19"/>
              </w:rPr>
              <w:t>Wat dit tans bied</w:t>
            </w:r>
          </w:p>
        </w:tc>
        <w:tc>
          <w:tcPr>
            <w:tcW w:type="dxa" w:w="3600"/>
            <w:tcMar>
              <w:top w:w="100" w:type="dxa"/>
              <w:start w:w="120" w:type="dxa"/>
              <w:bottom w:w="100" w:type="dxa"/>
              <w:end w:w="120" w:type="dxa"/>
            </w:tcMar>
            <w:shd w:fill="0B5A32"/>
            <w:vAlign w:val="center"/>
          </w:tcPr>
          <w:p>
            <w:pPr>
              <w:spacing w:after="0"/>
            </w:pPr>
            <w:r/>
            <w:r>
              <w:rPr>
                <w:rFonts w:ascii="Calibri" w:hAnsi="Calibri"/>
                <w:b/>
                <w:color w:val="FFFFFF"/>
                <w:sz w:val="19"/>
              </w:rPr>
              <w:t>Waarde vir die skool</w:t>
            </w:r>
          </w:p>
        </w:tc>
      </w:tr>
      <w:tr>
        <w:tc>
          <w:tcPr>
            <w:tcW w:type="dxa" w:w="3120"/>
            <w:vAlign w:val="center"/>
          </w:tcPr>
          <w:p>
            <w:pPr>
              <w:spacing w:after="0"/>
            </w:pPr>
            <w:r/>
            <w:r>
              <w:rPr>
                <w:rFonts w:ascii="Calibri" w:hAnsi="Calibri"/>
                <w:b w:val="0"/>
                <w:color w:val="222222"/>
                <w:sz w:val="18"/>
              </w:rPr>
              <w:t>Leerderervaring</w:t>
            </w:r>
          </w:p>
        </w:tc>
        <w:tc>
          <w:tcPr>
            <w:tcW w:type="dxa" w:w="3120"/>
            <w:vAlign w:val="center"/>
          </w:tcPr>
          <w:p>
            <w:pPr>
              <w:spacing w:after="0"/>
            </w:pPr>
            <w:r/>
            <w:r>
              <w:rPr>
                <w:rFonts w:ascii="Calibri" w:hAnsi="Calibri"/>
                <w:b w:val="0"/>
                <w:color w:val="222222"/>
                <w:sz w:val="18"/>
              </w:rPr>
              <w:t>Registrasie, profiel, avatar-keuse, lees-/oefenaktiwiteite en punte.</w:t>
            </w:r>
          </w:p>
        </w:tc>
        <w:tc>
          <w:tcPr>
            <w:tcW w:type="dxa" w:w="3120"/>
            <w:vAlign w:val="center"/>
          </w:tcPr>
          <w:p>
            <w:pPr>
              <w:spacing w:after="0"/>
            </w:pPr>
            <w:r/>
            <w:r>
              <w:rPr>
                <w:rFonts w:ascii="Calibri" w:hAnsi="Calibri"/>
                <w:b w:val="0"/>
                <w:color w:val="222222"/>
                <w:sz w:val="18"/>
              </w:rPr>
              <w:t>Makliker deelname en persoonlike betrokkenheid.</w:t>
            </w:r>
          </w:p>
        </w:tc>
      </w:tr>
      <w:tr>
        <w:tc>
          <w:tcPr>
            <w:tcW w:type="dxa" w:w="3120"/>
            <w:vAlign w:val="center"/>
          </w:tcPr>
          <w:p>
            <w:pPr>
              <w:spacing w:after="0"/>
            </w:pPr>
            <w:r/>
            <w:r>
              <w:rPr>
                <w:rFonts w:ascii="Calibri" w:hAnsi="Calibri"/>
                <w:b w:val="0"/>
                <w:color w:val="222222"/>
                <w:sz w:val="18"/>
              </w:rPr>
              <w:t>Kodering Akademie</w:t>
            </w:r>
          </w:p>
        </w:tc>
        <w:tc>
          <w:tcPr>
            <w:tcW w:type="dxa" w:w="3120"/>
            <w:vAlign w:val="center"/>
          </w:tcPr>
          <w:p>
            <w:pPr>
              <w:spacing w:after="0"/>
            </w:pPr>
            <w:r/>
            <w:r>
              <w:rPr>
                <w:rFonts w:ascii="Calibri" w:hAnsi="Calibri"/>
                <w:b w:val="0"/>
                <w:color w:val="222222"/>
                <w:sz w:val="18"/>
              </w:rPr>
              <w:t>Afsonderlike modules met lesinhoud, interaktiewe take en eenmalige vasvrae.</w:t>
            </w:r>
          </w:p>
        </w:tc>
        <w:tc>
          <w:tcPr>
            <w:tcW w:type="dxa" w:w="3120"/>
            <w:vAlign w:val="center"/>
          </w:tcPr>
          <w:p>
            <w:pPr>
              <w:spacing w:after="0"/>
            </w:pPr>
            <w:r/>
            <w:r>
              <w:rPr>
                <w:rFonts w:ascii="Calibri" w:hAnsi="Calibri"/>
                <w:b w:val="0"/>
                <w:color w:val="222222"/>
                <w:sz w:val="18"/>
              </w:rPr>
              <w:t>Vroeë blootstelling aan rekenaardenke sonder om jong leerders te oorweldig.</w:t>
            </w:r>
          </w:p>
        </w:tc>
      </w:tr>
      <w:tr>
        <w:tc>
          <w:tcPr>
            <w:tcW w:type="dxa" w:w="3120"/>
            <w:vAlign w:val="center"/>
          </w:tcPr>
          <w:p>
            <w:pPr>
              <w:spacing w:after="0"/>
            </w:pPr>
            <w:r/>
            <w:r>
              <w:rPr>
                <w:rFonts w:ascii="Calibri" w:hAnsi="Calibri"/>
                <w:b w:val="0"/>
                <w:color w:val="222222"/>
                <w:sz w:val="18"/>
              </w:rPr>
              <w:t>Onderwyser-/adminsig</w:t>
            </w:r>
          </w:p>
        </w:tc>
        <w:tc>
          <w:tcPr>
            <w:tcW w:type="dxa" w:w="3120"/>
            <w:vAlign w:val="center"/>
          </w:tcPr>
          <w:p>
            <w:pPr>
              <w:spacing w:after="0"/>
            </w:pPr>
            <w:r/>
            <w:r>
              <w:rPr>
                <w:rFonts w:ascii="Calibri" w:hAnsi="Calibri"/>
                <w:b w:val="0"/>
                <w:color w:val="222222"/>
                <w:sz w:val="18"/>
              </w:rPr>
              <w:t>Basiese vraagbestuur, kategorieë en vorderingsdata.</w:t>
            </w:r>
          </w:p>
        </w:tc>
        <w:tc>
          <w:tcPr>
            <w:tcW w:type="dxa" w:w="3120"/>
            <w:vAlign w:val="center"/>
          </w:tcPr>
          <w:p>
            <w:pPr>
              <w:spacing w:after="0"/>
            </w:pPr>
            <w:r/>
            <w:r>
              <w:rPr>
                <w:rFonts w:ascii="Calibri" w:hAnsi="Calibri"/>
                <w:b w:val="0"/>
                <w:color w:val="222222"/>
                <w:sz w:val="18"/>
              </w:rPr>
              <w:t>Beter sigbaarheid oor deelname en inhoud wat verbeter moet word.</w:t>
            </w:r>
          </w:p>
        </w:tc>
      </w:tr>
    </w:tbl>
    <w:p>
      <w:pPr>
        <w:spacing w:after="40"/>
      </w:pPr>
    </w:p>
    <w:p>
      <w:pPr>
        <w:spacing w:before="280" w:after="120"/>
      </w:pPr>
      <w:r>
        <w:rPr>
          <w:rFonts w:ascii="Calibri" w:hAnsi="Calibri"/>
          <w:b/>
          <w:i w:val="0"/>
          <w:color w:val="0B5A32"/>
          <w:sz w:val="32"/>
        </w:rPr>
        <w:t>4. Voorgestelde aanlyn-proeflopie</w:t>
      </w:r>
    </w:p>
    <w:p>
      <w:pPr>
        <w:pStyle w:val="ListNumber"/>
        <w:spacing w:after="80"/>
      </w:pPr>
      <w:r>
        <w:rPr>
          <w:rFonts w:ascii="Calibri" w:hAnsi="Calibri"/>
          <w:b w:val="0"/>
          <w:i w:val="0"/>
          <w:color w:val="222222"/>
          <w:sz w:val="21"/>
        </w:rPr>
        <w:t>Fase 1: Interne toetsing met ’n klein groep leerders en onderwysers om gebruiksvriendelikheid en inhoud te verfyn.</w:t>
      </w:r>
    </w:p>
    <w:p>
      <w:pPr>
        <w:pStyle w:val="ListNumber"/>
        <w:spacing w:after="80"/>
      </w:pPr>
      <w:r>
        <w:rPr>
          <w:rFonts w:ascii="Calibri" w:hAnsi="Calibri"/>
          <w:b w:val="0"/>
          <w:i w:val="0"/>
          <w:color w:val="222222"/>
          <w:sz w:val="21"/>
        </w:rPr>
        <w:t>Fase 2: Beperkte webloodsing op ’n Azure VM met toegang vir ’n beheerde groep.</w:t>
      </w:r>
    </w:p>
    <w:p>
      <w:pPr>
        <w:pStyle w:val="ListNumber"/>
        <w:spacing w:after="80"/>
      </w:pPr>
      <w:r>
        <w:rPr>
          <w:rFonts w:ascii="Calibri" w:hAnsi="Calibri"/>
          <w:b w:val="0"/>
          <w:i w:val="0"/>
          <w:color w:val="222222"/>
          <w:sz w:val="21"/>
        </w:rPr>
        <w:t>Fase 3: Terugvoer, veiligheidstoetsing, kostemonitering en aanpassing van inhoud.</w:t>
      </w:r>
    </w:p>
    <w:p>
      <w:pPr>
        <w:pStyle w:val="ListNumber"/>
        <w:spacing w:after="80"/>
      </w:pPr>
      <w:r>
        <w:rPr>
          <w:rFonts w:ascii="Calibri" w:hAnsi="Calibri"/>
          <w:b w:val="0"/>
          <w:i w:val="0"/>
          <w:color w:val="222222"/>
          <w:sz w:val="21"/>
        </w:rPr>
        <w:t>Fase 4: Besluit oor breër skoolgebruik en moontlike subdomein, byvoorbeeld ’n skoolgoedgekeurde webadres.</w:t>
      </w:r>
    </w:p>
    <w:p>
      <w:pPr>
        <w:spacing w:before="280" w:after="120"/>
      </w:pPr>
      <w:r>
        <w:rPr>
          <w:rFonts w:ascii="Calibri" w:hAnsi="Calibri"/>
          <w:b/>
          <w:i w:val="0"/>
          <w:color w:val="0B5A32"/>
          <w:sz w:val="32"/>
        </w:rPr>
        <w:t>5. Voorlopige kosteraamwerk vir Azure VM</w:t>
      </w:r>
    </w:p>
    <w:p>
      <w:pPr>
        <w:spacing w:before="0" w:after="120" w:line="264" w:lineRule="auto"/>
      </w:pPr>
      <w:r>
        <w:rPr>
          <w:rFonts w:ascii="Calibri" w:hAnsi="Calibri"/>
          <w:b w:val="0"/>
          <w:i w:val="0"/>
          <w:color w:val="222222"/>
          <w:sz w:val="22"/>
        </w:rPr>
        <w:t>Die werklike koste sal afhang van die finale VM-grootte, streek, skyfspasie, bandwydte, rugsteunbeleid, sekuriteitsopsies en wisselkoers. Die onderstaande is ’n bestuursraming vir ’n proefplatform met ongeveer 2 000 geregistreerde leerders, maar slegs ongeveer 20 aktiewe gebruikers per dag vir 2 uur per dag.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tcMar>
              <w:top w:w="100" w:type="dxa"/>
              <w:start w:w="120" w:type="dxa"/>
              <w:bottom w:w="100" w:type="dxa"/>
              <w:end w:w="120" w:type="dxa"/>
            </w:tcMar>
            <w:shd w:fill="0B5A32"/>
            <w:vAlign w:val="center"/>
          </w:tcPr>
          <w:p>
            <w:pPr>
              <w:spacing w:after="0"/>
            </w:pPr>
            <w:r/>
            <w:r>
              <w:rPr>
                <w:rFonts w:ascii="Calibri" w:hAnsi="Calibri"/>
                <w:b/>
                <w:color w:val="FFFFFF"/>
                <w:sz w:val="19"/>
              </w:rPr>
              <w:t>Opsie</w:t>
            </w:r>
          </w:p>
        </w:tc>
        <w:tc>
          <w:tcPr>
            <w:tcW w:type="dxa" w:w="3384"/>
            <w:tcMar>
              <w:top w:w="100" w:type="dxa"/>
              <w:start w:w="120" w:type="dxa"/>
              <w:bottom w:w="100" w:type="dxa"/>
              <w:end w:w="120" w:type="dxa"/>
            </w:tcMar>
            <w:shd w:fill="0B5A32"/>
            <w:vAlign w:val="center"/>
          </w:tcPr>
          <w:p>
            <w:pPr>
              <w:spacing w:after="0"/>
            </w:pPr>
            <w:r/>
            <w:r>
              <w:rPr>
                <w:rFonts w:ascii="Calibri" w:hAnsi="Calibri"/>
                <w:b/>
                <w:color w:val="FFFFFF"/>
                <w:sz w:val="19"/>
              </w:rPr>
              <w:t>Wanneer gepas</w:t>
            </w:r>
          </w:p>
        </w:tc>
        <w:tc>
          <w:tcPr>
            <w:tcW w:type="dxa" w:w="3600"/>
            <w:tcMar>
              <w:top w:w="100" w:type="dxa"/>
              <w:start w:w="120" w:type="dxa"/>
              <w:bottom w:w="100" w:type="dxa"/>
              <w:end w:w="120" w:type="dxa"/>
            </w:tcMar>
            <w:shd w:fill="0B5A32"/>
            <w:vAlign w:val="center"/>
          </w:tcPr>
          <w:p>
            <w:pPr>
              <w:spacing w:after="0"/>
            </w:pPr>
            <w:r/>
            <w:r>
              <w:rPr>
                <w:rFonts w:ascii="Calibri" w:hAnsi="Calibri"/>
                <w:b/>
                <w:color w:val="FFFFFF"/>
                <w:sz w:val="19"/>
              </w:rPr>
              <w:t>Bestuursraming per maand</w:t>
            </w:r>
          </w:p>
        </w:tc>
      </w:tr>
      <w:tr>
        <w:tc>
          <w:tcPr>
            <w:tcW w:type="dxa" w:w="3120"/>
            <w:shd w:fill="EAF4EE"/>
            <w:vAlign w:val="center"/>
          </w:tcPr>
          <w:p>
            <w:pPr>
              <w:spacing w:after="0"/>
            </w:pPr>
            <w:r/>
            <w:r>
              <w:rPr>
                <w:rFonts w:ascii="Calibri" w:hAnsi="Calibri"/>
                <w:b w:val="0"/>
                <w:color w:val="222222"/>
                <w:sz w:val="18"/>
              </w:rPr>
              <w:t>Azure Free/Pilot VM</w:t>
            </w:r>
          </w:p>
        </w:tc>
        <w:tc>
          <w:tcPr>
            <w:tcW w:type="dxa" w:w="3120"/>
            <w:shd w:fill="EAF4EE"/>
            <w:vAlign w:val="center"/>
          </w:tcPr>
          <w:p>
            <w:pPr>
              <w:spacing w:after="0"/>
            </w:pPr>
            <w:r/>
            <w:r>
              <w:rPr>
                <w:rFonts w:ascii="Calibri" w:hAnsi="Calibri"/>
                <w:b w:val="0"/>
                <w:color w:val="222222"/>
                <w:sz w:val="18"/>
              </w:rPr>
              <w:t>Slegs nuwe Azure-rekening; nuttig vir bewys-van-konsep.</w:t>
            </w:r>
          </w:p>
        </w:tc>
        <w:tc>
          <w:tcPr>
            <w:tcW w:type="dxa" w:w="3120"/>
            <w:shd w:fill="EAF4EE"/>
            <w:vAlign w:val="center"/>
          </w:tcPr>
          <w:p>
            <w:pPr>
              <w:spacing w:after="0"/>
            </w:pPr>
            <w:r/>
            <w:r>
              <w:rPr>
                <w:rFonts w:ascii="Calibri" w:hAnsi="Calibri"/>
                <w:b w:val="0"/>
                <w:color w:val="222222"/>
                <w:sz w:val="18"/>
              </w:rPr>
              <w:t>R0-R500 vir die eerste jaar indien binne gratis limiete; werkverrigting kan beperk wees.</w:t>
            </w:r>
          </w:p>
        </w:tc>
      </w:tr>
      <w:tr>
        <w:tc>
          <w:tcPr>
            <w:tcW w:type="dxa" w:w="3120"/>
            <w:shd w:fill="FFF5D6"/>
            <w:vAlign w:val="center"/>
          </w:tcPr>
          <w:p>
            <w:pPr>
              <w:spacing w:after="0"/>
            </w:pPr>
            <w:r/>
            <w:r>
              <w:rPr>
                <w:rFonts w:ascii="Calibri" w:hAnsi="Calibri"/>
                <w:b w:val="0"/>
                <w:color w:val="222222"/>
                <w:sz w:val="18"/>
              </w:rPr>
              <w:t>Klein VM</w:t>
            </w:r>
          </w:p>
        </w:tc>
        <w:tc>
          <w:tcPr>
            <w:tcW w:type="dxa" w:w="3120"/>
            <w:shd w:fill="FFF5D6"/>
            <w:vAlign w:val="center"/>
          </w:tcPr>
          <w:p>
            <w:pPr>
              <w:spacing w:after="0"/>
            </w:pPr>
            <w:r/>
            <w:r>
              <w:rPr>
                <w:rFonts w:ascii="Calibri" w:hAnsi="Calibri"/>
                <w:b w:val="0"/>
                <w:color w:val="222222"/>
                <w:sz w:val="18"/>
              </w:rPr>
              <w:t>Lae verkeer, beperkte gelyktydige gebruikers en eenvoudige databasis.</w:t>
            </w:r>
          </w:p>
        </w:tc>
        <w:tc>
          <w:tcPr>
            <w:tcW w:type="dxa" w:w="3120"/>
            <w:shd w:fill="FFF5D6"/>
            <w:vAlign w:val="center"/>
          </w:tcPr>
          <w:p>
            <w:pPr>
              <w:spacing w:after="0"/>
            </w:pPr>
            <w:r/>
            <w:r>
              <w:rPr>
                <w:rFonts w:ascii="Calibri" w:hAnsi="Calibri"/>
                <w:b w:val="0"/>
                <w:color w:val="222222"/>
                <w:sz w:val="18"/>
              </w:rPr>
              <w:t>Ongeveer R500-R900 per maand.</w:t>
            </w:r>
          </w:p>
        </w:tc>
      </w:tr>
      <w:tr>
        <w:tc>
          <w:tcPr>
            <w:tcW w:type="dxa" w:w="3120"/>
            <w:shd w:fill="FBE7E7"/>
            <w:vAlign w:val="center"/>
          </w:tcPr>
          <w:p>
            <w:pPr>
              <w:spacing w:after="0"/>
            </w:pPr>
            <w:r/>
            <w:r>
              <w:rPr>
                <w:rFonts w:ascii="Calibri" w:hAnsi="Calibri"/>
                <w:b w:val="0"/>
                <w:color w:val="222222"/>
                <w:sz w:val="18"/>
              </w:rPr>
              <w:t>Aanbevole proef-VM</w:t>
            </w:r>
          </w:p>
        </w:tc>
        <w:tc>
          <w:tcPr>
            <w:tcW w:type="dxa" w:w="3120"/>
            <w:shd w:fill="FBE7E7"/>
            <w:vAlign w:val="center"/>
          </w:tcPr>
          <w:p>
            <w:pPr>
              <w:spacing w:after="0"/>
            </w:pPr>
            <w:r/>
            <w:r>
              <w:rPr>
                <w:rFonts w:ascii="Calibri" w:hAnsi="Calibri"/>
                <w:b w:val="0"/>
                <w:color w:val="222222"/>
                <w:sz w:val="18"/>
              </w:rPr>
              <w:t>Meer gemaklike kapasiteit vir Streamlit, databasis en normale skoolgebruik.</w:t>
            </w:r>
          </w:p>
        </w:tc>
        <w:tc>
          <w:tcPr>
            <w:tcW w:type="dxa" w:w="3120"/>
            <w:shd w:fill="FBE7E7"/>
            <w:vAlign w:val="center"/>
          </w:tcPr>
          <w:p>
            <w:pPr>
              <w:spacing w:after="0"/>
            </w:pPr>
            <w:r/>
            <w:r>
              <w:rPr>
                <w:rFonts w:ascii="Calibri" w:hAnsi="Calibri"/>
                <w:b w:val="0"/>
                <w:color w:val="222222"/>
                <w:sz w:val="18"/>
              </w:rPr>
              <w:t>Ongeveer R1 200-R1 800 per maand.</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tcMar>
              <w:top w:w="160" w:type="dxa"/>
              <w:start w:w="180" w:type="dxa"/>
              <w:bottom w:w="160" w:type="dxa"/>
              <w:end w:w="180" w:type="dxa"/>
            </w:tcMar>
            <w:shd w:fill="FFF5D6"/>
          </w:tcPr>
          <w:p>
            <w:pPr>
              <w:spacing w:after="80"/>
            </w:pPr>
            <w:r>
              <w:rPr>
                <w:rFonts w:ascii="Calibri" w:hAnsi="Calibri"/>
                <w:b/>
                <w:i w:val="0"/>
                <w:color w:val="063E23"/>
                <w:sz w:val="23"/>
              </w:rPr>
              <w:t>Aanbevole begrotingslyn</w:t>
            </w:r>
          </w:p>
          <w:p>
            <w:pPr>
              <w:spacing w:after="0" w:line="269" w:lineRule="auto"/>
            </w:pPr>
            <w:r>
              <w:rPr>
                <w:rFonts w:ascii="Calibri" w:hAnsi="Calibri"/>
                <w:b w:val="0"/>
                <w:i w:val="0"/>
                <w:color w:val="222222"/>
                <w:sz w:val="21"/>
              </w:rPr>
              <w:t>Vir ’n realistiese proeflopie behoort die skool met ’n maksimum bestuursbegroting van ongeveer R1 000-R1 500 per maand te beplan, met ’n formele kostelimiet in Azure om onbedoelde uitgawes te voorkom. Die eerste jaar kan laer wees indien die skool vir gratis Azure-dienste kwalifiseer.</w:t>
            </w:r>
          </w:p>
        </w:tc>
      </w:tr>
    </w:tbl>
    <w:p>
      <w:pPr>
        <w:spacing w:after="40"/>
      </w:pPr>
    </w:p>
    <w:p>
      <w:pPr>
        <w:pStyle w:val="ListBullet"/>
        <w:spacing w:after="80"/>
        <w:ind w:left="360" w:hanging="144"/>
      </w:pPr>
      <w:r>
        <w:rPr>
          <w:rFonts w:ascii="Calibri" w:hAnsi="Calibri"/>
          <w:b w:val="0"/>
          <w:i w:val="0"/>
          <w:color w:val="222222"/>
          <w:sz w:val="21"/>
        </w:rPr>
        <w:t>VM-koste word hoofsaaklik deur 24/7 looptyd bepaal, nie net deur die 40 leerder-ure per dag nie.</w:t>
      </w:r>
    </w:p>
    <w:p>
      <w:pPr>
        <w:pStyle w:val="ListBullet"/>
        <w:spacing w:after="80"/>
        <w:ind w:left="360" w:hanging="144"/>
      </w:pPr>
      <w:r>
        <w:rPr>
          <w:rFonts w:ascii="Calibri" w:hAnsi="Calibri"/>
          <w:b w:val="0"/>
          <w:i w:val="0"/>
          <w:color w:val="222222"/>
          <w:sz w:val="21"/>
        </w:rPr>
        <w:t>Bandwydte behoort aanvanklik laag te wees; Microsoft noem ’n gratis eerste 100 GB per maand vir internet-egress op hul bandwydteblad.</w:t>
      </w:r>
    </w:p>
    <w:p>
      <w:pPr>
        <w:pStyle w:val="ListBullet"/>
        <w:spacing w:after="80"/>
        <w:ind w:left="360" w:hanging="144"/>
      </w:pPr>
      <w:r>
        <w:rPr>
          <w:rFonts w:ascii="Calibri" w:hAnsi="Calibri"/>
          <w:b w:val="0"/>
          <w:i w:val="0"/>
          <w:color w:val="222222"/>
          <w:sz w:val="21"/>
        </w:rPr>
        <w:t>Skyfberging, rugsteun en sekuriteitsdienste kan apart gehef word en moet in die finale Azure-kosteberaming ingesluit word.</w:t>
      </w:r>
    </w:p>
    <w:p>
      <w:pPr>
        <w:spacing w:before="280" w:after="120"/>
      </w:pPr>
      <w:r>
        <w:rPr>
          <w:rFonts w:ascii="Calibri" w:hAnsi="Calibri"/>
          <w:b/>
          <w:i w:val="0"/>
          <w:color w:val="0B5A32"/>
          <w:sz w:val="32"/>
        </w:rPr>
        <w:t>6. Bestuur, toestemming en risiko’s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tcMar>
              <w:top w:w="100" w:type="dxa"/>
              <w:start w:w="120" w:type="dxa"/>
              <w:bottom w:w="100" w:type="dxa"/>
              <w:end w:w="120" w:type="dxa"/>
            </w:tcMar>
            <w:shd w:fill="0B5A32"/>
            <w:vAlign w:val="center"/>
          </w:tcPr>
          <w:p>
            <w:pPr>
              <w:spacing w:after="0"/>
            </w:pPr>
            <w:r/>
            <w:r>
              <w:rPr>
                <w:rFonts w:ascii="Calibri" w:hAnsi="Calibri"/>
                <w:b/>
                <w:color w:val="FFFFFF"/>
                <w:sz w:val="19"/>
              </w:rPr>
              <w:t>Risiko</w:t>
            </w:r>
          </w:p>
        </w:tc>
        <w:tc>
          <w:tcPr>
            <w:tcW w:type="dxa" w:w="3384"/>
            <w:tcMar>
              <w:top w:w="100" w:type="dxa"/>
              <w:start w:w="120" w:type="dxa"/>
              <w:bottom w:w="100" w:type="dxa"/>
              <w:end w:w="120" w:type="dxa"/>
            </w:tcMar>
            <w:shd w:fill="0B5A32"/>
            <w:vAlign w:val="center"/>
          </w:tcPr>
          <w:p>
            <w:pPr>
              <w:spacing w:after="0"/>
            </w:pPr>
            <w:r/>
            <w:r>
              <w:rPr>
                <w:rFonts w:ascii="Calibri" w:hAnsi="Calibri"/>
                <w:b/>
                <w:color w:val="FFFFFF"/>
                <w:sz w:val="19"/>
              </w:rPr>
              <w:t>Waarom dit saak maak</w:t>
            </w:r>
          </w:p>
        </w:tc>
        <w:tc>
          <w:tcPr>
            <w:tcW w:type="dxa" w:w="3600"/>
            <w:tcMar>
              <w:top w:w="100" w:type="dxa"/>
              <w:start w:w="120" w:type="dxa"/>
              <w:bottom w:w="100" w:type="dxa"/>
              <w:end w:w="120" w:type="dxa"/>
            </w:tcMar>
            <w:shd w:fill="0B5A32"/>
            <w:vAlign w:val="center"/>
          </w:tcPr>
          <w:p>
            <w:pPr>
              <w:spacing w:after="0"/>
            </w:pPr>
            <w:r/>
            <w:r>
              <w:rPr>
                <w:rFonts w:ascii="Calibri" w:hAnsi="Calibri"/>
                <w:b/>
                <w:color w:val="FFFFFF"/>
                <w:sz w:val="19"/>
              </w:rPr>
              <w:t>Voorgestelde beheer</w:t>
            </w:r>
          </w:p>
        </w:tc>
      </w:tr>
      <w:tr>
        <w:tc>
          <w:tcPr>
            <w:tcW w:type="dxa" w:w="3120"/>
            <w:vAlign w:val="center"/>
          </w:tcPr>
          <w:p>
            <w:pPr>
              <w:spacing w:after="0"/>
            </w:pPr>
            <w:r/>
            <w:r>
              <w:rPr>
                <w:rFonts w:ascii="Calibri" w:hAnsi="Calibri"/>
                <w:b w:val="0"/>
                <w:color w:val="222222"/>
                <w:sz w:val="18"/>
              </w:rPr>
              <w:t>POPIA en leerderdata</w:t>
            </w:r>
          </w:p>
        </w:tc>
        <w:tc>
          <w:tcPr>
            <w:tcW w:type="dxa" w:w="3120"/>
            <w:vAlign w:val="center"/>
          </w:tcPr>
          <w:p>
            <w:pPr>
              <w:spacing w:after="0"/>
            </w:pPr>
            <w:r/>
            <w:r>
              <w:rPr>
                <w:rFonts w:ascii="Calibri" w:hAnsi="Calibri"/>
                <w:b w:val="0"/>
                <w:color w:val="222222"/>
                <w:sz w:val="18"/>
              </w:rPr>
              <w:t>Die platform kan name, grade en vorderingsdata bevat.</w:t>
            </w:r>
          </w:p>
        </w:tc>
        <w:tc>
          <w:tcPr>
            <w:tcW w:type="dxa" w:w="3120"/>
            <w:vAlign w:val="center"/>
          </w:tcPr>
          <w:p>
            <w:pPr>
              <w:spacing w:after="0"/>
            </w:pPr>
            <w:r/>
            <w:r>
              <w:rPr>
                <w:rFonts w:ascii="Calibri" w:hAnsi="Calibri"/>
                <w:b w:val="0"/>
                <w:color w:val="222222"/>
                <w:sz w:val="18"/>
              </w:rPr>
              <w:t>Gebruik minimale data, ouer-/skooltoestemming waar nodig, toegangsbeheer en ’n eenvoudige privaatheidskennisgewing.</w:t>
            </w:r>
          </w:p>
        </w:tc>
      </w:tr>
      <w:tr>
        <w:tc>
          <w:tcPr>
            <w:tcW w:type="dxa" w:w="3120"/>
            <w:vAlign w:val="center"/>
          </w:tcPr>
          <w:p>
            <w:pPr>
              <w:spacing w:after="0"/>
            </w:pPr>
            <w:r/>
            <w:r>
              <w:rPr>
                <w:rFonts w:ascii="Calibri" w:hAnsi="Calibri"/>
                <w:b w:val="0"/>
                <w:color w:val="222222"/>
                <w:sz w:val="18"/>
              </w:rPr>
              <w:t>Koste-oorskryding</w:t>
            </w:r>
          </w:p>
        </w:tc>
        <w:tc>
          <w:tcPr>
            <w:tcW w:type="dxa" w:w="3120"/>
            <w:vAlign w:val="center"/>
          </w:tcPr>
          <w:p>
            <w:pPr>
              <w:spacing w:after="0"/>
            </w:pPr>
            <w:r/>
            <w:r>
              <w:rPr>
                <w:rFonts w:ascii="Calibri" w:hAnsi="Calibri"/>
                <w:b w:val="0"/>
                <w:color w:val="222222"/>
                <w:sz w:val="18"/>
              </w:rPr>
              <w:t>Wolkdienste kan aanhou loop en koste opbou.</w:t>
            </w:r>
          </w:p>
        </w:tc>
        <w:tc>
          <w:tcPr>
            <w:tcW w:type="dxa" w:w="3120"/>
            <w:vAlign w:val="center"/>
          </w:tcPr>
          <w:p>
            <w:pPr>
              <w:spacing w:after="0"/>
            </w:pPr>
            <w:r/>
            <w:r>
              <w:rPr>
                <w:rFonts w:ascii="Calibri" w:hAnsi="Calibri"/>
                <w:b w:val="0"/>
                <w:color w:val="222222"/>
                <w:sz w:val="18"/>
              </w:rPr>
              <w:t>Stel Azure-begrotingswaarskuwings, spending caps waar moontlik, en maandelikse kosterapportering in.</w:t>
            </w:r>
          </w:p>
        </w:tc>
      </w:tr>
      <w:tr>
        <w:tc>
          <w:tcPr>
            <w:tcW w:type="dxa" w:w="3120"/>
            <w:vAlign w:val="center"/>
          </w:tcPr>
          <w:p>
            <w:pPr>
              <w:spacing w:after="0"/>
            </w:pPr>
            <w:r/>
            <w:r>
              <w:rPr>
                <w:rFonts w:ascii="Calibri" w:hAnsi="Calibri"/>
                <w:b w:val="0"/>
                <w:color w:val="222222"/>
                <w:sz w:val="18"/>
              </w:rPr>
              <w:t>Inhoudsgehalte</w:t>
            </w:r>
          </w:p>
        </w:tc>
        <w:tc>
          <w:tcPr>
            <w:tcW w:type="dxa" w:w="3120"/>
            <w:vAlign w:val="center"/>
          </w:tcPr>
          <w:p>
            <w:pPr>
              <w:spacing w:after="0"/>
            </w:pPr>
            <w:r/>
            <w:r>
              <w:rPr>
                <w:rFonts w:ascii="Calibri" w:hAnsi="Calibri"/>
                <w:b w:val="0"/>
                <w:color w:val="222222"/>
                <w:sz w:val="18"/>
              </w:rPr>
              <w:t>Leerders moet ouderdomsgepaste en korrekte materiaal ontvang.</w:t>
            </w:r>
          </w:p>
        </w:tc>
        <w:tc>
          <w:tcPr>
            <w:tcW w:type="dxa" w:w="3120"/>
            <w:vAlign w:val="center"/>
          </w:tcPr>
          <w:p>
            <w:pPr>
              <w:spacing w:after="0"/>
            </w:pPr>
            <w:r/>
            <w:r>
              <w:rPr>
                <w:rFonts w:ascii="Calibri" w:hAnsi="Calibri"/>
                <w:b w:val="0"/>
                <w:color w:val="222222"/>
                <w:sz w:val="18"/>
              </w:rPr>
              <w:t>Laat onderwysers modules toets en goedkeur voor breër vrystelling.</w:t>
            </w:r>
          </w:p>
        </w:tc>
      </w:tr>
      <w:tr>
        <w:tc>
          <w:tcPr>
            <w:tcW w:type="dxa" w:w="3120"/>
            <w:vAlign w:val="center"/>
          </w:tcPr>
          <w:p>
            <w:pPr>
              <w:spacing w:after="0"/>
            </w:pPr>
            <w:r/>
            <w:r>
              <w:rPr>
                <w:rFonts w:ascii="Calibri" w:hAnsi="Calibri"/>
                <w:b w:val="0"/>
                <w:color w:val="222222"/>
                <w:sz w:val="18"/>
              </w:rPr>
              <w:t>Kuberveiligheid</w:t>
            </w:r>
          </w:p>
        </w:tc>
        <w:tc>
          <w:tcPr>
            <w:tcW w:type="dxa" w:w="3120"/>
            <w:vAlign w:val="center"/>
          </w:tcPr>
          <w:p>
            <w:pPr>
              <w:spacing w:after="0"/>
            </w:pPr>
            <w:r/>
            <w:r>
              <w:rPr>
                <w:rFonts w:ascii="Calibri" w:hAnsi="Calibri"/>
                <w:b w:val="0"/>
                <w:color w:val="222222"/>
                <w:sz w:val="18"/>
              </w:rPr>
              <w:t>Publieke toegang verhoog blootstelling.</w:t>
            </w:r>
          </w:p>
        </w:tc>
        <w:tc>
          <w:tcPr>
            <w:tcW w:type="dxa" w:w="3120"/>
            <w:vAlign w:val="center"/>
          </w:tcPr>
          <w:p>
            <w:pPr>
              <w:spacing w:after="0"/>
            </w:pPr>
            <w:r/>
            <w:r>
              <w:rPr>
                <w:rFonts w:ascii="Calibri" w:hAnsi="Calibri"/>
                <w:b w:val="0"/>
                <w:color w:val="222222"/>
                <w:sz w:val="18"/>
              </w:rPr>
              <w:t>Gebruik HTTPS, sterk adminwagwoorde, gereelde updates, rugsteun en beperkte adminrolle.</w:t>
            </w:r>
          </w:p>
        </w:tc>
      </w:tr>
    </w:tbl>
    <w:p>
      <w:pPr>
        <w:spacing w:after="40"/>
      </w:pPr>
    </w:p>
    <w:p>
      <w:pPr>
        <w:spacing w:before="280" w:after="120"/>
      </w:pPr>
      <w:r>
        <w:rPr>
          <w:rFonts w:ascii="Calibri" w:hAnsi="Calibri"/>
          <w:b/>
          <w:i w:val="0"/>
          <w:color w:val="0B5A32"/>
          <w:sz w:val="32"/>
        </w:rPr>
        <w:t>7. Besluite waarvoor goedkeuring gevra word</w:t>
      </w:r>
    </w:p>
    <w:p>
      <w:pPr>
        <w:pStyle w:val="ListBullet"/>
        <w:spacing w:after="80"/>
        <w:ind w:left="360" w:hanging="144"/>
      </w:pPr>
      <w:r>
        <w:rPr>
          <w:rFonts w:ascii="Calibri" w:hAnsi="Calibri"/>
          <w:b w:val="0"/>
          <w:i w:val="0"/>
          <w:color w:val="222222"/>
          <w:sz w:val="21"/>
        </w:rPr>
        <w:t>Beginselgoedkeuring dat die app verder ontwikkel en as skoolprojek geposisioneer mag word.</w:t>
      </w:r>
    </w:p>
    <w:p>
      <w:pPr>
        <w:pStyle w:val="ListBullet"/>
        <w:spacing w:after="80"/>
        <w:ind w:left="360" w:hanging="144"/>
      </w:pPr>
      <w:r>
        <w:rPr>
          <w:rFonts w:ascii="Calibri" w:hAnsi="Calibri"/>
          <w:b w:val="0"/>
          <w:i w:val="0"/>
          <w:color w:val="222222"/>
          <w:sz w:val="21"/>
        </w:rPr>
        <w:t>Toestemming om ’n beperkte Azure VM-proeflopie voor te berei, onderhewig aan finale koste- en veiligheidsgoedkeuring.</w:t>
      </w:r>
    </w:p>
    <w:p>
      <w:pPr>
        <w:pStyle w:val="ListBullet"/>
        <w:spacing w:after="80"/>
        <w:ind w:left="360" w:hanging="144"/>
      </w:pPr>
      <w:r>
        <w:rPr>
          <w:rFonts w:ascii="Calibri" w:hAnsi="Calibri"/>
          <w:b w:val="0"/>
          <w:i w:val="0"/>
          <w:color w:val="222222"/>
          <w:sz w:val="21"/>
        </w:rPr>
        <w:t>Aanwysing van ’n verantwoordelike skoolkontak of klein komitee vir inhoud, POPIA, toestemming en kommunikasie.</w:t>
      </w:r>
    </w:p>
    <w:p>
      <w:pPr>
        <w:pStyle w:val="ListBullet"/>
        <w:spacing w:after="80"/>
        <w:ind w:left="360" w:hanging="144"/>
      </w:pPr>
      <w:r>
        <w:rPr>
          <w:rFonts w:ascii="Calibri" w:hAnsi="Calibri"/>
          <w:b w:val="0"/>
          <w:i w:val="0"/>
          <w:color w:val="222222"/>
          <w:sz w:val="21"/>
        </w:rPr>
        <w:t>Goedkeuring om die Hoerskool Florida-identiteit slegs volgens skoolriglyne in die app te gebruik.</w:t>
      </w:r>
    </w:p>
    <w:p>
      <w:pPr>
        <w:spacing w:before="280" w:after="120"/>
      </w:pPr>
      <w:r>
        <w:rPr>
          <w:rFonts w:ascii="Calibri" w:hAnsi="Calibri"/>
          <w:b/>
          <w:i w:val="0"/>
          <w:color w:val="0B5A32"/>
          <w:sz w:val="32"/>
        </w:rPr>
        <w:t>8. Voorgestelde tydlyn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tcMar>
              <w:top w:w="100" w:type="dxa"/>
              <w:start w:w="120" w:type="dxa"/>
              <w:bottom w:w="100" w:type="dxa"/>
              <w:end w:w="120" w:type="dxa"/>
            </w:tcMar>
            <w:shd w:fill="0B5A32"/>
            <w:vAlign w:val="center"/>
          </w:tcPr>
          <w:p>
            <w:pPr>
              <w:spacing w:after="0"/>
            </w:pPr>
            <w:r/>
            <w:r>
              <w:rPr>
                <w:rFonts w:ascii="Calibri" w:hAnsi="Calibri"/>
                <w:b/>
                <w:color w:val="FFFFFF"/>
                <w:sz w:val="19"/>
              </w:rPr>
              <w:t>Tydperk</w:t>
            </w:r>
          </w:p>
        </w:tc>
        <w:tc>
          <w:tcPr>
            <w:tcW w:type="dxa" w:w="3384"/>
            <w:tcMar>
              <w:top w:w="100" w:type="dxa"/>
              <w:start w:w="120" w:type="dxa"/>
              <w:bottom w:w="100" w:type="dxa"/>
              <w:end w:w="120" w:type="dxa"/>
            </w:tcMar>
            <w:shd w:fill="0B5A32"/>
            <w:vAlign w:val="center"/>
          </w:tcPr>
          <w:p>
            <w:pPr>
              <w:spacing w:after="0"/>
            </w:pPr>
            <w:r/>
            <w:r>
              <w:rPr>
                <w:rFonts w:ascii="Calibri" w:hAnsi="Calibri"/>
                <w:b/>
                <w:color w:val="FFFFFF"/>
                <w:sz w:val="19"/>
              </w:rPr>
              <w:t>Aktiwiteit</w:t>
            </w:r>
          </w:p>
        </w:tc>
        <w:tc>
          <w:tcPr>
            <w:tcW w:type="dxa" w:w="3600"/>
            <w:tcMar>
              <w:top w:w="100" w:type="dxa"/>
              <w:start w:w="120" w:type="dxa"/>
              <w:bottom w:w="100" w:type="dxa"/>
              <w:end w:w="120" w:type="dxa"/>
            </w:tcMar>
            <w:shd w:fill="0B5A32"/>
            <w:vAlign w:val="center"/>
          </w:tcPr>
          <w:p>
            <w:pPr>
              <w:spacing w:after="0"/>
            </w:pPr>
            <w:r/>
            <w:r>
              <w:rPr>
                <w:rFonts w:ascii="Calibri" w:hAnsi="Calibri"/>
                <w:b/>
                <w:color w:val="FFFFFF"/>
                <w:sz w:val="19"/>
              </w:rPr>
              <w:t>Uitkoms</w:t>
            </w:r>
          </w:p>
        </w:tc>
      </w:tr>
      <w:tr>
        <w:tc>
          <w:tcPr>
            <w:tcW w:type="dxa" w:w="3120"/>
            <w:vAlign w:val="center"/>
          </w:tcPr>
          <w:p>
            <w:pPr>
              <w:spacing w:after="0"/>
            </w:pPr>
            <w:r/>
            <w:r>
              <w:rPr>
                <w:rFonts w:ascii="Calibri" w:hAnsi="Calibri"/>
                <w:b w:val="0"/>
                <w:color w:val="222222"/>
                <w:sz w:val="18"/>
              </w:rPr>
              <w:t>Week 1-2</w:t>
            </w:r>
          </w:p>
        </w:tc>
        <w:tc>
          <w:tcPr>
            <w:tcW w:type="dxa" w:w="3120"/>
            <w:vAlign w:val="center"/>
          </w:tcPr>
          <w:p>
            <w:pPr>
              <w:spacing w:after="0"/>
            </w:pPr>
            <w:r/>
            <w:r>
              <w:rPr>
                <w:rFonts w:ascii="Calibri" w:hAnsi="Calibri"/>
                <w:b w:val="0"/>
                <w:color w:val="222222"/>
                <w:sz w:val="18"/>
              </w:rPr>
              <w:t>Interne toetsing en terugvoer van onderwysers.</w:t>
            </w:r>
          </w:p>
        </w:tc>
        <w:tc>
          <w:tcPr>
            <w:tcW w:type="dxa" w:w="3120"/>
            <w:vAlign w:val="center"/>
          </w:tcPr>
          <w:p>
            <w:pPr>
              <w:spacing w:after="0"/>
            </w:pPr>
            <w:r/>
            <w:r>
              <w:rPr>
                <w:rFonts w:ascii="Calibri" w:hAnsi="Calibri"/>
                <w:b w:val="0"/>
                <w:color w:val="222222"/>
                <w:sz w:val="18"/>
              </w:rPr>
              <w:t>Lys van verbeterings en inhoudskorreksies.</w:t>
            </w:r>
          </w:p>
        </w:tc>
      </w:tr>
      <w:tr>
        <w:tc>
          <w:tcPr>
            <w:tcW w:type="dxa" w:w="3120"/>
            <w:vAlign w:val="center"/>
          </w:tcPr>
          <w:p>
            <w:pPr>
              <w:spacing w:after="0"/>
            </w:pPr>
            <w:r/>
            <w:r>
              <w:rPr>
                <w:rFonts w:ascii="Calibri" w:hAnsi="Calibri"/>
                <w:b w:val="0"/>
                <w:color w:val="222222"/>
                <w:sz w:val="18"/>
              </w:rPr>
              <w:t>Week 3</w:t>
            </w:r>
          </w:p>
        </w:tc>
        <w:tc>
          <w:tcPr>
            <w:tcW w:type="dxa" w:w="3120"/>
            <w:vAlign w:val="center"/>
          </w:tcPr>
          <w:p>
            <w:pPr>
              <w:spacing w:after="0"/>
            </w:pPr>
            <w:r/>
            <w:r>
              <w:rPr>
                <w:rFonts w:ascii="Calibri" w:hAnsi="Calibri"/>
                <w:b w:val="0"/>
                <w:color w:val="222222"/>
                <w:sz w:val="18"/>
              </w:rPr>
              <w:t>Finaliseer toestemming, privaatheidskennisgewing en basiese veiligheidsopstelling.</w:t>
            </w:r>
          </w:p>
        </w:tc>
        <w:tc>
          <w:tcPr>
            <w:tcW w:type="dxa" w:w="3120"/>
            <w:vAlign w:val="center"/>
          </w:tcPr>
          <w:p>
            <w:pPr>
              <w:spacing w:after="0"/>
            </w:pPr>
            <w:r/>
            <w:r>
              <w:rPr>
                <w:rFonts w:ascii="Calibri" w:hAnsi="Calibri"/>
                <w:b w:val="0"/>
                <w:color w:val="222222"/>
                <w:sz w:val="18"/>
              </w:rPr>
              <w:t>Gereed vir beperkte proeflopie.</w:t>
            </w:r>
          </w:p>
        </w:tc>
      </w:tr>
      <w:tr>
        <w:tc>
          <w:tcPr>
            <w:tcW w:type="dxa" w:w="3120"/>
            <w:vAlign w:val="center"/>
          </w:tcPr>
          <w:p>
            <w:pPr>
              <w:spacing w:after="0"/>
            </w:pPr>
            <w:r/>
            <w:r>
              <w:rPr>
                <w:rFonts w:ascii="Calibri" w:hAnsi="Calibri"/>
                <w:b w:val="0"/>
                <w:color w:val="222222"/>
                <w:sz w:val="18"/>
              </w:rPr>
              <w:t>Week 4-6</w:t>
            </w:r>
          </w:p>
        </w:tc>
        <w:tc>
          <w:tcPr>
            <w:tcW w:type="dxa" w:w="3120"/>
            <w:vAlign w:val="center"/>
          </w:tcPr>
          <w:p>
            <w:pPr>
              <w:spacing w:after="0"/>
            </w:pPr>
            <w:r/>
            <w:r>
              <w:rPr>
                <w:rFonts w:ascii="Calibri" w:hAnsi="Calibri"/>
                <w:b w:val="0"/>
                <w:color w:val="222222"/>
                <w:sz w:val="18"/>
              </w:rPr>
              <w:t>Azure VM-proeflopie met klein leerdergroep.</w:t>
            </w:r>
          </w:p>
        </w:tc>
        <w:tc>
          <w:tcPr>
            <w:tcW w:type="dxa" w:w="3120"/>
            <w:vAlign w:val="center"/>
          </w:tcPr>
          <w:p>
            <w:pPr>
              <w:spacing w:after="0"/>
            </w:pPr>
            <w:r/>
            <w:r>
              <w:rPr>
                <w:rFonts w:ascii="Calibri" w:hAnsi="Calibri"/>
                <w:b w:val="0"/>
                <w:color w:val="222222"/>
                <w:sz w:val="18"/>
              </w:rPr>
              <w:t>Gebruikspatrone, kostedata en tegniese terugvoer.</w:t>
            </w:r>
          </w:p>
        </w:tc>
      </w:tr>
      <w:tr>
        <w:tc>
          <w:tcPr>
            <w:tcW w:type="dxa" w:w="3120"/>
            <w:vAlign w:val="center"/>
          </w:tcPr>
          <w:p>
            <w:pPr>
              <w:spacing w:after="0"/>
            </w:pPr>
            <w:r/>
            <w:r>
              <w:rPr>
                <w:rFonts w:ascii="Calibri" w:hAnsi="Calibri"/>
                <w:b w:val="0"/>
                <w:color w:val="222222"/>
                <w:sz w:val="18"/>
              </w:rPr>
              <w:t>Week 7</w:t>
            </w:r>
          </w:p>
        </w:tc>
        <w:tc>
          <w:tcPr>
            <w:tcW w:type="dxa" w:w="3120"/>
            <w:vAlign w:val="center"/>
          </w:tcPr>
          <w:p>
            <w:pPr>
              <w:spacing w:after="0"/>
            </w:pPr>
            <w:r/>
            <w:r>
              <w:rPr>
                <w:rFonts w:ascii="Calibri" w:hAnsi="Calibri"/>
                <w:b w:val="0"/>
                <w:color w:val="222222"/>
                <w:sz w:val="18"/>
              </w:rPr>
              <w:t>Verslag aan bestuur/SBL.</w:t>
            </w:r>
          </w:p>
        </w:tc>
        <w:tc>
          <w:tcPr>
            <w:tcW w:type="dxa" w:w="3120"/>
            <w:vAlign w:val="center"/>
          </w:tcPr>
          <w:p>
            <w:pPr>
              <w:spacing w:after="0"/>
            </w:pPr>
            <w:r/>
            <w:r>
              <w:rPr>
                <w:rFonts w:ascii="Calibri" w:hAnsi="Calibri"/>
                <w:b w:val="0"/>
                <w:color w:val="222222"/>
                <w:sz w:val="18"/>
              </w:rPr>
              <w:t>Besluit oor uitbreiding of verdere verfyning.</w:t>
            </w:r>
          </w:p>
        </w:tc>
      </w:tr>
    </w:tbl>
    <w:p>
      <w:pPr>
        <w:spacing w:after="40"/>
      </w:pPr>
    </w:p>
    <w:p>
      <w:pPr>
        <w:spacing w:before="280" w:after="120"/>
      </w:pPr>
      <w:r>
        <w:rPr>
          <w:rFonts w:ascii="Calibri" w:hAnsi="Calibri"/>
          <w:b/>
          <w:i w:val="0"/>
          <w:color w:val="0B5A32"/>
          <w:sz w:val="32"/>
        </w:rPr>
        <w:t>9. Bronne en aannames</w:t>
      </w:r>
    </w:p>
    <w:p>
      <w:pPr>
        <w:spacing w:before="0" w:after="120" w:line="264" w:lineRule="auto"/>
      </w:pPr>
      <w:r>
        <w:rPr>
          <w:rFonts w:ascii="Calibri" w:hAnsi="Calibri"/>
          <w:b w:val="0"/>
          <w:i w:val="0"/>
          <w:color w:val="222222"/>
          <w:sz w:val="20"/>
        </w:rPr>
        <w:t>Aannames: 2 000 potensiële leerders, ongeveer 20 aktiewe leerders per dag, 2 uur per dag, hoofsaaklik teksgebaseerde leeraktiwiteite en beperkte media.</w:t>
      </w:r>
    </w:p>
    <w:p>
      <w:pPr>
        <w:pStyle w:val="ListBullet"/>
        <w:spacing w:after="80"/>
        <w:ind w:left="360" w:hanging="144"/>
      </w:pPr>
      <w:r>
        <w:rPr>
          <w:rFonts w:ascii="Calibri" w:hAnsi="Calibri"/>
          <w:b w:val="0"/>
          <w:i w:val="0"/>
          <w:color w:val="222222"/>
          <w:sz w:val="21"/>
        </w:rPr>
        <w:t>Microsoft Azure: Gratis rekening en gratis dienste, insluitend 750 uur per maand vir sekere B1s/burstable VM’s vir nuwe kliënte. URL: https://azure.microsoft.com/en-us/free/</w:t>
      </w:r>
    </w:p>
    <w:p>
      <w:pPr>
        <w:pStyle w:val="ListBullet"/>
        <w:spacing w:after="80"/>
        <w:ind w:left="360" w:hanging="144"/>
      </w:pPr>
      <w:r>
        <w:rPr>
          <w:rFonts w:ascii="Calibri" w:hAnsi="Calibri"/>
          <w:b w:val="0"/>
          <w:i w:val="0"/>
          <w:color w:val="222222"/>
          <w:sz w:val="21"/>
        </w:rPr>
        <w:t>Microsoft Azure: Linux Virtual Machines-prysblad; VM-berging en gestopte/deallocated fakturering moet apart verstaan word. URL: https://azure.microsoft.com/en-us/pricing/details/virtual-machines/linux/</w:t>
      </w:r>
    </w:p>
    <w:p>
      <w:pPr>
        <w:pStyle w:val="ListBullet"/>
        <w:spacing w:after="80"/>
        <w:ind w:left="360" w:hanging="144"/>
      </w:pPr>
      <w:r>
        <w:rPr>
          <w:rFonts w:ascii="Calibri" w:hAnsi="Calibri"/>
          <w:b w:val="0"/>
          <w:i w:val="0"/>
          <w:color w:val="222222"/>
          <w:sz w:val="21"/>
        </w:rPr>
        <w:t>Microsoft Azure: Bandwidth-prysblad; internet-egress bevat ’n gratis eerste 100 GB per maand en Suid-Afrika val onder Zone 3. URL: https://azure.microsoft.com/en-us/pricing/details/bandwidth/</w:t>
      </w:r>
    </w:p>
    <w:p>
      <w:pPr>
        <w:pStyle w:val="ListBullet"/>
        <w:spacing w:after="80"/>
        <w:ind w:left="360" w:hanging="144"/>
      </w:pPr>
      <w:r>
        <w:rPr>
          <w:rFonts w:ascii="Calibri" w:hAnsi="Calibri"/>
          <w:b w:val="0"/>
          <w:i w:val="0"/>
          <w:color w:val="222222"/>
          <w:sz w:val="21"/>
        </w:rPr>
        <w:t>Microsoft Azure: Managed Disks-prysblad vir skyfkoste en bergingsopsies. URL: https://azure.microsoft.com/en-us/pricing/details/managed-disks/</w:t>
      </w:r>
    </w:p>
    <w:p>
      <w:pPr>
        <w:spacing w:before="0" w:after="120" w:line="264" w:lineRule="auto"/>
      </w:pPr>
      <w:r>
        <w:rPr>
          <w:rFonts w:ascii="Calibri" w:hAnsi="Calibri"/>
          <w:b w:val="0"/>
          <w:i/>
          <w:color w:val="666666"/>
          <w:sz w:val="19"/>
        </w:rPr>
        <w:t>Let wel: Hierdie dokument is ’n konsep vir bespreking en vervang nie ’n finale Azure-kwotasie, regsadvies, POPIA-oorsig of formele skoolbeleid nie.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Konsep vir bespreking | Koste is ramings en moet teen finale Azure-kwotasie bevestig word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8"/>
      </w:rPr>
      <w:t>Hoerskool Florida App | Voorlegging aan die Skoolbeheerliggaam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