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2E5BBA"/>
          <w:sz w:val="48"/>
          <w:szCs w:val="48"/>
        </w:rPr>
        <w:t xml:space="preserve">How the Trading Signal System Works</w:t>
      </w:r>
    </w:p>
    <w:p>
      <w:pPr>
        <w:spacing w:after="60"/>
        <w:jc w:val="center"/>
      </w:pPr>
      <w:r>
        <w:rPr>
          <w:color w:val="555555"/>
          <w:sz w:val="26"/>
          <w:szCs w:val="26"/>
        </w:rPr>
        <w:t xml:space="preserve">A plain-English guide — no jargon required</w:t>
      </w:r>
    </w:p>
    <w:p>
      <w:pPr>
        <w:spacing w:after="1200"/>
        <w:jc w:val="center"/>
      </w:pPr>
      <w:r>
        <w:rPr>
          <w:color w:val="888888"/>
          <w:sz w:val="22"/>
          <w:szCs w:val="22"/>
        </w:rPr>
        <w:t xml:space="preserve">June 2026</w:t>
      </w:r>
    </w:p>
    <w:p>
      <w:pPr>
        <w:spacing w:after="140"/>
      </w:pPr>
      <w:r>
        <w:rPr>
          <w:sz w:val="22"/>
          <w:szCs w:val="22"/>
        </w:rPr>
        <w:t xml:space="preserve">This guide explains, in everyday language, how our system spots promising trading opportunities, how it decides which ones are worth flagging, and where the results end up. You do not need any trading or technical background to follow it.</w:t>
      </w:r>
    </w:p>
    <w:p/>
    <w:p>
      <w:pPr>
        <w:pStyle w:val="Heading1"/>
      </w:pPr>
      <w:r>
        <w:t xml:space="preserve">1. The big picture</w:t>
      </w:r>
    </w:p>
    <w:p>
      <w:pPr>
        <w:spacing w:after="140"/>
      </w:pPr>
      <w:r>
        <w:rPr>
          <w:sz w:val="22"/>
          <w:szCs w:val="22"/>
        </w:rPr>
        <w:t xml:space="preserve">Every day the system automatically looks at hundreds of markets — shares, indices, gold, oil and currencies — and asks one question for each: “is this setting up for a worthwhile move?”</w:t>
      </w:r>
    </w:p>
    <w:p>
      <w:pPr>
        <w:spacing w:after="140"/>
      </w:pPr>
      <w:r>
        <w:rPr>
          <w:sz w:val="22"/>
          <w:szCs w:val="22"/>
        </w:rPr>
        <w:t xml:space="preserve">It is looking for a very specific, repeatable pattern (explained next). When it finds one, it works out where you would get in, where you would get out if wrong, and where it could reasonably go if right. It then ranks the best opportunities and shares them. It does this the same way every time, with no emotion and no guesswork.</w:t>
      </w:r>
    </w:p>
    <w:p>
      <w:pPr>
        <w:pStyle w:val="Heading1"/>
      </w:pPr>
      <w:r>
        <w:t xml:space="preserve">2. The core idea — the “coiling spring”</w:t>
      </w:r>
    </w:p>
    <w:p>
      <w:pPr>
        <w:spacing w:after="140"/>
      </w:pPr>
      <w:r>
        <w:rPr>
          <w:sz w:val="22"/>
          <w:szCs w:val="22"/>
        </w:rPr>
        <w:t xml:space="preserve">The method we use is called the Hunt Volatility Funnel. The idea is simple to picture. After a market has had a strong run in one direction, it often pauses and “coils” — the price swings get smaller and smaller, squeezing into a tightening funnel, like a spring being wound up. When the spring finally releases, the price often moves quickly in the direction of the original trend.</w:t>
      </w:r>
    </w:p>
    <w:p>
      <w:pPr>
        <w:spacing w:after="60" w:before="120"/>
        <w:jc w:val="center"/>
      </w:pPr>
      <w:r>
        <w:drawing>
          <wp:inline distT="0" distB="0" distL="0" distR="0">
            <wp:extent cx="5334000" cy="2895600"/>
            <wp:effectExtent t="0" r="0" b="0" l="0"/>
            <wp:docPr id="1" name="hvf_funnel.png" descr="The funnel pattern" title="The funnel 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95600"/>
                    </a:xfrm>
                    <a:prstGeom prst="rect">
                      <a:avLst/>
                    </a:prstGeom>
                  </pic:spPr>
                </pic:pic>
              </a:graphicData>
            </a:graphic>
          </wp:inline>
        </w:drawing>
      </w:r>
    </w:p>
    <w:p>
      <w:pPr>
        <w:spacing w:after="200"/>
        <w:jc w:val="center"/>
      </w:pPr>
      <w:r>
        <w:rPr>
          <w:i/>
          <w:iCs/>
          <w:color w:val="666666"/>
          <w:sz w:val="18"/>
          <w:szCs w:val="18"/>
        </w:rPr>
        <w:t xml:space="preserve">The funnel: the ceiling (red) drifts down while the floor (green) rises, squeezing price to a point. The system marks where to get in, where the safety exit (stop) sits, and a realistic target.</w:t>
      </w:r>
    </w:p>
    <w:p>
      <w:pPr>
        <w:spacing w:after="140"/>
      </w:pPr>
      <w:r>
        <w:rPr>
          <w:sz w:val="22"/>
          <w:szCs w:val="22"/>
        </w:rPr>
        <w:t xml:space="preserve">Three things matter: the highs keep getting lower, the lows keep getting higher, and the gap between them shrinks. That squeeze is the “wound spring.” The tighter it gets, the more meaningful the eventual breakout.</w:t>
      </w:r>
    </w:p>
    <w:p>
      <w:pPr>
        <w:spacing w:after="140"/>
      </w:pPr>
      <w:r>
        <w:rPr>
          <w:sz w:val="22"/>
          <w:szCs w:val="22"/>
        </w:rPr>
        <w:t xml:space="preserve">This works both ways. After a strong rise, a coil that breaks upward is a “bullish” setup; after a strong fall, the same coil breaking downward is a “bearish” one. The system only ever calls it in the direction the market is actually trending — it will not flag a bullish idea on a market that has been falling.</w:t>
      </w:r>
    </w:p>
    <w:p>
      <w:pPr>
        <w:pStyle w:val="Heading2"/>
      </w:pPr>
      <w:r>
        <w:t xml:space="preserve">How far it could go — the target (AMP1)</w:t>
      </w:r>
    </w:p>
    <w:p>
      <w:pPr>
        <w:spacing w:after="140"/>
      </w:pPr>
      <w:r>
        <w:rPr>
          <w:sz w:val="22"/>
          <w:szCs w:val="22"/>
        </w:rPr>
        <w:t xml:space="preserve">Every funnel has a height: the distance from the first high to the first low of the squeeze. The method calls this the amplitude, or AMP1 (you can see it marked on the picture above). When the spring releases, the system projects that FULL height from the middle of the funnel, in the breakout direction, to set the target. It uses the full amplitude — not a watered-down version — which is deliberate, and it is why some setups show a large reward-to-risk.</w:t>
      </w:r>
    </w:p>
    <w:p>
      <w:pPr>
        <w:spacing w:after="140"/>
      </w:pPr>
      <w:r>
        <w:rPr>
          <w:sz w:val="22"/>
          <w:szCs w:val="22"/>
        </w:rPr>
        <w:t xml:space="preserve">So the three trade levels come straight from the funnel: the entry is the breakout level itself (the third pivot); the safety exit (stop) sits just beyond the opposite side of the funnel; and the target is one full AMP1 away from the middle. Reward-to-risk is then simply the distance to the target divided by the distance to the stop.</w:t>
      </w:r>
    </w:p>
    <w:p>
      <w:pPr>
        <w:pStyle w:val="Heading1"/>
      </w:pPr>
      <w:r>
        <w:t xml:space="preserve">3. The rules and their thresholds</w:t>
      </w:r>
    </w:p>
    <w:p>
      <w:pPr>
        <w:spacing w:after="140"/>
      </w:pPr>
      <w:r>
        <w:rPr>
          <w:sz w:val="22"/>
          <w:szCs w:val="22"/>
        </w:rPr>
        <w:t xml:space="preserve">Not every wobble counts. A setup must pass five checks before the system treats it as real, then clear two more gates to be traded and published. The exact thresholds are below — these are the actual numbers the system uses, not approximations: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DDDDD" w:sz="1"/>
              <w:left w:val="single" w:color="DDDDDD" w:sz="1"/>
              <w:bottom w:val="single" w:color="DDDDDD" w:sz="1"/>
              <w:right w:val="single" w:color="DDDDDD" w:sz="1"/>
            </w:tcBorders>
            <w:shd w:fill="2E5BBA" w:val="clear"/>
            <w:tcMar>
              <w:top w:type="dxa" w:w="70"/>
              <w:left w:type="dxa" w:w="120"/>
              <w:bottom w:type="dxa" w:w="70"/>
              <w:right w:type="dxa" w:w="120"/>
            </w:tcMar>
          </w:tcPr>
          <w:p>
            <w:r>
              <w:rPr>
                <w:b/>
                <w:bCs/>
                <w:color w:val="FFFFFF"/>
                <w:sz w:val="20"/>
                <w:szCs w:val="20"/>
              </w:rPr>
              <w:t xml:space="preserve">Rule</w:t>
            </w:r>
          </w:p>
        </w:tc>
        <w:tc>
          <w:tcPr>
            <w:tcW w:type="dxa" w:w="6960"/>
            <w:tcBorders>
              <w:top w:val="single" w:color="DDDDDD" w:sz="1"/>
              <w:left w:val="single" w:color="DDDDDD" w:sz="1"/>
              <w:bottom w:val="single" w:color="DDDDDD" w:sz="1"/>
              <w:right w:val="single" w:color="DDDDDD" w:sz="1"/>
            </w:tcBorders>
            <w:shd w:fill="2E5BBA" w:val="clear"/>
            <w:tcMar>
              <w:top w:type="dxa" w:w="70"/>
              <w:left w:type="dxa" w:w="120"/>
              <w:bottom w:type="dxa" w:w="70"/>
              <w:right w:type="dxa" w:w="120"/>
            </w:tcMar>
          </w:tcPr>
          <w:p>
            <w:r>
              <w:rPr>
                <w:b/>
                <w:bCs/>
                <w:color w:val="FFFFFF"/>
                <w:sz w:val="20"/>
                <w:szCs w:val="20"/>
              </w:rPr>
              <w:t xml:space="preserve">Threshold — what must be true</w:t>
            </w:r>
          </w:p>
        </w:tc>
      </w:tr>
      <w:tr>
        <w:tc>
          <w:tcPr>
            <w:tcW w:type="dxa" w:w="240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b/>
                <w:bCs/>
                <w:sz w:val="20"/>
                <w:szCs w:val="20"/>
              </w:rPr>
              <w:t xml:space="preserve">1. Prior trend</w:t>
            </w:r>
          </w:p>
        </w:tc>
        <w:tc>
          <w:tcPr>
            <w:tcW w:type="dxa" w:w="696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sz w:val="20"/>
                <w:szCs w:val="20"/>
              </w:rPr>
              <w:t xml:space="preserve">A confirmed weekly trend in the trade's direction (up for a bullish funnel, down for bearish). Choppy/flat markets are rejected.</w:t>
            </w:r>
          </w:p>
        </w:tc>
      </w:tr>
      <w:tr>
        <w:tc>
          <w:tcPr>
            <w:tcW w:type="dxa" w:w="2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b/>
                <w:bCs/>
                <w:sz w:val="20"/>
                <w:szCs w:val="20"/>
              </w:rPr>
              <w:t xml:space="preserve">2. Lower highs</w:t>
            </w:r>
          </w:p>
        </w:tc>
        <w:tc>
          <w:tcPr>
            <w:tcW w:type="dxa" w:w="6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sz w:val="20"/>
                <w:szCs w:val="20"/>
              </w:rPr>
              <w:t xml:space="preserve">Three peaks, each lower than the last (H1 &gt; H2 &gt; H3) — the ceiling coming down.</w:t>
            </w:r>
          </w:p>
        </w:tc>
      </w:tr>
      <w:tr>
        <w:tc>
          <w:tcPr>
            <w:tcW w:type="dxa" w:w="240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b/>
                <w:bCs/>
                <w:sz w:val="20"/>
                <w:szCs w:val="20"/>
              </w:rPr>
              <w:t xml:space="preserve">3. Higher lows</w:t>
            </w:r>
          </w:p>
        </w:tc>
        <w:tc>
          <w:tcPr>
            <w:tcW w:type="dxa" w:w="696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sz w:val="20"/>
                <w:szCs w:val="20"/>
              </w:rPr>
              <w:t xml:space="preserve">Three dips, each higher than the last (L1 &lt; L2 &lt; L3) — the floor coming up.</w:t>
            </w:r>
          </w:p>
        </w:tc>
      </w:tr>
      <w:tr>
        <w:tc>
          <w:tcPr>
            <w:tcW w:type="dxa" w:w="2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b/>
                <w:bCs/>
                <w:sz w:val="20"/>
                <w:szCs w:val="20"/>
              </w:rPr>
              <w:t xml:space="preserve">4. Real squeeze</w:t>
            </w:r>
          </w:p>
        </w:tc>
        <w:tc>
          <w:tcPr>
            <w:tcW w:type="dxa" w:w="6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sz w:val="20"/>
                <w:szCs w:val="20"/>
              </w:rPr>
              <w:t xml:space="preserve">The funnel must tighten by at least 30% — its mouth shrinks to under 70% of its starting width.</w:t>
            </w:r>
          </w:p>
        </w:tc>
      </w:tr>
      <w:tr>
        <w:tc>
          <w:tcPr>
            <w:tcW w:type="dxa" w:w="240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b/>
                <w:bCs/>
                <w:sz w:val="20"/>
                <w:szCs w:val="20"/>
              </w:rPr>
              <w:t xml:space="preserve">5. Fresh breakout</w:t>
            </w:r>
          </w:p>
        </w:tc>
        <w:tc>
          <w:tcPr>
            <w:tcW w:type="dxa" w:w="696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sz w:val="20"/>
                <w:szCs w:val="20"/>
              </w:rPr>
              <w:t xml:space="preserve">The breakout pivot (H3 / L3) must have formed within the last 60 bars, not weeks ago.</w:t>
            </w:r>
          </w:p>
        </w:tc>
      </w:tr>
      <w:tr>
        <w:tc>
          <w:tcPr>
            <w:tcW w:type="dxa" w:w="2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b/>
                <w:bCs/>
                <w:sz w:val="20"/>
                <w:szCs w:val="20"/>
              </w:rPr>
              <w:t xml:space="preserve">Tradeable gate</w:t>
            </w:r>
          </w:p>
        </w:tc>
        <w:tc>
          <w:tcPr>
            <w:tcW w:type="dxa" w:w="6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sz w:val="20"/>
                <w:szCs w:val="20"/>
              </w:rPr>
              <w:t xml:space="preserve">Reward-to-risk must be at least 3 : 1, or the idea goes on the watch-list, not the trade list.</w:t>
            </w:r>
          </w:p>
        </w:tc>
      </w:tr>
      <w:tr>
        <w:tc>
          <w:tcPr>
            <w:tcW w:type="dxa" w:w="240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b/>
                <w:bCs/>
                <w:sz w:val="20"/>
                <w:szCs w:val="20"/>
              </w:rPr>
              <w:t xml:space="preserve">Publish gate</w:t>
            </w:r>
          </w:p>
        </w:tc>
        <w:tc>
          <w:tcPr>
            <w:tcW w:type="dxa" w:w="696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sz w:val="20"/>
                <w:szCs w:val="20"/>
              </w:rPr>
              <w:t xml:space="preserve">Pattern quality must be at least 70 / 100 to be published; weaker patterns stay internal.</w:t>
            </w:r>
          </w:p>
        </w:tc>
      </w:tr>
    </w:tbl>
    <w:p>
      <w:pPr>
        <w:spacing w:after="140" w:before="160"/>
      </w:pPr>
      <w:r>
        <w:rPr>
          <w:sz w:val="22"/>
          <w:szCs w:val="22"/>
        </w:rPr>
        <w:t xml:space="preserve">Only when all five rules pass does the system measure up the trade; the two gates then decide whether it is tradeable and whether it is published. Everything is checked the same way every time.</w:t>
      </w:r>
    </w:p>
    <w:p>
      <w:pPr>
        <w:pStyle w:val="Heading1"/>
      </w:pPr>
      <w:r>
        <w:t xml:space="preserve">4. What goes into the decision</w:t>
      </w:r>
    </w:p>
    <w:p>
      <w:pPr>
        <w:spacing w:after="140"/>
      </w:pPr>
      <w:r>
        <w:rPr>
          <w:sz w:val="22"/>
          <w:szCs w:val="22"/>
        </w:rPr>
        <w:t xml:space="preserve">The headline number is the reward-to-risk ratio (often written “R:R”). If a trade risks £1 to potentially make £3, that is 3:1. The system leads with this — the better the reward for the risk, the higher the idea ranks.</w:t>
      </w:r>
    </w:p>
    <w:p>
      <w:pPr>
        <w:spacing w:after="140"/>
      </w:pPr>
      <w:r>
        <w:rPr>
          <w:sz w:val="22"/>
          <w:szCs w:val="22"/>
        </w:rPr>
        <w:t xml:space="preserve">Reward-to-risk comes first, then the readiness of the signal, then a quality score for how clean the pattern is. The picture below shows that order of priority:</w:t>
      </w:r>
    </w:p>
    <w:p>
      <w:pPr>
        <w:spacing w:after="60" w:before="120"/>
        <w:jc w:val="center"/>
      </w:pPr>
      <w:r>
        <w:drawing>
          <wp:inline distT="0" distB="0" distL="0" distR="0">
            <wp:extent cx="4953000" cy="2466975"/>
            <wp:effectExtent t="0" r="0" b="0" l="0"/>
            <wp:docPr id="1" name="weighting.png" descr="How setups are ranked" title="How setups are ra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466975"/>
                    </a:xfrm>
                    <a:prstGeom prst="rect">
                      <a:avLst/>
                    </a:prstGeom>
                  </pic:spPr>
                </pic:pic>
              </a:graphicData>
            </a:graphic>
          </wp:inline>
        </w:drawing>
      </w:r>
    </w:p>
    <w:p>
      <w:pPr>
        <w:spacing w:after="200"/>
        <w:jc w:val="center"/>
      </w:pPr>
      <w:r>
        <w:rPr>
          <w:i/>
          <w:iCs/>
          <w:color w:val="666666"/>
          <w:sz w:val="18"/>
          <w:szCs w:val="18"/>
        </w:rPr>
        <w:t xml:space="preserve">Reward-for-risk is the main driver; the signal’s readiness and the pattern’s quality settle ties.</w:t>
      </w:r>
    </w:p>
    <w:p>
      <w:pPr>
        <w:pStyle w:val="Heading2"/>
      </w:pPr>
      <w:r>
        <w:t xml:space="preserve">How the ranking is calculated</w:t>
      </w:r>
    </w:p>
    <w:p>
      <w:pPr>
        <w:spacing w:after="140"/>
      </w:pPr>
      <w:r>
        <w:rPr>
          <w:sz w:val="22"/>
          <w:szCs w:val="22"/>
        </w:rPr>
        <w:t xml:space="preserve">The ranking is a simple, fixed recipe — every idea is scored on three things, compared in this exact order:</w:t>
      </w:r>
    </w:p>
    <w:p>
      <w:pPr>
        <w:pStyle w:val="ListParagraph"/>
        <w:numPr>
          <w:ilvl w:val="0"/>
          <w:numId w:val="2"/>
        </w:numPr>
        <w:spacing w:after="80"/>
      </w:pPr>
      <w:r>
        <w:rPr>
          <w:sz w:val="22"/>
          <w:szCs w:val="22"/>
        </w:rPr>
        <w:t xml:space="preserve">Reward-to-risk, highest first — the single biggest driver.</w:t>
      </w:r>
    </w:p>
    <w:p>
      <w:pPr>
        <w:pStyle w:val="ListParagraph"/>
        <w:numPr>
          <w:ilvl w:val="0"/>
          <w:numId w:val="2"/>
        </w:numPr>
        <w:spacing w:after="80"/>
      </w:pPr>
      <w:r>
        <w:rPr>
          <w:sz w:val="22"/>
          <w:szCs w:val="22"/>
        </w:rPr>
        <w:t xml:space="preserve">Signal readiness — already breaking out (“triggered”) ranks above armed-and-ready, which ranks above still-developing.</w:t>
      </w:r>
    </w:p>
    <w:p>
      <w:pPr>
        <w:pStyle w:val="ListParagraph"/>
        <w:numPr>
          <w:ilvl w:val="0"/>
          <w:numId w:val="2"/>
        </w:numPr>
        <w:spacing w:after="80"/>
      </w:pPr>
      <w:r>
        <w:rPr>
          <w:sz w:val="22"/>
          <w:szCs w:val="22"/>
        </w:rPr>
        <w:t xml:space="preserve">Pattern quality (0–100), highest first — used to settle any remaining ties.</w:t>
      </w:r>
    </w:p>
    <w:p>
      <w:pPr>
        <w:spacing w:after="140"/>
      </w:pPr>
      <w:r>
        <w:rPr>
          <w:sz w:val="22"/>
          <w:szCs w:val="22"/>
        </w:rPr>
        <w:t xml:space="preserve">In other words: sort everything by reward-to-risk; where two ideas are level, the more ready one wins; and where they are still level, the cleaner pattern wins. The same recipe orders every list — the daily Slack report, the drafts, and the public picks — so nothing is ranked differently in different places.</w:t>
      </w:r>
    </w:p>
    <w:p>
      <w:pPr>
        <w:spacing w:after="140"/>
      </w:pPr>
      <w:r>
        <w:rPr>
          <w:sz w:val="22"/>
          <w:szCs w:val="22"/>
        </w:rPr>
        <w:t xml:space="preserve">Alongside the pattern itself, the system gathers supporting evidence to add confidence — for example:</w:t>
      </w:r>
    </w:p>
    <w:p>
      <w:pPr>
        <w:pStyle w:val="ListParagraph"/>
        <w:numPr>
          <w:ilvl w:val="0"/>
          <w:numId w:val="2"/>
        </w:numPr>
        <w:spacing w:after="80"/>
      </w:pPr>
      <w:r>
        <w:rPr>
          <w:sz w:val="22"/>
          <w:szCs w:val="22"/>
        </w:rPr>
        <w:t xml:space="preserve">Analyst views — what professional analysts rate the share and their price targets.</w:t>
      </w:r>
    </w:p>
    <w:p>
      <w:pPr>
        <w:pStyle w:val="ListParagraph"/>
        <w:numPr>
          <w:ilvl w:val="0"/>
          <w:numId w:val="2"/>
        </w:numPr>
        <w:spacing w:after="80"/>
      </w:pPr>
      <w:r>
        <w:rPr>
          <w:sz w:val="22"/>
          <w:szCs w:val="22"/>
        </w:rPr>
        <w:t xml:space="preserve">How it stacks up against its main rival — e.g. Nike versus Lululemon: which is outperforming over the last few months, plus recent news on that competition (why a rival may be taking market share).</w:t>
      </w:r>
    </w:p>
    <w:p>
      <w:pPr>
        <w:pStyle w:val="ListParagraph"/>
        <w:numPr>
          <w:ilvl w:val="0"/>
          <w:numId w:val="2"/>
        </w:numPr>
        <w:spacing w:after="80"/>
      </w:pPr>
      <w:r>
        <w:rPr>
          <w:sz w:val="22"/>
          <w:szCs w:val="22"/>
        </w:rPr>
        <w:t xml:space="preserve">Company insiders, and the largest institutional holder — e.g. a fund like BlackRock, or a major investor such as Berkshire Hathaway holding a large stake — and whether they are adding or trimming. (Insiders are the company’s own officers/directors; an institutional holder is an outside fund — two different things.)</w:t>
      </w:r>
    </w:p>
    <w:p>
      <w:pPr>
        <w:pStyle w:val="ListParagraph"/>
        <w:numPr>
          <w:ilvl w:val="0"/>
          <w:numId w:val="2"/>
        </w:numPr>
        <w:spacing w:after="80"/>
      </w:pPr>
      <w:r>
        <w:rPr>
          <w:sz w:val="22"/>
          <w:szCs w:val="22"/>
        </w:rPr>
        <w:t xml:space="preserve">Market positioning — what the big “smart money” players are doing (the COT report).</w:t>
      </w:r>
    </w:p>
    <w:p>
      <w:pPr>
        <w:pStyle w:val="ListParagraph"/>
        <w:numPr>
          <w:ilvl w:val="0"/>
          <w:numId w:val="2"/>
        </w:numPr>
        <w:spacing w:after="80"/>
      </w:pPr>
      <w:r>
        <w:rPr>
          <w:sz w:val="22"/>
          <w:szCs w:val="22"/>
        </w:rPr>
        <w:t xml:space="preserve">Valuation — the price-to-earnings (P/E) ratio, shown against the wider market so you can see at a glance whether it looks cheap or expensive.</w:t>
      </w:r>
    </w:p>
    <w:p>
      <w:pPr>
        <w:pStyle w:val="ListParagraph"/>
        <w:numPr>
          <w:ilvl w:val="0"/>
          <w:numId w:val="2"/>
        </w:numPr>
        <w:spacing w:after="80"/>
      </w:pPr>
      <w:r>
        <w:rPr>
          <w:sz w:val="22"/>
          <w:szCs w:val="22"/>
        </w:rPr>
        <w:t xml:space="preserve">Options activity, volume, trend strength — and a three-year price history so the long-term backdrop is obvious (a name can be bouncing this month yet falling for years).</w:t>
      </w:r>
    </w:p>
    <w:p>
      <w:pPr>
        <w:pStyle w:val="ListParagraph"/>
        <w:numPr>
          <w:ilvl w:val="0"/>
          <w:numId w:val="2"/>
        </w:numPr>
        <w:spacing w:after="80"/>
      </w:pPr>
      <w:r>
        <w:rPr>
          <w:sz w:val="22"/>
          <w:szCs w:val="22"/>
        </w:rPr>
        <w:t xml:space="preserve">Support and resistance — the price floors and ceilings traders watch; if price is sitting right on one, the system gives that extra thought, because price can bounce or stall there.</w:t>
      </w:r>
    </w:p>
    <w:p>
      <w:pPr>
        <w:spacing w:after="140"/>
      </w:pPr>
      <w:r>
        <w:rPr>
          <w:sz w:val="22"/>
          <w:szCs w:val="22"/>
        </w:rPr>
        <w:t xml:space="preserve">These do not override the pattern — they add or subtract confidence around it. Where a figure comes from a trusted provider (Bloomberg, S&amp;P Global, Morningstar, FactSet, Investing.com), that figure takes priority.</w:t>
      </w:r>
    </w:p>
    <w:p>
      <w:pPr>
        <w:pStyle w:val="Heading1"/>
      </w:pPr>
      <w:r>
        <w:t xml:space="preserve">5. Where the results go — and what happens next</w:t>
      </w:r>
    </w:p>
    <w:p>
      <w:pPr>
        <w:spacing w:after="140"/>
      </w:pPr>
      <w:r>
        <w:rPr>
          <w:sz w:val="22"/>
          <w:szCs w:val="22"/>
        </w:rPr>
        <w:t xml:space="preserve">Once the best ideas are ranked, they are shared in two places, in this order:</w:t>
      </w:r>
    </w:p>
    <w:p>
      <w:pPr>
        <w:pStyle w:val="ListParagraph"/>
        <w:numPr>
          <w:ilvl w:val="0"/>
          <w:numId w:val="2"/>
        </w:numPr>
        <w:spacing w:after="80"/>
      </w:pPr>
      <w:r>
        <w:rPr>
          <w:sz w:val="22"/>
          <w:szCs w:val="22"/>
        </w:rPr>
        <w:t xml:space="preserve">Slack (internal) first — the full picture for the team: more instruments, with the live price, how far each level is from it, the reward-to-risk and the expected time to target.</w:t>
      </w:r>
    </w:p>
    <w:p>
      <w:pPr>
        <w:pStyle w:val="ListParagraph"/>
        <w:numPr>
          <w:ilvl w:val="0"/>
          <w:numId w:val="2"/>
        </w:numPr>
        <w:spacing w:after="80"/>
      </w:pPr>
      <w:r>
        <w:rPr>
          <w:sz w:val="22"/>
          <w:szCs w:val="22"/>
        </w:rPr>
        <w:t xml:space="preserve">X / Twitter second — a curated, public-facing selection of only the very best, higher-quality ideas.</w:t>
      </w:r>
    </w:p>
    <w:p>
      <w:pPr>
        <w:spacing w:after="140"/>
      </w:pPr>
      <w:r>
        <w:rPr>
          <w:sz w:val="22"/>
          <w:szCs w:val="22"/>
        </w:rPr>
        <w:t xml:space="preserve">Two filters keep the published list trustworthy. First, no chasing: if the price has already run too far past the entry, the idea is dropped — there is no point flagging a move you have missed. Second, a quality floor: only genuinely clean, high-scoring patterns make the headline list; weaker ones stay on the internal watch-list rather than being published.</w:t>
      </w:r>
    </w:p>
    <w:p>
      <w:pPr>
        <w:spacing w:after="60" w:before="120"/>
        <w:jc w:val="center"/>
      </w:pPr>
      <w:r>
        <w:drawing>
          <wp:inline distT="0" distB="0" distL="0" distR="0">
            <wp:extent cx="5476875" cy="2857500"/>
            <wp:effectExtent t="0" r="0" b="0" l="0"/>
            <wp:docPr id="1" name="decision_flow.png" descr="From scan to publication" title="From scan to pub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76875" cy="2857500"/>
                    </a:xfrm>
                    <a:prstGeom prst="rect">
                      <a:avLst/>
                    </a:prstGeom>
                  </pic:spPr>
                </pic:pic>
              </a:graphicData>
            </a:graphic>
          </wp:inline>
        </w:drawing>
      </w:r>
    </w:p>
    <w:p>
      <w:pPr>
        <w:spacing w:after="200"/>
        <w:jc w:val="center"/>
      </w:pPr>
      <w:r>
        <w:rPr>
          <w:i/>
          <w:iCs/>
          <w:color w:val="666666"/>
          <w:sz w:val="18"/>
          <w:szCs w:val="18"/>
        </w:rPr>
        <w:t xml:space="preserve">The journey: scan every market → apply the five checks → rank by reward-for-risk → publish to Slack (more) then X (the top few).</w:t>
      </w:r>
    </w:p>
    <w:p>
      <w:pPr>
        <w:spacing w:after="140"/>
      </w:pPr>
      <w:r>
        <w:rPr>
          <w:sz w:val="22"/>
          <w:szCs w:val="22"/>
        </w:rPr>
        <w:t xml:space="preserve">One important point: this system finds and publishes ideas — it does not place the trades itself. Actually buying or selling is handled by a separate system, only when its own conditions are met. The published lists are candidates to consider, not orders that have been placed.</w:t>
      </w:r>
    </w:p>
    <w:p>
      <w:pPr>
        <w:pStyle w:val="Heading1"/>
      </w:pPr>
      <w:r>
        <w:t xml:space="preserve">A few terms, in plain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Reward-to-risk (R:R)</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How much you could make versus how much you risk. 3:1 means three times the reward for the risk.</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Entry / Stop / Target</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Where you get in, where you get out if it goes wrong (the safety exit), and where you aim to take profit.</w:t>
            </w:r>
          </w:p>
        </w:tc>
      </w:tr>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Support / Resistance</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Price levels where a market has tended to stop falling (support) or stop rising (resistance).</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The funnel (HVF)</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The coiling-spring pattern: smaller and smaller price swings after a strong trend, then a breakout.</w:t>
            </w:r>
          </w:p>
        </w:tc>
      </w:tr>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Smart money (COT)</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What large professional hedgers are doing — often a useful tell on direction.</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Quality score</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A 0–100 mark for how clean and textbook the pattern looks (weak ones aren’t published).</w:t>
            </w:r>
          </w:p>
        </w:tc>
      </w:tr>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Peer / competitor</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The main rival (e.g. Lululemon for Nike) — how the two compare, and related news.</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Institutional holder</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An outside fund (e.g. BlackRock, Berkshire) that owns shares — not a company insider.</w:t>
            </w:r>
          </w:p>
        </w:tc>
      </w:tr>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P/E ratio</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Price versus earnings — a rough gauge of cheap vs expensive, shown against the wider market.</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3-year history</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A long-term price chart so you can see the multi-year trend behind a short-term move.</w:t>
            </w:r>
          </w:p>
        </w:tc>
      </w:tr>
    </w:tbl>
    <w:p>
      <w:pPr>
        <w:pBdr>
          <w:top w:val="single" w:color="CCCCCC" w:sz="6" w:space="8"/>
        </w:pBdr>
        <w:spacing w:before="240"/>
      </w:pPr>
      <w:r>
        <w:rPr>
          <w:i/>
          <w:iCs/>
          <w:color w:val="888888"/>
          <w:sz w:val="18"/>
          <w:szCs w:val="18"/>
        </w:rPr>
        <w:t xml:space="preserve">Not financial advice. This document explains how the system works; it is not a recommendation to buy or sell anything.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A plain-English guide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2E5BBA"/>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a12519236c90ffddba85d2a58a38bf8d71ea9b2.png"/><Relationship Id="rId9" Type="http://schemas.openxmlformats.org/officeDocument/2006/relationships/image" Target="media/8d5be955ac7a04cdd503ccfdc2e91d4c0ae01ef8.png"/><Relationship Id="rId10" Type="http://schemas.openxmlformats.org/officeDocument/2006/relationships/image" Target="media/5b3b448ad20e191718e88d80046c9d6c4945dae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Trading Signal System Works</dc:title>
  <dc:creator>A&amp;A Trading</dc:creator>
  <cp:lastModifiedBy>Un-named</cp:lastModifiedBy>
  <cp:revision>1</cp:revision>
  <dcterms:created xsi:type="dcterms:W3CDTF">2026-06-21T19:29:35.006Z</dcterms:created>
  <dcterms:modified xsi:type="dcterms:W3CDTF">2026-06-21T19:29:35.008Z</dcterms:modified>
</cp:coreProperties>
</file>

<file path=docProps/custom.xml><?xml version="1.0" encoding="utf-8"?>
<Properties xmlns="http://schemas.openxmlformats.org/officeDocument/2006/custom-properties" xmlns:vt="http://schemas.openxmlformats.org/officeDocument/2006/docPropsVTypes"/>
</file>