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24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УДК 004.93</w:t>
      </w:r>
    </w:p>
    <w:p>
      <w:pPr>
        <w:spacing w:before="240" w:after="360" w:line="360" w:lineRule="auto"/>
        <w:ind w:firstLine="0"/>
        <w:jc w:val="left"/>
      </w:pPr>
      <w:bookmarkStart w:id="9" w:name="_fc6c2dea86d6b93fae6ba4656577711f1117e6a"/>
      <w:r>
        <w:rPr>
          <w:rFonts w:ascii="Times New Roman" w:hAnsi="Times New Roman" w:eastAsia="Times New Roman"/>
          <w:b/>
          <w:sz w:val="24"/>
        </w:rPr>
        <w:t xml:space="preserve">Обоснование выбора модели машинного обучения для системы распознавания объектов мобильного робота</w:t>
      </w:r>
      <w:bookmarkEnd w:id="9"/>
    </w:p>
    <w:p>
      <w:pPr>
        <w:pStyle w:val="FirstParagraph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Папин Алексей Владимирович¹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papin.alexei2011@yandex.ru</w:t>
      </w:r>
    </w:p>
    <w:p>
      <w:pPr>
        <w:pStyle w:val="BodyText"/>
        <w:spacing w:before="0" w:after="120" w:line="36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 xml:space="preserve">SPIN-код: ____-____ (будет присвоен)</w:t>
      </w:r>
    </w:p>
    <w:p>
      <w:pPr>
        <w:pStyle w:val="BodyText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Канев Антон Игоревич¹(*)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aikanev@bmstu.ru</w:t>
      </w:r>
    </w:p>
    <w:p>
      <w:pPr>
        <w:pStyle w:val="BodyText"/>
        <w:spacing w:before="0" w:after="120" w:line="36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 xml:space="preserve">¹ МГТУ им. Н. Э. Баумана, кафедра ИУ-5 «Системы обработки информации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управления», Москва, Россия</w:t>
      </w:r>
    </w:p>
    <w:p>
      <w:pPr>
        <w:pStyle w:val="BodyText"/>
        <w:spacing w:before="24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Аннотация.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Работа посвящена выбору модели машинного обучения для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системы распознавания объектов мобильного робота. Модели берутся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готовыми, поэтому сравнение опирается на архитектурные характеристики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параметры, FLOPs, память, задержку, — а не на результаты прогонов.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Предложена процедура, в которой модели отсеиваются по требованиям борта,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сравниваются по критериям принятия решений в условиях неопределённости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сводятся в один показатель без весов. Дополнительно вводятся метрики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«точность на ресурс». Итоговый выбор проверяется на устойчивость тремя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свёртками. На семи моделях все критерии и варианты свёртки дают один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результат — YOLO11n; в рамках ограничений борта он устойчив, однако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текстурированных и реальных данных лидерство зависит от домена; прогон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Gazebo подтвердил ограничение по задержке. Обсуждаются ограничения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подхода.</w:t>
      </w:r>
    </w:p>
    <w:p>
      <w:pPr>
        <w:pStyle w:val="BodyText"/>
        <w:spacing w:before="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Ключевые слова: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выбор модели машинного обучения; распознавание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объектов; характеристики архитектуры; многокритериальный выбор; условия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неопределённости; бортовая система.</w:t>
      </w:r>
    </w:p>
    <w:p>
      <w:pPr>
        <w:spacing w:before="240" w:after="360" w:line="360" w:lineRule="auto"/>
        <w:ind w:firstLine="0"/>
        <w:jc w:val="left"/>
      </w:pPr>
      <w:bookmarkStart w:id="10" w:name="_3fd0a8d1eafbac82804c4c7b3b81f4c0ccf2680"/>
      <w:r>
        <w:rPr>
          <w:rFonts w:ascii="Times New Roman" w:hAnsi="Times New Roman" w:eastAsia="Times New Roman"/>
          <w:b/>
          <w:sz w:val="24"/>
        </w:rPr>
        <w:t xml:space="preserve">Justification of the Choice of a Machine Learning Model for an Object Recognition System of a Mobile Robot</w:t>
      </w:r>
      <w:bookmarkEnd w:id="10"/>
    </w:p>
    <w:p>
      <w:pPr>
        <w:pStyle w:val="FirstParagraph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Papin Alexey Vladimirovich¹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papin.alexei2011@yandex.ru</w:t>
      </w:r>
    </w:p>
    <w:p>
      <w:pPr>
        <w:pStyle w:val="BodyText"/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Kanev Anton Igorevich¹(*)</w:t>
      </w:r>
      <w:r>
        <w:rPr>
          <w:rFonts w:ascii="Times New Roman" w:hAnsi="Times New Roman" w:eastAsia="Times New Roman"/>
          <w:b/>
          <w:sz w:val="24"/>
        </w:rPr>
        <w:t xml:space="preserve"> </w:t>
      </w:r>
      <w:r>
        <w:rPr>
          <w:rFonts w:ascii="Times New Roman" w:hAnsi="Times New Roman" w:eastAsia="Times New Roman"/>
          <w:b/>
          <w:sz w:val="24"/>
        </w:rPr>
        <w:t xml:space="preserve">aikanev@bmstu.ru</w:t>
      </w:r>
    </w:p>
    <w:p>
      <w:pPr>
        <w:pStyle w:val="BodyText"/>
        <w:spacing w:before="0" w:after="120" w:line="36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 xml:space="preserve">¹ Bauman Moscow State Technical University, Department of Information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Processing and Control Systems (IU-5), Moscow, Russia</w:t>
      </w:r>
    </w:p>
    <w:p>
      <w:pPr>
        <w:pStyle w:val="BodyText"/>
        <w:spacing w:before="24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Abstract.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paper addresses the choice of a machine learning model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an object recognition system of a mobile robot. The models are taken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 ready-made, so the comparison relies on architectural characteristics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parameters, FLOPs, memory, latency — rather than on run results.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procedure is proposed in which models are filtered by onboard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requirements, compared using decision criteria under uncertainty,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aggregated into a single score without weights. In addition,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“accuracy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 resource”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metrics are introduced. The final choice is checked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stability with three aggregations. On seven models, all criteria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aggregation variants yield the same result — YOLO11n; it is stable within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onboard constraints, although the leader depends on the domain;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Gazebo run confirmed the latency constraint. The limitations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approach are discussed.</w:t>
      </w:r>
    </w:p>
    <w:p>
      <w:pPr>
        <w:pStyle w:val="BodyText"/>
        <w:spacing w:before="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Keywords: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machine learning model selection; object recognition;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architecture characteristics; multi-criteria selection; uncertainty;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onboard system.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Введение.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Распознавание объектов — одно из ключевых звеньев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бортовой системы мобильного робота. По результатам детекции оператор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принимает решения о движении и взаимодействии с объектами, поэтому от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выбранной модели зависит и качество, и своевременность этих решений.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практике модели поставляются готовыми, предобученными на общих датасетах;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дообучение под конкретную задачу на этапе выбора обычно не выполняется.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Возникает вопрос: какую из нескольких доступных моделей выбрать и как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обосновать этот выбор, не проводя собственных экспериментов.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Стандартный путь — сравнить модели по метрикам вроде mAP или F1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требует размеченного датасета и прогонов, а ограничения борта (задержка,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память, вычислительная стоимость) при таком сравнении часто остаются 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стороне. Методы многокритериального выбора (MCDM, TOPSIS) позволяют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учесть несколько критериев, но опираются на веса, которые задаёт эксперт.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Нейронный архитектурный поиск (NAS) решает другую задачу: он проектирует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новые архитектуры и использует критерий Парето. Для выбора среди готовых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моделей при известных ограничениях борта нужна процедура, которая 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требует ни прогонов, ни экспертных весов.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Цель работы — предложить такую процедуру и проверить её на наборе готовых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детекторов. Отличие предлагаемого подхода состоит в том, что оценка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извлекается из архитектуры модели (числовые характеристики с формулами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единицами), сравнение ведётся без весов и без критерия Парето, а для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учёта неизвестной сцены применяются критерии принятия решений в условиях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неопределённости. Дополнительно вводятся авторские метрики, связывающие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точность модели с её вычислительной и временной стоимостью. Практическая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ценность подхода — возможность выбрать модель до экспериментов, на этапе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проектирования бортовой системы.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Материалы и методы.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работе рассматриваются семь готовых моделей.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Четыре из них — одностадийные детекторы семейств YOLO11 и YOLOv8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(YOLO11n, YOLO11s, YOLOv8n, YOLOv8s) [1, 2]; ещё три — трансформерный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RT-DETR-l [3], двухстадийный Faster R-CNN [4] и CNN+LSTM, представляющий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собой YOLO11n с рекуррентным модулем для трекинга [5]. Точность моделей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характеризуется метрикой mAP (mean Average Precision), вычислительная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стоимость — числом операций с плавающей точкой (FLOPs).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К моделям предъявляются требования, связанные с работой на борту: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задержка на кадр не должна превышать 0,1 с, память под веса — 64 МБ;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выход должен быть в виде рамки, модель должна быть детерминированной,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допускать квантование и поддерживать трекинг. Модели, не прошедшие хотя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бы одно из этих требований, из дальнейшего рассмотрения исключаются.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Формально допустимое множество имеет вид</w:t>
      </w:r>
    </w:p>
    <w:p>
      <w:pPr>
        <w:pStyle w:val="BodyText"/>
        <w:spacing w:before="120" w:after="120" w:line="360" w:lineRule="auto"/>
        <w:ind w:firstLine="0"/>
        <w:jc w:val="center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и задача состоит в выборе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A</m:t>
        </m:r>
      </m:oMath>
      <w:r>
        <w:rPr>
          <w:rFonts w:ascii="Times New Roman" w:hAnsi="Times New Roman" w:eastAsia="Times New Roman"/>
          <w:sz w:val="24"/>
        </w:rPr>
        <w:t xml:space="preserve">, лучшей по совокупности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критериев без весов и без критерия Парето.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Для каждой модели по её архитектуре вычисляются число параметров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стоимость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(FLOPs на кадр) и число слоёв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/>
          <w:sz w:val="24"/>
        </w:rPr>
        <w:t xml:space="preserve">, а также производные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величины: память под веса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задержка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Π</m:t>
        </m:r>
      </m:oMath>
      <w:r>
        <w:rPr>
          <w:rFonts w:ascii="Times New Roman" w:hAnsi="Times New Roman" w:eastAsia="Times New Roman"/>
          <w:sz w:val="24"/>
        </w:rPr>
        <w:t xml:space="preserve">, частота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энергия на кадр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. Здесь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производительность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вычислителя (в расчётах принята 100 Гоп./с),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мощность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(10 Вт). Значения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берутся из спецификаций моделей [1–3]; каждая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характеристика имеет формулу и единицы измерения, что позволяет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сравнивать модели без прогонов.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Сцена, в которой будет работать робот, заранее неизвестна,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вводятся состояния природы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сцены с числом объектов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 и 50. Частота модели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 учётом стоимости постобработки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(подавления дублирующих рамок, NMS) определяется формулой</w:t>
      </w:r>
    </w:p>
    <w:p>
      <w:pPr>
        <w:pStyle w:val="BodyText"/>
        <w:tabs>
          <w:tab w:val="center" w:pos="4961"/>
          <w:tab w:val="right" w:pos="9921"/>
        </w:tabs>
        <w:spacing w:line="360" w:lineRule="auto" w:before="120" w:after="120"/>
        <w:ind w:firstLine="0"/>
        <w:jc w:val="left"/>
      </w:pPr>
      <w:r>
        <w:tab/>
      </w:r>
      <m:oMath>
        <m:sSub>
          <m:e>
            <m:r>
              <m:t>f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α</m:t>
            </m:r>
            <m:sSubSup>
              <m:e>
                <m:r>
                  <m:t>N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,</m:t>
        </m:r>
        <m:r>
          <m:t>  </m:t>
        </m:r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</m:rPr>
          <m:t>Г</m:t>
        </m:r>
        <m:r>
          <m:rPr>
            <m:sty m:val="p"/>
          </m:rPr>
          <m:t>,</m:t>
        </m:r>
      </m:oMath>
      <w:r>
        <w:tab/>
        <w:t>(1)</w:t>
      </w:r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где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коэффициент стоимости постобработки. По матрице выигрышей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применяются пять классических критериев. Критерий Лапласа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использует среднее значение по сценам, критерий оптимизма — максимальное,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критерий Вальда — минимальное; критерий Сэвиджа минимизирует максимальное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сожаление, а критерий Гурвица — взвешенную комбинацию максимума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минимума:</w:t>
      </w:r>
    </w:p>
    <w:p>
      <w:pPr>
        <w:pStyle w:val="BodyText"/>
        <w:spacing w:before="120" w:after="120" w:line="360" w:lineRule="auto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Критерии не требуют вероятностей сцен и дают разные взгляды на выбор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нейтральный, оптимистичный, пессимистичный и страховочный. Пример расчёта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 формуле (1): для YOLO11n 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) частота равна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001</m:t>
        </m:r>
        <m:r>
          <m:rPr>
            <m:sty m:val="p"/>
          </m:rPr>
          <m:t>⋅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09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Гц, а 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/>
          <w:sz w:val="24"/>
        </w:rPr>
        <w:t xml:space="preserve">) —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99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Гц. Критерий Вальда для этой модели равен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10,99 Гц.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Помимо классических критериев, в работе используются метрики, связывающие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точность модели с её ресурсами. Точность на вычисления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определяется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как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nor/>
          </m:rPr>
          <m:t>mAP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 пригодность к борту BF — как</w:t>
      </w:r>
      <w:r>
        <w:rPr>
          <w:rFonts w:ascii="Times New Roman" w:hAnsi="Times New Roman" w:eastAsia="Times New Roman"/>
          <w:sz w:val="24"/>
        </w:rPr>
        <w:t xml:space="preserve"> </w:t>
      </w:r>
      <m:oMath>
        <m:f>
          <m:fPr>
            <m:type m:val="bar"/>
          </m:fPr>
          <m:num>
            <m:r>
              <m:t>f</m:t>
            </m:r>
          </m:num>
          <m:den>
            <m:r>
              <m:t>Q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sSub>
              <m:e>
                <m:r>
                  <m:t>M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den>
        </m:f>
      </m:oMath>
      <w:r>
        <w:rPr>
          <w:rFonts w:ascii="Times New Roman" w:hAnsi="Times New Roman" w:eastAsia="Times New Roman"/>
          <w:sz w:val="24"/>
        </w:rPr>
        <w:t xml:space="preserve">, где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свободная память. Свежесть решения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показывает,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успевает ли результат к моменту действия; здесь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τ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такт робота (в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расчётах 0,1 с). На её основе строится готовность к действию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/>
          <w:sz w:val="24"/>
        </w:rPr>
        <w:t xml:space="preserve">. Удельная точность на память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частота на гигафлоп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масштабная устойчивость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nor/>
                  </m:rPr>
                  <m:t>mAP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rPr>
                    <m:nor/>
                  </m:rPr>
                  <m:t>mAP</m:t>
                </m:r>
              </m:e>
              <m:sub>
                <m:r>
                  <m:t>n</m:t>
                </m:r>
              </m:sub>
            </m:sSub>
          </m:num>
          <m:den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F</m:t>
                </m:r>
              </m:e>
              <m:sub>
                <m:r>
                  <m:t>n</m:t>
                </m:r>
              </m:sub>
            </m:sSub>
          </m:den>
        </m:f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плотность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решений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⋅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дополняют набор.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Метрики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, BF, DF, AR, APM, FPG, SR и IDD предложены в данной работе;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величины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/>
          <w:sz w:val="24"/>
        </w:rPr>
        <w:t xml:space="preserve">, EDP,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–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заимствованы из литературы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используются как вспомогательные. Пример расчёта: для YOLO11n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066</m:t>
            </m:r>
            <m:r>
              <m:rPr>
                <m:sty m:val="p"/>
              </m:rPr>
              <m:t>/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517</m:t>
        </m:r>
      </m:oMath>
      <w:r>
        <w:rPr>
          <w:rFonts w:ascii="Times New Roman" w:hAnsi="Times New Roman" w:eastAsia="Times New Roman"/>
          <w:sz w:val="24"/>
        </w:rPr>
        <w:t xml:space="preserve">, 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r>
          <m:t>15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,</m:t>
        </m:r>
        <m:r>
          <m:t>68</m:t>
        </m:r>
      </m:oMath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Чтобы свести все способы к одному числу, значения каждой метрики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нормируются к отрезку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 min–max (для показателей «меньше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лучше» берётся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z</m:t>
        </m:r>
      </m:oMath>
      <w:r>
        <w:rPr>
          <w:rFonts w:ascii="Times New Roman" w:hAnsi="Times New Roman" w:eastAsia="Times New Roman"/>
          <w:sz w:val="24"/>
        </w:rPr>
        <w:t xml:space="preserve">) и усредняются без весов:</w:t>
      </w:r>
    </w:p>
    <w:p>
      <w:pPr>
        <w:pStyle w:val="BodyText"/>
        <w:tabs>
          <w:tab w:val="center" w:pos="4961"/>
          <w:tab w:val="right" w:pos="9921"/>
        </w:tabs>
        <w:spacing w:line="360" w:lineRule="auto" w:before="120" w:after="120"/>
        <w:ind w:firstLine="0"/>
        <w:jc w:val="left"/>
      </w:pPr>
      <w:r>
        <w:tab/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.</m:t>
        </m:r>
      </m:oMath>
      <w:r>
        <w:tab/>
        <w:t>(2)</w:t>
      </w:r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Дополнительно вычисляются число Борда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средний ранг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</m:oMath>
      <w:r>
        <w:rPr>
          <w:rFonts w:ascii="Times New Roman" w:hAnsi="Times New Roman" w:eastAsia="Times New Roman"/>
          <w:sz w:val="24"/>
        </w:rPr>
        <w:t xml:space="preserve">; совпадение всех трёх свёрток говорит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 устойчивости результата. Расчёт реализован в виде скрипта на Python,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что обеспечивает воспроизводимость результатов.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Структурная схема методики приведена на рис. 1.</w:t>
      </w:r>
    </w:p>
    <w:p>
      <w:pPr>
        <w:pStyle w:val="BodyText"/>
        <w:spacing w:before="120" w:after="60" w:line="360" w:lineRule="auto"/>
        <w:ind w:firstLine="0"/>
        <w:jc w:val="center"/>
      </w:pPr>
      <w:r>
        <w:rPr>
          <w:rFonts w:ascii="Times New Roman" w:hAnsi="Times New Roman" w:eastAsia="Times New Roman"/>
          <w:sz w:val="24"/>
        </w:rPr>
        <w:drawing>
          <wp:inline>
            <wp:extent cx="5760000" cy="2574301"/>
            <wp:effectExtent b="0" l="0" r="0" t="0"/>
            <wp:docPr descr="Рис. 1. Структурная схема методики выбора модели" title="" id="12" name="Picture"/>
            <a:graphic>
              <a:graphicData uri="http://schemas.openxmlformats.org/drawingml/2006/picture">
                <pic:pic>
                  <pic:nvPicPr>
                    <pic:cNvPr descr="figures/fig1-methodolo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574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24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16"/>
        </w:rPr>
        <w:t xml:space="preserve">Рис. 1. Структурная схема методики выбора модели.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Результаты.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Требования борта прошли три модели — YOLO11n, CNN+LSTM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YOLOv8n. Модели YOLO11s и YOLOv8s отсеяны из-за задержки (0,217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0,288 с), RT-DETR-l и Faster R-CNN — из-за задержки и памяти.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Характеристики всех семи моделей приведены в табл. 1.</w:t>
      </w:r>
    </w:p>
    <w:p>
      <w:pPr>
        <w:pStyle w:val="BodyText"/>
        <w:spacing w:before="120" w:after="0" w:line="240" w:lineRule="auto"/>
        <w:ind w:firstLine="0"/>
        <w:jc w:val="left"/>
      </w:pPr>
      <w:r>
        <w:rPr>
          <w:rFonts w:ascii="Times New Roman" w:hAnsi="Times New Roman" w:eastAsia="Times New Roman"/>
          <w:sz w:val="22"/>
        </w:rPr>
        <w:t xml:space="preserve">Таблица 1</w:t>
      </w:r>
    </w:p>
    <w:p>
      <w:pPr>
        <w:pStyle w:val="BodyText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2"/>
        </w:rPr>
        <w:t xml:space="preserve">Характеристики моделей-кандидатов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млн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F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Г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mAP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M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МБ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с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f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Гц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2.62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6.6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39.5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10.48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0.066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15.15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3.16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8.9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37.3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12.64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0.089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11.24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YOLO11s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9.46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21.7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47.0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37.84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0.217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4.61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YOLOv8s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11.17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28.8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44.9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44.68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0.288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3.47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RT-DETR-l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32.0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103.5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53.0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128.00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1.035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0.97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Faster R-CNN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41.5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166.00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1.800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0.56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CNN+LSTM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3.15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39.5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12.60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0.070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14.29</w:t>
            </w:r>
          </w:p>
        </w:tc>
      </w:tr>
    </w:tbl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Для трёх допустимых моделей частота по сценам составила: YOLO11n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15,09 / 14,29 / 10,99 Гц; CNN+LSTM — 14,23 / 13,51 / 10,53 Гц;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YOLOv8n — 11,20 / 10,75 / 8,77 Гц. Значения критериев (Лаплас, оптимизм,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Вальд, Сэвидж, Гурвиц) равны соответственно 13,46 / 15,09 / 10,99 / 0,00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13,04 для YOLO11n, 12,76 / 14,23 / 10,53 / 0,86 / 12,38 для CNN+LSTM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10,24 / 11,20 / 8,77 / 3,89 / 9,99 для YOLOv8n. Во всех случаях лучшей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оказывается YOLO11n; при подсчёте баллов модели получают 15, 10 и 5.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Результат сведения по 22 способам приведён в табл. 2.</w:t>
      </w:r>
    </w:p>
    <w:p>
      <w:pPr>
        <w:pStyle w:val="BodyText"/>
        <w:spacing w:before="120" w:after="0" w:line="240" w:lineRule="auto"/>
        <w:ind w:firstLine="0"/>
        <w:jc w:val="left"/>
      </w:pPr>
      <w:r>
        <w:rPr>
          <w:rFonts w:ascii="Times New Roman" w:hAnsi="Times New Roman" w:eastAsia="Times New Roman"/>
          <w:sz w:val="22"/>
        </w:rPr>
        <w:t xml:space="preserve">Таблица 2</w:t>
      </w:r>
    </w:p>
    <w:p>
      <w:pPr>
        <w:pStyle w:val="BodyText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2"/>
        </w:rPr>
        <w:t xml:space="preserve">Результаты сведения по 22 способам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rPr>
                  <m:sty m:val="p"/>
                </m:rPr>
                <m:t>Ψ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​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Число Борда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Средний ранг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1.045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CNN+LSTM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0.735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42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0.045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2.909</w:t>
            </w:r>
          </w:p>
        </w:tc>
      </w:tr>
    </w:tbl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Итоговое сведение даёт YOLO11n; этот результат совпадает с выводами всех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отдельных критериев и метрик. Причина в том, что YOLO11n имеет наименьшие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параметры, FLOPs, память и задержку среди допустимых моделей,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выигрывает по всем критериям. Характеристики выбранной модели: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млн,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48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МБ,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15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Дж; в сложной сцене (50 объектов) частота не опускается ниже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10,99 Гц.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Обсуждение.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Полученный результат согласуется с литературой по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многокритериальному выбору [9], однако традиционные методы — анализ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иерархий (AHP) и TOPSIS — требуют весов критериев. Нейронный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архитектурный поиск [10] проектирует новые архитектуры и опирается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Парето-оптимальность, а исследования в области TinyML [11] сосредоточены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бенчмарках, а не на процедуре выбора среди готовых моделей.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Предлагаемый подход отличается тем, что выбирает среди готовых моделей,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использует только архитектурные характеристики, не требует весов,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применяет критерии неопределённости по сценам и предусматривает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проверку в симуляции.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Совпадение пяти критериев, балльного подсчёта и трёх свёрток (</w:t>
      </w:r>
      <m:oMath>
        <m:r>
          <m:rPr>
            <m:sty m:val="p"/>
          </m:rPr>
          <m:t>Ψ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число Борда, средний ранг) означает, что выбор не зависит от метода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агрегации. Нормировка min–max, число Борда и средний ранг — стандартные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приёмы ранговой агрегации; новизна работы не в них, а в безвесовом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выборе по архитектурным характеристикам и в критериях неопределённости.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Следует учитывать ограничения. Значения mAP взяты из спецификаций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(датасет COCO) и на синтетических сценах отличаются,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проверка в симуляции даёт относительное сравнение моделей, а 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абсолютную точность. Часть авторских метрик, зависящих от энергии (BF),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симуляции проверяется частично. Равное усреднение после нормировки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представляет собой неявные равные веса, что является осознанным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компромиссом.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Проверка выполнена в Gazebo Sim 8.15 на сцене из 16 объектов девяти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классов COCO (стулья, столы, кровать, диваны, вазы, телевизор,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холодильник, бутылки, мячи), 48 ракурсов, 88 объектов ground truth.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CPU (16 ядер) медианное время инференса: 18,9 мс у YOLOv8n,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19,7 мс у YOLO11n, 19,0 мс у YOLOv10n, 29,4 мс у YOLOv9t и 48,4 мс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YOLOv8s — все модели укладываются в ограничение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запасом около двух раз. mAP@0,5 по девяти классам: 0,403 / 0,551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0,427 / 0,408 / 0,499; mAP@0,5:0,95: 0,260 / 0,322 / 0,278 / 0,236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0,294; лучший F1 при подборе порога: 0,281 / 0,405 / 0,260 / 0,286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0,366. У YOLO11n лучшие mAP@0,5 (0,551), mAP@0,5:0,95 (0,322) и F1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(0,405) при более чем вдвое меньшем времени, чем у YOLOv8s, и вчетверо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меньшем размере. На четырёх сценах (базовая, тёплый и холодный свет,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видео-облёт; 340 объектов ground truth) средний mAP@0,5 равен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0,475 ± 0,093 у YOLO11n, 0,406 ± 0,088 у YOLOv8s и 0,376 ± 0,086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YOLOv8n: лидерство YOLO11n сохраняется. Экспорт в OpenVINO FP32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ускоряет YOLO11n до 13,0 мс (77 Гц), FP16 — 13,8 мс при 5,7 МБ. Сквозной прогон ROS-узла дал 36 Гц при камере 60 Гц;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ограничение — рендеринг Gazebo, а не инференс. Абсолютные значения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ниже, чем на COCO: нетекстурированные синтетические модели дают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доменный сдвиг — диваны и кровати классифицируются как airplane, вазы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как bird. На текстурированной сцене кафе (66 объектов ground truth, четыре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класса) места меняются: YOLOv8n 0,478, YOLOv8s 0,435, YOLO11n 0,402.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реальных 128 изображениях COCO128 [12] (929 объектов, 80 классов)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YOLOv8s даёт 0,761, YOLO11n — 0,671, YOLOv8n — 0,607. YOLOv8s точнее,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 в 2,5 раза медленнее и вчетверо больше; при этом натурный замер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неё 51 мс, тогда как аналитическая оценка давала 0,14 с. Это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показывает, что отсев по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консервативен: при менее жёстком бюджете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YOLOv8s может быть предпочтительнее, и границу отсева следует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уточнять по натурным замерам. CNN+LSTM в прогоне не участвовала: готовых весов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детектора для неё нет.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Практическая ценность подхода состоит в возможности выбрать модель до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прогонов — при проектировании бортовой системы, когда известны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ограничения по задержке и памяти, но ещё нет размеченного датасета.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Дальнейшая работа связана с проверкой методики на реальных сценах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расширением набора моделей; в симуляции остаётся измерить энергию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память на полном наборе сцен.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Заключение.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Предложена методика объективного выбора модели машинного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обучения для системы распознавания объектов мобильного робота. Оценка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извлекается из архитектуры модели по числовым характеристикам с формулами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единицами; сравнение ведётся без весов, с применением критериев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принятия решений в условиях неопределённости и авторских метрик «точность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ресурс». На наборе из семи моделей после отсева по требованиям борта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рассмотрены три модели; все критерии и варианты свёртки устойчиво указали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YOLO11n, которая обеспечивает не менее 10,99 Гц даже в сложной сцене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 памяти 10,48 МБ. Прогон в Gazebo подтвердил ограничение по задержке;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текстурированных и реальных данных ранжирование меняется, что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ограничивает перенос выбора на другие домены. Дальнейшая работа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направлена на расширение набора моделей и проверку методики на реальных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сценах.</w:t>
      </w:r>
    </w:p>
    <w:p>
      <w:pPr>
        <w:pStyle w:val="BodyText"/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Список источников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[1] Ultralytics YOLO11: документация и конфигурации [Электронный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ресурс]. — URL: https://docs.ultralytics.com/models/yolo11/ (дата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[2] Ultralytics YOLOv8: документация и конфигурации [Электронный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ресурс]. — URL: https://docs.ultralytics.com/models/yolov8/ (дата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[3] Ultralytics RT-DETR: документация [Электронный ресурс].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https://docs.ultralytics.com/models/rtdetr/ (дата 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[4] Ren S., He K., Girshick R., Sun J. Faster R-CNN: Towards Real-Time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Object Detection with Region Proposal Networks // IEEE Transactions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Pattern Analysis and Machine Intelligence. — 2017. — Vol. 39, No. 6.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P. 1137–1149.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[5] Hochreiter S., Schmidhuber J. Long Short-Term Memory // Neural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Computation. — 1997. — Vol. 9, No. 8. — P. 1735–1780.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[6] Wald A. Statistical Decision Functions. — New York: Wiley, 1950.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179 p.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[7] Savage L. J. The Theory of Statistical Decision // Journal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American Statistical Association. — 1951. — Vol. 46, No. 253. — P. 55–67.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[8] Hurwicz L. Optimality Criteria for Decision Making under Ignorance //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Cowles Commission Discussion Paper. — 1951. — No. 370.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[9] Hwang C.-L., Yoon K. Multiple Attribute Decision Making: Methods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Applications. — Berlin: Springer, 1981. — 259 p.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[10] Benmeziane H., Maghraoui K. E., Ouarnoughi H., Niar S., Wistuba M.,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Wang N. A Comprehensive Survey on Hardware-Aware Neural Architecture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Search // Proceedings of the Thirtieth International Joint Conference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Artificial Intelligence (IJCAI). — 2021. — P. 2762–2769.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[11] Banbury C., Reddi V. J., Torelli P., Holleman J., Jeffries N.,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Kiraly C., Montino P., Kanter D., Ahmed S., Pau D., Thakker U.,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Fedorov I., Zhou L., Arcas B., Nepal R., Borthakur S., Bhattacharya T.,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Bangalore S., Sripathi S., … Benchmarking TinyML Systems: Challenges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Direction [Электронный ресурс] // arXiv. — 2020.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https://arxiv.org/abs/2003.04821 (дата 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[12] Ultralytics COCO128: набор данных для проверки детекторов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[Электронный ресурс].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https://docs.ultralytics.com/datasets/detect/coco128/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(дата обращения: 19.10.2026).</w:t>
      </w:r>
    </w:p>
    <w:sectPr>
      <w:footnotePr>
        <w:numRestart w:val="eachSect"/>
      </w:footnotePr>
      <w:pgSz w:w="11906" w:h="16838"/>
      <w:pgMar w:left="1276" w:right="709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Обоснование выбора модели машинного обучения для системы распознавания объектов мобильного робота</dc:title>
  <dc:creator>Папин А.В., Канев А.И.</dc:creator>
  <cp:keywords/>
  <dcterms:created xsi:type="dcterms:W3CDTF">2026-10-19T18:12:56Z</dcterms:created>
  <dcterms:modified xsi:type="dcterms:W3CDTF">2026-10-19T18:12:56Z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