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24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sz w:val="24"/>
        </w:rPr>
        <w:t xml:space="preserve">УДК 004.93</w:t>
      </w:r>
    </w:p>
    <w:p>
      <w:pPr>
        <w:spacing w:before="240" w:after="360" w:line="360" w:lineRule="auto"/>
        <w:ind w:firstLine="0"/>
        <w:jc w:val="left"/>
      </w:pPr>
      <w:bookmarkStart w:id="9" w:name="_fc6c2dea86d6b93fae6ba4656577711f1117e6a"/>
      <w:r>
        <w:rPr>
          <w:rFonts w:ascii="Times New Roman" w:hAnsi="Times New Roman" w:eastAsia="Times New Roman"/>
          <w:b/>
          <w:sz w:val="24"/>
        </w:rPr>
        <w:t xml:space="preserve">Обоснование выбора модели машинного обучения для системы распознавания объектов мобильного робота</w:t>
      </w:r>
      <w:bookmarkEnd w:id="9"/>
    </w:p>
    <w:p>
      <w:pPr>
        <w:pStyle w:val="FirstParagraph"/>
        <w:tabs>
          <w:tab w:pos="4320" w:val="left"/>
        </w:tabs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Папин Алексей Владимирович</w:t>
      </w:r>
      <w:r>
        <w:rPr>
          <w:rFonts w:ascii="Times New Roman" w:hAnsi="Times New Roman" w:eastAsia="Times New Roman"/>
          <w:b/>
          <w:i w:val="0"/>
          <w:sz w:val="24"/>
          <w:vertAlign w:val="superscript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ab/>
      </w:r>
      <w:r>
        <w:rPr>
          <w:rFonts w:ascii="Times New Roman" w:hAnsi="Times New Roman" w:eastAsia="Times New Roman"/>
          <w:b w:val="0"/>
          <w:i w:val="0"/>
          <w:sz w:val="24"/>
        </w:rPr>
        <w:t>papin.alexei2011@yandex.ru</w:t>
      </w:r>
    </w:p>
    <w:p>
      <w:pPr>
        <w:pStyle w:val="BodyText"/>
        <w:tabs>
          <w:tab w:pos="4320" w:val="left"/>
        </w:tabs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ab/>
        <w:t>SPIN-код: XXXX-XXXX</w:t>
      </w:r>
    </w:p>
    <w:p>
      <w:pPr>
        <w:pStyle w:val="BodyText"/>
        <w:tabs>
          <w:tab w:pos="4320" w:val="left"/>
        </w:tabs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Канев Антон Игоревич</w:t>
      </w:r>
      <w:r>
        <w:rPr>
          <w:rFonts w:ascii="Times New Roman" w:hAnsi="Times New Roman" w:eastAsia="Times New Roman"/>
          <w:b/>
          <w:i w:val="0"/>
          <w:sz w:val="24"/>
          <w:vertAlign w:val="superscript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ab/>
      </w:r>
      <w:r>
        <w:rPr>
          <w:rFonts w:ascii="Times New Roman" w:hAnsi="Times New Roman" w:eastAsia="Times New Roman"/>
          <w:b w:val="0"/>
          <w:i w:val="0"/>
          <w:sz w:val="24"/>
        </w:rPr>
        <w:t>aikanev@bmstu.ru</w:t>
      </w:r>
    </w:p>
    <w:p>
      <w:pPr>
        <w:pStyle w:val="BodyText"/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4"/>
          <w:vertAlign w:val="superscript"/>
        </w:rPr>
        <w:t>1</w:t>
      </w:r>
      <w:r>
        <w:rPr>
          <w:rFonts w:ascii="Times New Roman" w:hAnsi="Times New Roman" w:eastAsia="Times New Roman"/>
          <w:b w:val="0"/>
          <w:i/>
          <w:sz w:val="24"/>
        </w:rPr>
        <w:t xml:space="preserve"> МГТУ им. Н.Э. Баумана, Москва, Россия</w:t>
      </w:r>
    </w:p>
    <w:p>
      <w:pPr>
        <w:pStyle w:val="BodyText"/>
        <w:spacing w:before="24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Аннотация.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Работа посвящена выбору модели машинного обучения для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системы распознавания объектов мобильного робота. Модели берутся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готовыми, поэтому сравнение опирается на архитектурные характеристики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параметры, FLOPs, память, задержку, — а не на результаты прогонов.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Предложена процедура, в которой модели отсеиваются по требованиям борта,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сравниваются по критериям принятия решений в условиях неопределённости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сводятся в один показатель без весов. Дополнительно вводятся метрики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«точность на ресурс». Итоговый выбор проверяется на устойчивость тремя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свёртками. На семи моделях все критерии и варианты свёртки дают один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результат — YOLO11n; в рамках ограничений борта он устойчив, однако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текстурированных и реальных данных лидерство зависит от домена; прогон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Gazebo подтвердил ограничение по задержке. Обсуждаются ограничения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подхода.</w:t>
      </w:r>
    </w:p>
    <w:p>
      <w:pPr>
        <w:pStyle w:val="BodyText"/>
        <w:spacing w:before="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Ключевые слова: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выбор модели машинного обучения; распознавание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объектов; характеристики архитектуры; многокритериальный выбор; условия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неопределённости; бортовая система.</w:t>
      </w:r>
    </w:p>
    <w:p>
      <w:pPr>
        <w:spacing w:before="240" w:after="360" w:line="360" w:lineRule="auto"/>
        <w:ind w:firstLine="0"/>
        <w:jc w:val="left"/>
      </w:pPr>
      <w:bookmarkStart w:id="10" w:name="_3fd0a8d1eafbac82804c4c7b3b81f4c0ccf2680"/>
      <w:r>
        <w:rPr>
          <w:rFonts w:ascii="Times New Roman" w:hAnsi="Times New Roman" w:eastAsia="Times New Roman"/>
          <w:b/>
          <w:sz w:val="24"/>
        </w:rPr>
        <w:t xml:space="preserve">Justification of the Choice of a Machine Learning Model for an Object Recognition System of a Mobile Robot</w:t>
      </w:r>
      <w:bookmarkEnd w:id="10"/>
    </w:p>
    <w:p>
      <w:pPr>
        <w:pStyle w:val="FirstParagraph"/>
        <w:tabs>
          <w:tab w:pos="5046" w:val="left"/>
        </w:tabs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Papin Alexey Vladimirovich</w:t>
      </w:r>
      <w:r>
        <w:rPr>
          <w:rFonts w:ascii="Times New Roman" w:hAnsi="Times New Roman" w:eastAsia="Times New Roman"/>
          <w:b/>
          <w:i w:val="0"/>
          <w:sz w:val="24"/>
          <w:vertAlign w:val="superscript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ab/>
      </w:r>
      <w:r>
        <w:rPr>
          <w:rFonts w:ascii="Times New Roman" w:hAnsi="Times New Roman" w:eastAsia="Times New Roman"/>
          <w:b w:val="0"/>
          <w:i w:val="0"/>
          <w:sz w:val="24"/>
        </w:rPr>
        <w:t>papin.alexei2011@yandex.ru</w:t>
      </w:r>
    </w:p>
    <w:p>
      <w:pPr>
        <w:pStyle w:val="BodyText"/>
        <w:tabs>
          <w:tab w:pos="5046" w:val="left"/>
        </w:tabs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ab/>
        <w:t>SPIN-code: XXXX-XXXX</w:t>
      </w:r>
    </w:p>
    <w:p>
      <w:pPr>
        <w:pStyle w:val="BodyText"/>
        <w:tabs>
          <w:tab w:pos="5046" w:val="left"/>
        </w:tabs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Kanev Anton Igorevich</w:t>
      </w:r>
      <w:r>
        <w:rPr>
          <w:rFonts w:ascii="Times New Roman" w:hAnsi="Times New Roman" w:eastAsia="Times New Roman"/>
          <w:b/>
          <w:i w:val="0"/>
          <w:sz w:val="24"/>
          <w:vertAlign w:val="superscript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ab/>
      </w:r>
      <w:r>
        <w:rPr>
          <w:rFonts w:ascii="Times New Roman" w:hAnsi="Times New Roman" w:eastAsia="Times New Roman"/>
          <w:b w:val="0"/>
          <w:i w:val="0"/>
          <w:sz w:val="24"/>
        </w:rPr>
        <w:t>aikanev@bmstu.ru</w:t>
      </w:r>
    </w:p>
    <w:p>
      <w:pPr>
        <w:pStyle w:val="BodyText"/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/>
          <w:b w:val="0"/>
          <w:i/>
          <w:sz w:val="24"/>
          <w:vertAlign w:val="superscript"/>
        </w:rPr>
        <w:t>1</w:t>
      </w:r>
      <w:r>
        <w:rPr>
          <w:rFonts w:ascii="Times New Roman" w:hAnsi="Times New Roman" w:eastAsia="Times New Roman"/>
          <w:b w:val="0"/>
          <w:i/>
          <w:sz w:val="24"/>
        </w:rPr>
        <w:t xml:space="preserve"> BMSTU, Moscow, Russia</w:t>
      </w:r>
    </w:p>
    <w:p>
      <w:pPr>
        <w:pStyle w:val="BodyText"/>
        <w:spacing w:before="24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Abstract.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paper addresses the choice of a machine learning model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for an object recognition system of a mobile robot. The models are taken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as ready-made, so the comparison relies on architectural characteristics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parameters, FLOPs, memory, latency — rather than on run results. A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procedure is proposed in which models are filtered by onboard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requirements, compared using decision criteria under uncertainty,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aggregated into a single score without weights. In addition,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“accuracy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per resource”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metrics are introduced. The final choice is checked for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stability with three aggregations. On seven models, all criteria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aggregation variants yield the same result — YOLO11n; it is stable within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the onboard constraints, although the leader depends on the domain;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Gazebo run confirmed the latency constraint. The limitations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approach are discussed.</w:t>
      </w:r>
    </w:p>
    <w:p>
      <w:pPr>
        <w:pStyle w:val="BodyText"/>
        <w:spacing w:before="0" w:after="24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Keywords: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machine learning model selection; object recognition;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architecture characteristics; multi-criteria selection; uncertainty;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onboard system.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Введение.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Распознавание объектов — одно из ключевых звеньев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бортовой системы мобильного робота. По результатам детекции оператор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принимает решения о движении и взаимодействии с объектами, поэтому от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выбранной модели зависит и качество, и своевременность этих решений.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практике модели поставляются готовыми, предобученными на общих датасетах;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дообучение под конкретную задачу на этапе выбора обычно не выполняется.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Возникает вопрос: какую из нескольких доступных моделей выбрать и как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обосновать этот выбор, не проводя собственных экспериментов.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Стандартный путь — сравнить модели по метрикам вроде mAP или F1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требует размеченного датасета и прогонов, а ограничения борта (задержка,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память, вычислительная стоимость) при таком сравнении часто остаются 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стороне. Методы многокритериального выбора (MCDM, TOPSIS) позволяют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учесть несколько критериев, но опираются на веса, которые задаёт эксперт.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Нейронный архитектурный поиск (NAS) решает другую задачу: он проектирует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новые архитектуры и использует критерий Парето. Для выбора среди готовых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моделей при известных ограничениях борта нужна процедура, которая 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требует ни прогонов, ни экспертных весов.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Цель работы — предложить такую процедуру и проверить её на наборе готовых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детекторов. Отличие предлагаемого подхода состоит в том, что оценка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извлекается из архитектуры модели (числовые характеристики с формулами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единицами), сравнение ведётся без весов и без критерия Парето, а для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учёта неизвестной сцены применяются критерии принятия решений в условиях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неопределённости. Дополнительно вводятся авторские метрики, связывающие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точность модели с её вычислительной и временной стоимостью. Практическая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ценность подхода — возможность выбрать модель до экспериментов, на этапе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проектирования бортовой системы.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Материалы и методы.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работе рассматриваются семь готовых моделей.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Четыре из них — одностадийные детекторы семейств YOLO11 и YOLOv8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(YOLO11n, YOLO11s, YOLOv8n, YOLOv8s) [1, 2]; ещё три — трансформерный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RT-DETR-l [3], двухстадийный Faster R-CNN [4] и CNN+LSTM, представляющий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собой YOLO11n с рекуррентным модулем для трекинга [5]. Точность моделей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характеризуется метрикой mAP (mean Average Precision), вычислительная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стоимость — числом операций с плавающей точкой (FLOPs).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К моделям предъявляются требования, связанные с работой на борту: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задержка на кадр не должна превышать 0,1 с, память под веса — 64 МБ;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выход должен быть в виде рамки, модель должна быть детерминированной,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допускать квантование и поддерживать трекинг. Модели, не прошедшие хотя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бы одно из этих требований, из дальнейшего рассмотрения исключаются.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Формально допустимое множество имеет вид</w:t>
      </w:r>
    </w:p>
    <w:p>
      <w:pPr>
        <w:pStyle w:val="BodyText"/>
        <w:spacing w:before="120" w:after="120" w:line="360" w:lineRule="auto"/>
        <w:ind w:firstLine="0"/>
        <w:jc w:val="center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M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и задача состоит в выборе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A</m:t>
        </m:r>
      </m:oMath>
      <w:r>
        <w:rPr>
          <w:rFonts w:ascii="Times New Roman" w:hAnsi="Times New Roman" w:eastAsia="Times New Roman"/>
          <w:sz w:val="24"/>
        </w:rPr>
        <w:t xml:space="preserve">, лучшей по совокупности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критериев без весов и без критерия Парето.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Для каждой модели по её архитектуре вычисляются число параметров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стоимость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(FLOPs на кадр) и число слоёв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/>
          <w:sz w:val="24"/>
        </w:rPr>
        <w:t xml:space="preserve">, а также производные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величины: память под веса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, задержка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Π</m:t>
        </m:r>
      </m:oMath>
      <w:r>
        <w:rPr>
          <w:rFonts w:ascii="Times New Roman" w:hAnsi="Times New Roman" w:eastAsia="Times New Roman"/>
          <w:sz w:val="24"/>
        </w:rPr>
        <w:t xml:space="preserve">, частота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энергия на кадр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. Здесь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производительность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вычислителя (в расчётах принята 100 Гоп./с),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P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мощность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(10 Вт). Значения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берутся из спецификаций моделей [1–3]; каждая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характеристика имеет формулу и единицы измерения, что позволяет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сравнивать модели без прогонов.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Сцена, в которой будет работать робот, заранее неизвестна,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вводятся состояния природы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сцены с числом объектов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20 и 50. Частота модели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 учётом стоимости постобработки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(подавления дублирующих рамок, NMS) определяется формулой</w:t>
      </w:r>
    </w:p>
    <w:p>
      <w:pPr>
        <w:pStyle w:val="BodyText"/>
        <w:tabs>
          <w:tab w:val="center" w:pos="4961"/>
          <w:tab w:val="right" w:pos="9921"/>
        </w:tabs>
        <w:spacing w:line="360" w:lineRule="auto" w:before="120" w:after="120"/>
        <w:ind w:firstLine="0"/>
        <w:jc w:val="left"/>
      </w:pPr>
      <w:r>
        <w:tab/>
      </w:r>
      <m:oMath>
        <m:sSub>
          <m:e>
            <m:r>
              <m:t>f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Π</m:t>
            </m:r>
          </m:num>
          <m:den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α</m:t>
            </m:r>
            <m:sSubSup>
              <m:e>
                <m:r>
                  <m:t>N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den>
        </m:f>
        <m:r>
          <m:rPr>
            <m:sty m:val="p"/>
          </m:rPr>
          <m:t>,</m:t>
        </m:r>
        <m:r>
          <m:t>  </m:t>
        </m:r>
        <m:r>
          <m:t>α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</m:rPr>
          <m:t>Г</m:t>
        </m:r>
        <m:r>
          <m:rPr>
            <m:sty m:val="p"/>
          </m:rPr>
          <m:t>,</m:t>
        </m:r>
      </m:oMath>
      <w:r>
        <w:tab/>
        <w:t>(1)</w:t>
      </w:r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где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коэффициент стоимости постобработки. По матрице выигрышей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применяются пять классических критериев. Критерий Лапласа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использует среднее значение по сценам, критерий оптимизма — максимальное,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критерий Вальда — минимальное; критерий Сэвиджа минимизирует максимальное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сожаление, а критерий Гурвица — взвешенную комбинацию максимума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минимума:</w:t>
      </w:r>
    </w:p>
    <w:p>
      <w:pPr>
        <w:pStyle w:val="BodyText"/>
        <w:spacing w:before="120" w:after="120" w:line="360" w:lineRule="auto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Критерии не требуют вероятностей сцен и дают разные взгляды на выбор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нейтральный, оптимистичный, пессимистичный и страховочный. Пример расчёта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 формуле (1): для YOLO11n 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 w:eastAsia="Times New Roman"/>
          <w:sz w:val="24"/>
        </w:rPr>
        <w:t xml:space="preserve">) частота равна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001</m:t>
        </m:r>
        <m:r>
          <m:rPr>
            <m:sty m:val="p"/>
          </m:rPr>
          <m:t>⋅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09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Гц, а в сцене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/>
          <w:sz w:val="24"/>
        </w:rPr>
        <w:t xml:space="preserve">) —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99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Гц. Критерий Вальда для этой модели равен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10,99 Гц.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Помимо классических критериев, в работе используются метрики, связывающие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точность модели с её ресурсами. Точность на вычисления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определяется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как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nor/>
          </m:rPr>
          <m:t>mAP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 пригодность к борту BF — как</w:t>
      </w:r>
      <w:r>
        <w:rPr>
          <w:rFonts w:ascii="Times New Roman" w:hAnsi="Times New Roman" w:eastAsia="Times New Roman"/>
          <w:sz w:val="24"/>
        </w:rPr>
        <w:t xml:space="preserve"> </w:t>
      </w:r>
      <m:oMath>
        <m:f>
          <m:fPr>
            <m:type m:val="bar"/>
          </m:fPr>
          <m:num>
            <m:r>
              <m:t>f</m:t>
            </m:r>
          </m:num>
          <m:den>
            <m:r>
              <m:t>Q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sSub>
              <m:e>
                <m:r>
                  <m:t>M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den>
        </m:f>
      </m:oMath>
      <w:r>
        <w:rPr>
          <w:rFonts w:ascii="Times New Roman" w:hAnsi="Times New Roman" w:eastAsia="Times New Roman"/>
          <w:sz w:val="24"/>
        </w:rPr>
        <w:t xml:space="preserve">, где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свободная память. Свежесть решения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показывает,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успевает ли результат к моменту действия; здесь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τ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— такт робота (в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расчётах 0,1 с). На её основе строится готовность к действию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/>
          <w:sz w:val="24"/>
        </w:rPr>
        <w:t xml:space="preserve">. Удельная точность на память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/>
          <w:sz w:val="24"/>
        </w:rPr>
        <w:t xml:space="preserve">, частота на гигафлоп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масштабная устойчивость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nor/>
                  </m:rPr>
                  <m:t>mAP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rPr>
                    <m:nor/>
                  </m:rPr>
                  <m:t>mAP</m:t>
                </m:r>
              </m:e>
              <m:sub>
                <m:r>
                  <m:t>n</m:t>
                </m:r>
              </m:sub>
            </m:sSub>
          </m:num>
          <m:den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F</m:t>
                </m:r>
              </m:e>
              <m:sub>
                <m:r>
                  <m:t>n</m:t>
                </m:r>
              </m:sub>
            </m:sSub>
          </m:den>
        </m:f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плотность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решений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rPr>
            <m:nor/>
          </m:rPr>
          <m:t>mAP</m:t>
        </m:r>
        <m:r>
          <m:rPr>
            <m:sty m:val="p"/>
          </m:rPr>
          <m:t>⋅</m:t>
        </m:r>
        <m:r>
          <m:t>f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дополняют набор.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Метрики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, BF, DF, AR, APM, FPG, SR и IDD предложены в данной работе;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величины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/>
          <w:sz w:val="24"/>
        </w:rPr>
        <w:t xml:space="preserve">, EDP,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–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заимствованы из литературы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используются как вспомогательные. Пример расчёта: для YOLO11n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066</m:t>
            </m:r>
            <m:r>
              <m:rPr>
                <m:sty m:val="p"/>
              </m:rPr>
              <m:t>/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517</m:t>
        </m:r>
      </m:oMath>
      <w:r>
        <w:rPr>
          <w:rFonts w:ascii="Times New Roman" w:hAnsi="Times New Roman" w:eastAsia="Times New Roman"/>
          <w:sz w:val="24"/>
        </w:rPr>
        <w:t xml:space="preserve">, 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r>
          <m:t>15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,</m:t>
        </m:r>
        <m:r>
          <m:t>68</m:t>
        </m:r>
      </m:oMath>
      <w:r>
        <w:rPr>
          <w:rFonts w:ascii="Times New Roman" w:hAnsi="Times New Roman" w:eastAsia="Times New Roman"/>
          <w:sz w:val="24"/>
        </w:rPr>
        <w:t xml:space="preserve">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Чтобы свести все способы к одному числу, значения каждой метрики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нормируются к отрезку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 min–max (для показателей «меньше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лучше» берётся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z</m:t>
        </m:r>
      </m:oMath>
      <w:r>
        <w:rPr>
          <w:rFonts w:ascii="Times New Roman" w:hAnsi="Times New Roman" w:eastAsia="Times New Roman"/>
          <w:sz w:val="24"/>
        </w:rPr>
        <w:t xml:space="preserve">) и усредняются без весов:</w:t>
      </w:r>
    </w:p>
    <w:p>
      <w:pPr>
        <w:pStyle w:val="BodyText"/>
        <w:tabs>
          <w:tab w:val="center" w:pos="4961"/>
          <w:tab w:val="right" w:pos="9921"/>
        </w:tabs>
        <w:spacing w:line="360" w:lineRule="auto" w:before="120" w:after="120"/>
        <w:ind w:firstLine="0"/>
        <w:jc w:val="left"/>
      </w:pPr>
      <w:r>
        <w:tab/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.</m:t>
        </m:r>
      </m:oMath>
      <w:r>
        <w:tab/>
        <w:t>(2)</w:t>
      </w:r>
    </w:p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Дополнительно вычисляются число Борда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средний ранг</w:t>
      </w:r>
      <w:r>
        <w:rPr>
          <w:rFonts w:ascii="Times New Roman" w:hAnsi="Times New Roman" w:eastAsia="Times New Roman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</m:oMath>
      <w:r>
        <w:rPr>
          <w:rFonts w:ascii="Times New Roman" w:hAnsi="Times New Roman" w:eastAsia="Times New Roman"/>
          <w:sz w:val="24"/>
        </w:rPr>
        <w:t xml:space="preserve">; совпадение всех трёх свёрток говорит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 устойчивости результата. Расчёт реализован в виде скрипта на Python,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что обеспечивает воспроизводимость результатов.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Структурная схема методики приведена на рис. 1.</w:t>
      </w:r>
    </w:p>
    <w:p>
      <w:pPr>
        <w:pStyle w:val="BodyText"/>
        <w:spacing w:before="120" w:after="60" w:line="360" w:lineRule="auto"/>
        <w:ind w:firstLine="0"/>
        <w:jc w:val="center"/>
      </w:pPr>
      <w:r>
        <w:rPr>
          <w:rFonts w:ascii="Times New Roman" w:hAnsi="Times New Roman" w:eastAsia="Times New Roman"/>
          <w:sz w:val="24"/>
        </w:rPr>
        <w:drawing>
          <wp:inline>
            <wp:extent cx="5760000" cy="2574301"/>
            <wp:effectExtent b="0" l="0" r="0" t="0"/>
            <wp:docPr descr="Рис. 1. Структурная схема методики выбора модели" title="" id="12" name="Picture"/>
            <a:graphic>
              <a:graphicData uri="http://schemas.openxmlformats.org/drawingml/2006/picture">
                <pic:pic>
                  <pic:nvPicPr>
                    <pic:cNvPr descr="figures/fig1-methodolog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574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60" w:after="24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sz w:val="16"/>
        </w:rPr>
        <w:t xml:space="preserve">Рис. 1. Структурная схема методики выбора модели.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Результаты.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Требования борта прошли три модели — YOLO11n, CNN+LSTM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YOLOv8n. Модели YOLO11s и YOLOv8s отсеяны из-за задержки (0,217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0,288 с), RT-DETR-l и Faster R-CNN — из-за задержки и памяти.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Характеристики всех семи моделей приведены в табл. 1.</w:t>
      </w:r>
    </w:p>
    <w:p>
      <w:pPr>
        <w:pStyle w:val="BodyText"/>
        <w:spacing w:before="120" w:after="0" w:line="240" w:lineRule="auto"/>
        <w:ind w:firstLine="0"/>
        <w:jc w:val="left"/>
      </w:pPr>
      <w:r>
        <w:rPr>
          <w:rFonts w:ascii="Times New Roman" w:hAnsi="Times New Roman" w:eastAsia="Times New Roman"/>
          <w:sz w:val="22"/>
        </w:rPr>
        <w:t xml:space="preserve">Таблица 1</w:t>
      </w:r>
    </w:p>
    <w:p>
      <w:pPr>
        <w:pStyle w:val="BodyText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2"/>
        </w:rPr>
        <w:t xml:space="preserve">Характеристики моделей-кандидатов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млн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F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Г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mAP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M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МБ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с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t>f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, Гц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2.62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6.6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39.5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10.48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0.066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15.15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3.16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8.9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37.3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12.64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0.089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11.24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YOLO11s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9.46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21.7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47.0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37.84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0.217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4.61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YOLOv8s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11.17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28.8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44.9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44.68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0.288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3.47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RT-DETR-l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32.0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103.5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53.0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128.00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1.035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0.97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Faster R-CNN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41.5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37.4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166.00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1.800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0.56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CNN+LSTM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3.15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39.5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12.60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0.070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14.29</w:t>
            </w:r>
          </w:p>
        </w:tc>
      </w:tr>
    </w:tbl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Для трёх допустимых моделей частота по сценам составила: YOLO11n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15,09 / 14,29 / 10,99 Гц; CNN+LSTM — 14,23 / 13,51 / 10,53 Гц;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YOLOv8n — 11,20 / 10,75 / 8,77 Гц. Значения критериев (Лаплас, оптимизм,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Вальд, Сэвидж, Гурвиц) равны соответственно 13,46 / 15,09 / 10,99 / 0,00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13,04 для YOLO11n, 12,76 / 14,23 / 10,53 / 0,86 / 12,38 для CNN+LSTM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10,24 / 11,20 / 8,77 / 3,89 / 9,99 для YOLOv8n. Во всех случаях лучшей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оказывается YOLO11n; при подсчёте баллов модели получают 15, 10 и 5.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Результат сведения по 22 способам приведён в табл. 2.</w:t>
      </w:r>
    </w:p>
    <w:p>
      <w:pPr>
        <w:pStyle w:val="BodyText"/>
        <w:spacing w:before="120" w:after="0" w:line="240" w:lineRule="auto"/>
        <w:ind w:firstLine="0"/>
        <w:jc w:val="left"/>
      </w:pPr>
      <w:r>
        <w:rPr>
          <w:rFonts w:ascii="Times New Roman" w:hAnsi="Times New Roman" w:eastAsia="Times New Roman"/>
          <w:sz w:val="22"/>
        </w:rPr>
        <w:t xml:space="preserve">Таблица 2</w:t>
      </w:r>
    </w:p>
    <w:p>
      <w:pPr>
        <w:pStyle w:val="BodyText"/>
        <w:spacing w:before="0" w:after="60" w:line="24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2"/>
        </w:rPr>
        <w:t xml:space="preserve">Результаты сведения по 22 способам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Модель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m:oMath>
              <m:r>
                <m:rPr>
                  <m:sty m:val="p"/>
                </m:rPr>
                <m:t>Ψ</m:t>
              </m:r>
            </m:oMath>
            <w:r>
              <w:rPr>
                <w:rFonts w:ascii="Times New Roman" w:hAnsi="Times New Roman" w:eastAsia="Times New Roman"/>
                <w:b/>
                <w:sz w:val="20"/>
              </w:rPr>
              <w:t xml:space="preserve">​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Число Борда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0"/>
              </w:rPr>
              <w:t xml:space="preserve">Средний ранг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YOLO11n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64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1.045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CNN+LSTM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0.735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42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2.000</w:t>
            </w:r>
          </w:p>
        </w:tc>
      </w:tr>
      <w:tr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YOLOv8n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0.045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23</w:t>
            </w:r>
          </w:p>
        </w:tc>
        <w:tc>
          <w:tcPr/>
          <w:p>
            <w:pPr>
              <w:pStyle w:val="Compact"/>
              <w:spacing w:line="240" w:lineRule="auto" w:before="20" w:after="2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0"/>
              </w:rPr>
              <w:t xml:space="preserve">2.909</w:t>
            </w:r>
          </w:p>
        </w:tc>
      </w:tr>
    </w:tbl>
    <w:p>
      <w:pPr>
        <w:pStyle w:val="FirstParagraph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Итоговое сведение даёт YOLO11n; этот результат совпадает с выводами всех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отдельных критериев и метрик. Причина в том, что YOLO11n имеет наименьшие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параметры, FLOPs, память и задержку среди допустимых моделей,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выигрывает по всем критериям. Характеристики выбранной модели: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62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млн,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48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МБ,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15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Гц,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66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Дж; в сложной сцене (50 объектов) частота не опускается ниже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10,99 Гц.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Обсуждение.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Полученный результат согласуется с литературой по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многокритериальному выбору [9], однако традиционные методы — анализ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иерархий (AHP) и TOPSIS — требуют весов критериев. Нейронный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архитектурный поиск [10] проектирует новые архитектуры и опирается на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Парето-оптимальность, а исследования в области TinyML [11] сосредоточены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бенчмарках, а не на процедуре выбора среди готовых моделей.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Предлагаемый подход отличается тем, что выбирает среди готовых моделей,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использует только архитектурные характеристики, не требует весов,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применяет критерии неопределённости по сценам и предусматривает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проверку в симуляции.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Совпадение пяти критериев, балльного подсчёта и трёх свёрток (</w:t>
      </w:r>
      <m:oMath>
        <m:r>
          <m:rPr>
            <m:sty m:val="p"/>
          </m:rPr>
          <m:t>Ψ</m:t>
        </m:r>
      </m:oMath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число Борда, средний ранг) означает, что выбор не зависит от метода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агрегации. Нормировка min–max, число Борда и средний ранг — стандартные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приёмы ранговой агрегации; новизна работы не в них, а в безвесовом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выборе по архитектурным характеристикам и в критериях неопределённости.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Следует учитывать ограничения. Значения mAP взяты из спецификаций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(датасет COCO) и на синтетических сценах отличаются, поэтому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проверка в симуляции даёт относительное сравнение моделей, а 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абсолютную точность. Часть авторских метрик, зависящих от энергии (BF),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 симуляции проверяется частично. Равное усреднение после нормировки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представляет собой неявные равные веса, что является осознанным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компромиссом.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Проверка выполнена в Gazebo Sim 8.15 на сцене из 16 объектов девяти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классов COCO (стулья, столы, кровать, диваны, вазы, телевизор,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холодильник, бутылки, мячи), 48 ракурсов, 88 объектов ground truth.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CPU (16 ядер) медианное время инференса: 18,9 мс у YOLOv8n,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19,7 мс у YOLO11n, 19,0 мс у YOLOv10n, 29,4 мс у YOLOv9t и 48,4 мс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YOLOv8s — все модели укладываются в ограничение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запасом около двух раз. mAP@0,5 по девяти классам: 0,403 / 0,551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0,427 / 0,408 / 0,499; mAP@0,5:0,95: 0,260 / 0,322 / 0,278 / 0,236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0,294; лучший F1 при подборе порога: 0,281 / 0,405 / 0,260 / 0,286 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0,366. У YOLO11n лучшие mAP@0,5 (0,551), mAP@0,5:0,95 (0,322) и F1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(0,405) при более чем вдвое меньшем времени, чем у YOLOv8s, и вчетверо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меньшем размере. На четырёх сценах (базовая, тёплый и холодный свет,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видео-облёт; 340 объектов ground truth) средний mAP@0,5 равен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0,475 ± 0,093 у YOLO11n, 0,406 ± 0,088 у YOLOv8s и 0,376 ± 0,086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YOLOv8n: лидерство YOLO11n сохраняется. Экспорт в OpenVINO FP32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ускоряет YOLO11n до 13,0 мс (77 Гц), FP16 — 13,8 мс при 5,7 МБ. Сквозной прогон ROS-узла дал 36 Гц при камере 60 Гц;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ограничение — рендеринг Gazebo, а не инференс. Абсолютные значения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ниже, чем на COCO: нетекстурированные синтетические модели дают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доменный сдвиг — диваны и кровати классифицируются как airplane, вазы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как bird. На текстурированной сцене кафе (66 объектов ground truth, четыре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класса) места меняются: YOLOv8n 0,478, YOLOv8s 0,435, YOLO11n 0,402.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реальных 128 изображениях COCO128 [12] (929 объектов, 80 классов)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YOLOv8s даёт 0,761, YOLO11n — 0,671, YOLOv8n — 0,607. YOLOv8s точнее,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но в 2,5 раза медленнее и вчетверо больше; при этом натурный замер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 неё 51 мс, тогда как аналитическая оценка давала 0,14 с. Это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показывает, что отсев по</w:t>
      </w:r>
      <w:r>
        <w:rPr>
          <w:rFonts w:ascii="Times New Roman" w:hAnsi="Times New Roman" w:eastAsia="Times New Roman"/>
          <w:sz w:val="24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консервативен: при менее жёстком бюджете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YOLOv8s может быть предпочтительнее, и границу отсева следует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уточнять по натурным замерам. CNN+LSTM в прогоне не участвовала: готовых весов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детектора для неё нет.</w:t>
      </w:r>
    </w:p>
    <w:p>
      <w:pPr>
        <w:pStyle w:val="BodyText"/>
        <w:spacing w:before="0" w:after="0" w:line="360" w:lineRule="auto"/>
        <w:ind w:firstLine="567"/>
        <w:jc w:val="both"/>
      </w:pPr>
      <w:r>
        <w:rPr>
          <w:rFonts w:ascii="Times New Roman" w:hAnsi="Times New Roman" w:eastAsia="Times New Roman"/>
          <w:sz w:val="24"/>
        </w:rPr>
        <w:t xml:space="preserve">Практическая ценность подхода состоит в возможности выбрать модель до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прогонов — при проектировании бортовой системы, когда известны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ограничения по задержке и памяти, но ещё нет размеченного датасета.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Дальнейшая работа связана с проверкой методики на реальных сценах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расширением набора моделей; в симуляции остаётся измерить энергию 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память на полном наборе сцен.</w:t>
      </w:r>
    </w:p>
    <w:p>
      <w:pPr>
        <w:pStyle w:val="BodyText"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/>
          <w:bCs/>
          <w:sz w:val="24"/>
        </w:rPr>
        <w:t xml:space="preserve">Заключение.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Предложена методика объективного выбора модели машинного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обучения для системы распознавания объектов мобильного робота. Оценка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извлекается из архитектуры модели по числовым характеристикам с формулами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и единицами; сравнение ведётся без весов, с применением критериев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принятия решений в условиях неопределённости и авторских метрик «точность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ресурс». На наборе из семи моделей после отсева по требованиям борта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рассмотрены три модели; все критерии и варианты свёртки устойчиво указали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YOLO11n, которая обеспечивает не менее 10,99 Гц даже в сложной сцене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при памяти 10,48 МБ. Прогон в Gazebo подтвердил ограничение по задержке;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 текстурированных и реальных данных ранжирование меняется, что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ограничивает перенос выбора на другие домены. Дальнейшая работа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направлена на расширение набора моделей и проверку методики на реальных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сценах.</w:t>
      </w:r>
    </w:p>
    <w:p>
      <w:pPr>
        <w:pStyle w:val="BodyText"/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/>
          <w:b/>
          <w:bCs/>
          <w:sz w:val="24"/>
        </w:rPr>
        <w:t xml:space="preserve">Список источников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[1] Ultralytics YOLO11: документация и конфигурации [Электронный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ресурс]. — URL: https://docs.ultralytics.com/models/yolo11/ (дата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[2] Ultralytics YOLOv8: документация и конфигурации [Электронный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ресурс]. — URL: https://docs.ultralytics.com/models/yolov8/ (дата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[3] Ultralytics RT-DETR: документация [Электронный ресурс].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https://docs.ultralytics.com/models/rtdetr/ (дата 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[4] Ren S., He K., Girshick R., Sun J. Faster R-CNN: Towards Real-Time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Object Detection with Region Proposal Networks // IEEE Transactions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Pattern Analysis and Machine Intelligence. — 2017. — Vol. 39, No. 6.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P. 1137–1149.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[5] Hochreiter S., Schmidhuber J. Long Short-Term Memory // Neural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Computation. — 1997. — Vol. 9, No. 8. — P. 1735–1780.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[6] Wald A. Statistical Decision Functions. — New York: Wiley, 1950. —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179 p.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[7] Savage L. J. The Theory of Statistical Decision // Journal of the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American Statistical Association. — 1951. — Vol. 46, No. 253. — P. 55–67.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[8] Hurwicz L. Optimality Criteria for Decision Making under Ignorance //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Cowles Commission Discussion Paper. — 1951. — No. 370.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[9] Hwang C.-L., Yoon K. Multiple Attribute Decision Making: Methods and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Applications. — Berlin: Springer, 1981. — 259 p.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[10] Benmeziane H., Maghraoui K. E., Ouarnoughi H., Niar S., Wistuba M.,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Wang N. A Comprehensive Survey on Hardware-Aware Neural Architecture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Search // Proceedings of the Thirtieth International Joint Conference on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Artificial Intelligence (IJCAI). — 2021. — P. 2762–2769.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[11] Banbury C., Reddi V. J., Torelli P., Holleman J., Jeffries N.,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Kiraly C., Montino P., Kanter D., Ahmed S., Pau D., Thakker U.,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Fedorov I., Zhou L., Arcas B., Nepal R., Borthakur S., Bhattacharya T.,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Bangalore S., Sripathi S., … Benchmarking TinyML Systems: Challenges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and Direction [Электронный ресурс] // arXiv. — 2020.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https://arxiv.org/abs/2003.04821 (дата обращения: 10.10.2026).</w:t>
      </w:r>
    </w:p>
    <w:p>
      <w:pPr>
        <w:pStyle w:val="BodyText"/>
        <w:spacing w:before="0" w:after="0" w:line="360" w:lineRule="auto"/>
        <w:ind w:left="283" w:hanging="283"/>
        <w:jc w:val="both"/>
      </w:pPr>
      <w:r>
        <w:rPr>
          <w:rFonts w:ascii="Times New Roman" w:hAnsi="Times New Roman" w:eastAsia="Times New Roman"/>
          <w:sz w:val="24"/>
        </w:rPr>
        <w:t xml:space="preserve">[12] Ultralytics COCO128: набор данных для проверки детекторов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[Электронный ресурс]. — URL: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https://docs.ultralytics.com/datasets/detect/coco128/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(дата обращения: 19.10.2026).</w:t>
      </w:r>
    </w:p>
    <w:sectPr>
      <w:footnotePr>
        <w:numRestart w:val="eachSect"/>
      </w:footnotePr>
      <w:pgSz w:w="11906" w:h="16838"/>
      <w:pgMar w:left="1276" w:right="709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Обоснование выбора модели машинного обучения для системы распознавания объектов мобильного робота</dc:title>
  <dc:creator>Папин А.В., Канев А.И.</dc:creator>
  <cp:keywords/>
  <dcterms:created xsi:type="dcterms:W3CDTF">2026-10-19T18:16:39Z</dcterms:created>
  <dcterms:modified xsi:type="dcterms:W3CDTF">2026-10-19T18:16:39Z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