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 w:cs="Times New Roman"/>
          <w:b/>
          <w:sz w:val="30"/>
        </w:rPr>
        <w:t>Обоснование выбора модели машинного обучения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 w:cs="Times New Roman"/>
          <w:b/>
          <w:sz w:val="22"/>
        </w:rPr>
        <w:t>Аналитическая записка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sz w:val="21"/>
        </w:rPr>
        <w:t>Папин А.В., ИУ5Ц-31М</w:t>
      </w:r>
      <w:r>
        <w:br/>
      </w:r>
      <w:r>
        <w:rPr>
          <w:rFonts w:ascii="Times New Roman" w:hAnsi="Times New Roman" w:eastAsia="Times New Roman" w:cs="Times New Roman"/>
          <w:sz w:val="21"/>
        </w:rPr>
        <w:t>МГТУ им. Н.Э. Баумана, кафедра ИУ-5</w:t>
      </w:r>
      <w:r>
        <w:br/>
      </w:r>
      <w:r>
        <w:rPr>
          <w:rFonts w:ascii="Times New Roman" w:hAnsi="Times New Roman" w:eastAsia="Times New Roman" w:cs="Times New Roman"/>
          <w:sz w:val="21"/>
        </w:rPr>
        <w:t>19 октября 2026 г.</w:t>
      </w:r>
    </w:p>
    <w:p>
      <w:pPr>
        <w:keepNext/>
        <w:spacing w:before="160" w:after="60" w:line="240" w:lineRule="auto"/>
      </w:pPr>
      <w:r>
        <w:rPr>
          <w:rFonts w:ascii="Times New Roman" w:hAnsi="Times New Roman" w:eastAsia="Times New Roman" w:cs="Times New Roman"/>
          <w:b/>
          <w:sz w:val="25"/>
        </w:rPr>
        <w:t>1. Постановка задачи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На этапе проектирования системы технического зрения мобильного робота нужно выбрать одну модель машинного обучения из нескольких готовых вариантов. Модели уже обучены, поэтому повторное обучение и сравнение на специально собранном датасете не являются основанием выбора. Требуется найти лучшую модель и доказать выбор объективно, опираясь прежде всего на архитектуру и вычислительные свойства кандидатов, а эксперимент использовать как подтверждение, а не как единственный аргумент.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К модели предъявляются жёсткие требования бортовой платформы: задержка не более 0,1 с, память весов не более 64 МБ, выход в виде рамок, детерминизм и возможность квантования. Дополнительно учитывается сопровождение объектов. Заранее неизвестно, в какой сцене будет работать робот, поэтому рассматриваются три состояния: 5, 20 и 50 объектов в кадре. Принципиальное условие — отсутствие субъективных весов, критерия Парето и экспертных оценок: каждая характеристика должна быть числом с формулой и единицами, а сведение — детерминированной процедурой, одинаковой для всех моделей.</w:t>
      </w:r>
    </w:p>
    <w:p>
      <w:pPr>
        <w:keepNext/>
        <w:spacing w:before="160" w:after="60" w:line="240" w:lineRule="auto"/>
      </w:pPr>
      <w:r>
        <w:rPr>
          <w:rFonts w:ascii="Times New Roman" w:hAnsi="Times New Roman" w:eastAsia="Times New Roman" w:cs="Times New Roman"/>
          <w:b/>
          <w:sz w:val="25"/>
        </w:rPr>
        <w:t>2. Кандидаты и ограничения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Для сравнения взяты девять моделей, представляющих основные семейства детекторов: одностадийные YOLO, двухстадийные Faster R-CNN и Mask R-CNN, трансформер RT-DETR, рекуррентная схема CNN+LSTM и сегментационная YOLO11n-seg. Такой набор позволяет проверить методику на разных архитектурах, а не только на моделях одного семейства. Все кандидаты предобучены и доступны в открытых реализациях, поэтому их параметры и вычислительная стоимость известны до начала расчёта.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Фильтры отсекают модели, которые физически не соответствуют требованиям борта. Порог по задержке составляет 0,1 с, по памяти — 64 МБ; дополнительно проверяются тип выхода, детерминизм, квантование и сопровождение. Задержка в данной работе берётся из аналитической оценки, а не из измерения на конкретном железе. Это сознательно консервативная оценка, которая должна гарантировать работоспособность в худшем сценарии.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sz w:val="20"/>
        </w:rPr>
        <w:t xml:space="preserve">Таблица 1. </w:t>
      </w:r>
      <w:r>
        <w:rPr>
          <w:rFonts w:ascii="Times New Roman" w:hAnsi="Times New Roman" w:eastAsia="Times New Roman" w:cs="Times New Roman"/>
          <w:sz w:val="20"/>
        </w:rPr>
        <w:t>Кандидаты и результаты фильтрации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</w:tblPr>
      <w:tblGrid>
        <w:gridCol w:w="1474"/>
        <w:gridCol w:w="1701"/>
        <w:gridCol w:w="850"/>
        <w:gridCol w:w="737"/>
        <w:gridCol w:w="850"/>
        <w:gridCol w:w="794"/>
        <w:gridCol w:w="794"/>
        <w:gridCol w:w="850"/>
        <w:gridCol w:w="1587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Модель</w:t>
            </w:r>
          </w:p>
        </w:tc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Семейство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P, млн</w:t>
            </w:r>
          </w:p>
        </w:tc>
        <w:tc>
          <w:tcPr>
            <w:tcW w:type="dxa" w:w="73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F, Г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mAP, %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T, с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M, МБ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Выход</w:t>
            </w:r>
          </w:p>
        </w:tc>
        <w:tc>
          <w:tcPr>
            <w:tcW w:type="dxa" w:w="158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Фильтр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YOLO11n</w:t>
            </w:r>
          </w:p>
        </w:tc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1-stage CNN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2,62</w:t>
            </w:r>
          </w:p>
        </w:tc>
        <w:tc>
          <w:tcPr>
            <w:tcW w:type="dxa" w:w="73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6,6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39,5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0,066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10,5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рамка</w:t>
            </w:r>
          </w:p>
        </w:tc>
        <w:tc>
          <w:tcPr>
            <w:tcW w:type="dxa" w:w="158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проходит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YOLOv8n</w:t>
            </w:r>
          </w:p>
        </w:tc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1-stage CNN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3,16</w:t>
            </w:r>
          </w:p>
        </w:tc>
        <w:tc>
          <w:tcPr>
            <w:tcW w:type="dxa" w:w="73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8,9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37,3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0,089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12,6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рамка</w:t>
            </w:r>
          </w:p>
        </w:tc>
        <w:tc>
          <w:tcPr>
            <w:tcW w:type="dxa" w:w="158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проходит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YOLO11s</w:t>
            </w:r>
          </w:p>
        </w:tc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1-stage CNN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9,46</w:t>
            </w:r>
          </w:p>
        </w:tc>
        <w:tc>
          <w:tcPr>
            <w:tcW w:type="dxa" w:w="73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21,7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47,0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0,217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37,8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рамка</w:t>
            </w:r>
          </w:p>
        </w:tc>
        <w:tc>
          <w:tcPr>
            <w:tcW w:type="dxa" w:w="158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нет: T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YOLOv8s</w:t>
            </w:r>
          </w:p>
        </w:tc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1-stage CNN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11,17</w:t>
            </w:r>
          </w:p>
        </w:tc>
        <w:tc>
          <w:tcPr>
            <w:tcW w:type="dxa" w:w="73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28,8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44,9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0,288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44,7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рамка</w:t>
            </w:r>
          </w:p>
        </w:tc>
        <w:tc>
          <w:tcPr>
            <w:tcW w:type="dxa" w:w="158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нет: T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RT-DETR-l</w:t>
            </w:r>
          </w:p>
        </w:tc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transformer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32,0</w:t>
            </w:r>
          </w:p>
        </w:tc>
        <w:tc>
          <w:tcPr>
            <w:tcW w:type="dxa" w:w="73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103,5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53,0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1,04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128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рамка</w:t>
            </w:r>
          </w:p>
        </w:tc>
        <w:tc>
          <w:tcPr>
            <w:tcW w:type="dxa" w:w="158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нет: T, M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Faster R-CNN</w:t>
            </w:r>
          </w:p>
        </w:tc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2-stage CNN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41,5</w:t>
            </w:r>
          </w:p>
        </w:tc>
        <w:tc>
          <w:tcPr>
            <w:tcW w:type="dxa" w:w="73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180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37,4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1,80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166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рамка</w:t>
            </w:r>
          </w:p>
        </w:tc>
        <w:tc>
          <w:tcPr>
            <w:tcW w:type="dxa" w:w="158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нет: T, M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Mask R-CNN</w:t>
            </w:r>
          </w:p>
        </w:tc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2-stage CNN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44,2</w:t>
            </w:r>
          </w:p>
        </w:tc>
        <w:tc>
          <w:tcPr>
            <w:tcW w:type="dxa" w:w="73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250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2,50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177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маска</w:t>
            </w:r>
          </w:p>
        </w:tc>
        <w:tc>
          <w:tcPr>
            <w:tcW w:type="dxa" w:w="158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нет: T, M, выход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YOLO11n-seg</w:t>
            </w:r>
          </w:p>
        </w:tc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1-stage CNN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2,9</w:t>
            </w:r>
          </w:p>
        </w:tc>
        <w:tc>
          <w:tcPr>
            <w:tcW w:type="dxa" w:w="73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9,8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0,098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11,6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маска</w:t>
            </w:r>
          </w:p>
        </w:tc>
        <w:tc>
          <w:tcPr>
            <w:tcW w:type="dxa" w:w="158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нет: выход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CNN+LSTM</w:t>
            </w:r>
          </w:p>
        </w:tc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CNN + рекуррент.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3,15</w:t>
            </w:r>
          </w:p>
        </w:tc>
        <w:tc>
          <w:tcPr>
            <w:tcW w:type="dxa" w:w="73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6,61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39,5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0,070</w:t>
            </w:r>
          </w:p>
        </w:tc>
        <w:tc>
          <w:tcPr>
            <w:tcW w:type="dxa" w:w="79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12,6</w:t>
            </w:r>
          </w:p>
        </w:tc>
        <w:tc>
          <w:tcPr>
            <w:tcW w:type="dxa" w:w="85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рамка</w:t>
            </w:r>
          </w:p>
        </w:tc>
        <w:tc>
          <w:tcPr>
            <w:tcW w:type="dxa" w:w="158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проходит</w:t>
            </w:r>
          </w:p>
        </w:tc>
      </w:tr>
    </w:tbl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После фильтров остаются YOLO11n, YOLOv8n и CNN+LSTM. YOLO11s и YOLOv8s отсеиваются по задержке: 0,217 и 0,288 с больше 0,1 с. RT-DETR-l и Faster R-CNN не проходят по задержке и памяти, Mask R-CNN дополнительно имеет масочный выход. YOLO11n-seg проходит по времени и памяти, но выдаёт маску, поэтому при требовании «рамка» исключается. Если бы задача требовала масок, набор финалистов и дальнейшая процедура изменились бы. В расчётном скрипте используется семь моделей: две сегментационные исключены заранее по типу выхода; на итоговый список финалистов это не влияет.</w:t>
      </w:r>
    </w:p>
    <w:p>
      <w:pPr>
        <w:keepNext/>
        <w:spacing w:before="160" w:after="60" w:line="240" w:lineRule="auto"/>
      </w:pPr>
      <w:r>
        <w:rPr>
          <w:rFonts w:ascii="Times New Roman" w:hAnsi="Times New Roman" w:eastAsia="Times New Roman" w:cs="Times New Roman"/>
          <w:b/>
          <w:sz w:val="25"/>
        </w:rPr>
        <w:t>3. Характеристики модели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Введены пять основных характеристик, отражающих разные стороны пригодности: эффективность, читаемость, различимость, однозначность класса и наглядность. Каждая вычисляется по формуле из параметров архитектуры и имеет единицы измерения. Дополнительно используются ресурсные характеристики, напрямую связанные с работой на борту.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Эффективность E показывает, сколько вычислений требуется модели на кадр: E = 1/F, где F — число FLOPs. Чем меньше F, тем выше E; единица измерения — 1/Гфлоп. Читаемость C отражает сложность структуры: C = τ / log₂(P + 1), где P — число параметров в миллионах, τ = 1 для свёрточных сетей и τ = 0,5 для трансформеров. Характеристика безразмерная; рост числа параметров снижает её логарифмически, а не линейно.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Различимость R оценивает способность модели разделять классы через VC-размерность: R ≈ VCdim = O(W·L·log W), где W — число весов, L — глубина сети. Единица измерения — число областей; большее значение означает более высокую ёмкость, но не гарантирует лучшую точность на конкретных данных. В таблицах VCdim приведена в единицах 10⁻⁹. Это архитектурная оценка, а не измеренная точность.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Однозначность класса O для однозначной классификации с softmax и argmax равна 1; для мультиметки O = 1/k, где k — число классов на один объект выхода. Характеристика безразмерная. В данном наборе все финалисты используют однозначный выход, поэтому O = 1 у всех трёх и не различает модели. Наглядность H = 1 / log₂(k + 1), где k — число одновременно выводимых сущностей; для k = 80 получается H ≈ 0,157. Она также одинакова у финалистов и включена для полноты описания, а не для ранжирования.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Ресурсные характеристики: P — число параметров, млн; F — число операций, Гфлоп; M ≈ 4P — память весов float32, МБ; T = F / Π — аналитическая задержка, с; f = 1/T — частота, Гц. Расчётная производительность платформы принята Π = 100 Гоп/с. Эти величины связаны между собой, поэтому образуют согласованный набор, а не пять независимых оценок.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sz w:val="20"/>
        </w:rPr>
        <w:t xml:space="preserve">Таблица 2. </w:t>
      </w:r>
      <w:r>
        <w:rPr>
          <w:rFonts w:ascii="Times New Roman" w:hAnsi="Times New Roman" w:eastAsia="Times New Roman" w:cs="Times New Roman"/>
          <w:sz w:val="20"/>
        </w:rPr>
        <w:t>Основные характеристики модели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</w:tblPr>
      <w:tblGrid>
        <w:gridCol w:w="1701"/>
        <w:gridCol w:w="3402"/>
        <w:gridCol w:w="1417"/>
        <w:gridCol w:w="311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Характеристика</w:t>
            </w:r>
          </w:p>
        </w:tc>
        <w:tc>
          <w:tcPr>
            <w:tcW w:type="dxa" w:w="3402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Формула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Единицы</w:t>
            </w:r>
          </w:p>
        </w:tc>
        <w:tc>
          <w:tcPr>
            <w:tcW w:type="dxa" w:w="3118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Что показывает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Эффективность E</w:t>
            </w:r>
          </w:p>
        </w:tc>
        <w:tc>
          <w:tcPr>
            <w:tcW w:type="dxa" w:w="3402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E = 1/F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1/Гфлоп</w:t>
            </w:r>
          </w:p>
        </w:tc>
        <w:tc>
          <w:tcPr>
            <w:tcW w:type="dxa" w:w="3118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меньше вычислений — эффективнее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Читаемость C</w:t>
            </w:r>
          </w:p>
        </w:tc>
        <w:tc>
          <w:tcPr>
            <w:tcW w:type="dxa" w:w="3402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C = τ / log₂(P + 1)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безразм.</w:t>
            </w:r>
          </w:p>
        </w:tc>
        <w:tc>
          <w:tcPr>
            <w:tcW w:type="dxa" w:w="3118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проще структура — читаемее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Различимость R</w:t>
            </w:r>
          </w:p>
        </w:tc>
        <w:tc>
          <w:tcPr>
            <w:tcW w:type="dxa" w:w="3402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R ≈ VCdim = O(W·L·log W)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шт.</w:t>
            </w:r>
          </w:p>
        </w:tc>
        <w:tc>
          <w:tcPr>
            <w:tcW w:type="dxa" w:w="3118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ёмкость разделения классов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Однозначность O</w:t>
            </w:r>
          </w:p>
        </w:tc>
        <w:tc>
          <w:tcPr>
            <w:tcW w:type="dxa" w:w="3402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O = 1 (softmax + argmax); 1/k для мультиметки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безразм.</w:t>
            </w:r>
          </w:p>
        </w:tc>
        <w:tc>
          <w:tcPr>
            <w:tcW w:type="dxa" w:w="3118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однозначность выбора класса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Наглядность H</w:t>
            </w:r>
          </w:p>
        </w:tc>
        <w:tc>
          <w:tcPr>
            <w:tcW w:type="dxa" w:w="3402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H = 1 / log₂(k + 1)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безразм.</w:t>
            </w:r>
          </w:p>
        </w:tc>
        <w:tc>
          <w:tcPr>
            <w:tcW w:type="dxa" w:w="3118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простота интерпретации выхода</w:t>
            </w:r>
          </w:p>
        </w:tc>
      </w:tr>
    </w:tbl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sz w:val="20"/>
        </w:rPr>
        <w:t xml:space="preserve">Таблица 3. </w:t>
      </w:r>
      <w:r>
        <w:rPr>
          <w:rFonts w:ascii="Times New Roman" w:hAnsi="Times New Roman" w:eastAsia="Times New Roman" w:cs="Times New Roman"/>
          <w:sz w:val="20"/>
        </w:rPr>
        <w:t>Значения характеристик финалистов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20" w:type="dxa"/>
      </w:tblPr>
      <w:tblGrid>
        <w:gridCol w:w="1701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Модель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P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F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T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f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E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C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VCdim·10⁻⁹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O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H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YOLO11n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2,62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6,6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10,5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0,066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15,2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0,152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0,047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10,1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0,157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0,875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YOLOv8n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3,16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8,9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12,6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0,089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11,2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0,112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0,046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8,8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0,157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0,182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CNN+LSTM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3,15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6,61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12,6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0,070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14,3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0,151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0,046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12,3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0,157</w:t>
            </w:r>
          </w:p>
        </w:tc>
        <w:tc>
          <w:tcPr>
            <w:tcW w:type="dxa" w:w="720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0,484</w:t>
            </w:r>
          </w:p>
        </w:tc>
      </w:tr>
    </w:tbl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YOLO11n имеет наименьшие P, F, M и T и наибольшую E. CNN+LSTM близок по E и F, имеет более высокую VCdim, но требует больше памяти и работает медленнее. YOLOv8n уступает YOLO11n по эффективности и задержке, хотя немного превосходит по VCdim. Одинаковые O и H не влияют на выбор; основной вклад дают E, C, VCdim и ресурсные характеристики.</w:t>
      </w:r>
    </w:p>
    <w:p>
      <w:pPr>
        <w:keepNext/>
        <w:spacing w:before="160" w:after="60" w:line="240" w:lineRule="auto"/>
      </w:pPr>
      <w:r>
        <w:rPr>
          <w:rFonts w:ascii="Times New Roman" w:hAnsi="Times New Roman" w:eastAsia="Times New Roman" w:cs="Times New Roman"/>
          <w:b/>
          <w:sz w:val="25"/>
        </w:rPr>
        <w:t>4. Методика расчёта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Сцена заранее неизвестна, поэтому модель сравнивается в трёх состояниях: 5, 20 и 50 объектов. Для каждой модели и сцены вычисляется выигрыш f(i,j) = Π / (F(i) + α·N(j)²), где Π = 100 Гоп/с, α = 0,001 Г, N(j) — число объектов. Квадратичный член отражает рост стоимости постобработки, сопровождения и проверки гипотез при увеличении числа объектов. Выигрыш измеряется в герцах и показывает, сколько кадров в секунду модель обрабатывает в данной сцене.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Сведение выполняется без весов. Каждая характеристика нормируется min–max к отрезку [0, 1] с учётом направления: для «больше — лучше» используется прямое значение, для «меньше — лучше» — обратное. Затем вычисляется Φ как среднее нормированных характеристик. Дополнительно рассчитываются число Борда и средний ранг; они не заменяют Φ, а проверяют, что результат не является следствием одной свёртки.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Для принятия решения в условиях неопределённости используются пять классических критериев. Лаплас берёт среднее по сценам, оптимизм — максимум, Вальд максимизирует худший результат, Сэвидж минимизирует сожаление относительно лучшего результата в каждой сцене, Гурвиц объединяет максимум и минимум с коэффициентом α. Все критерии детерминированы и не требуют вероятностей сцен.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Набор из 22 способов включает пять критериев, балльный подсчёт, семь ресурсных показателей (η, EDP, ρ, BF, Q1–Q4), четыре комбинированных показателя и шесть авторских метрик (DF, AR, APM, FPG, SR, IDD). Широкий набор нужен для проверки устойчивости: если разные способы сведения дают одну модель, результат не зависит от выбора конкретной метрики.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sz w:val="20"/>
        </w:rPr>
        <w:t xml:space="preserve">Таблица 4. </w:t>
      </w:r>
      <w:r>
        <w:rPr>
          <w:rFonts w:ascii="Times New Roman" w:hAnsi="Times New Roman" w:eastAsia="Times New Roman" w:cs="Times New Roman"/>
          <w:sz w:val="20"/>
        </w:rPr>
        <w:t>Результаты пяти критериев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</w:tblPr>
      <w:tblGrid>
        <w:gridCol w:w="3402"/>
        <w:gridCol w:w="1417"/>
        <w:gridCol w:w="1417"/>
        <w:gridCol w:w="1417"/>
        <w:gridCol w:w="1984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Критерий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YOLO11n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YOLOv8n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CNN+LSTM</w:t>
            </w:r>
          </w:p>
        </w:tc>
        <w:tc>
          <w:tcPr>
            <w:tcW w:type="dxa" w:w="198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Лучший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Лаплас (среднее)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13,46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10,24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12,76</w:t>
            </w:r>
          </w:p>
        </w:tc>
        <w:tc>
          <w:tcPr>
            <w:tcW w:type="dxa" w:w="198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YOLO11n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Оптимизм (максимум)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15,09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11,20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14,23</w:t>
            </w:r>
          </w:p>
        </w:tc>
        <w:tc>
          <w:tcPr>
            <w:tcW w:type="dxa" w:w="198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YOLO11n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Вальд (максимин)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10,99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8,77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10,53</w:t>
            </w:r>
          </w:p>
        </w:tc>
        <w:tc>
          <w:tcPr>
            <w:tcW w:type="dxa" w:w="198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YOLO11n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Сэвидж (мин. сожаление)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0,00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3,89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0,86</w:t>
            </w:r>
          </w:p>
        </w:tc>
        <w:tc>
          <w:tcPr>
            <w:tcW w:type="dxa" w:w="198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YOLO11n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Гурвиц (α·max + (1−α)·min)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13,04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9,99</w:t>
            </w:r>
          </w:p>
        </w:tc>
        <w:tc>
          <w:tcPr>
            <w:tcW w:type="dxa" w:w="1417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12,38</w:t>
            </w:r>
          </w:p>
        </w:tc>
        <w:tc>
          <w:tcPr>
            <w:tcW w:type="dxa" w:w="1984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7"/>
              </w:rPr>
              <w:t>YOLO11n</w:t>
            </w:r>
          </w:p>
        </w:tc>
      </w:tr>
    </w:tbl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Все пять критериев указывают на YOLO11n, причём преимущество сохраняется и в худшей сцене: по Вальду модель держит 10,99 Гц против 8,77 Гц у YOLOv8n и 10,53 Гц у CNN+LSTM. Это означает, что выбор не опирается на благоприятный сценарий и остаётся работоспособным при 50 объектах.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При сведении 22 способов нормированные значения дают Ψ = 0,955 для YOLO11n, 0,735 для CNN+LSTM и 0,045 для YOLOv8n. Число Борда составляет 64, 42 и 23, средний ранг — 1,045, 2,000 и 2,909. YOLO11n занимает первое место в 21 способе из 22; единственное исключение — метрика SR, которая характеризует масштаб семейства и не является оценкой пригодности конкретной модели. Совпадение трёх свёрток и 21 из 22 способов показывает, что результат устойчив.</w:t>
      </w:r>
    </w:p>
    <w:p>
      <w:pPr>
        <w:keepNext/>
        <w:spacing w:before="160" w:after="60" w:line="240" w:lineRule="auto"/>
      </w:pPr>
      <w:r>
        <w:rPr>
          <w:rFonts w:ascii="Times New Roman" w:hAnsi="Times New Roman" w:eastAsia="Times New Roman" w:cs="Times New Roman"/>
          <w:b/>
          <w:sz w:val="25"/>
        </w:rPr>
        <w:t>5. Результаты аналитического расчёта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По совокупности характеристик и критериев выбрана YOLO11n. Её параметры: P = 2,62 млн, F = 6,6 Гфлоп, M = 10,48 МБ, T = 0,066 с, f = 15,15 Гц, Q = 0,66 Дж (энергия на кадр). В худшей сцене из 50 объектов модель сохраняет не менее 10,99 Гц, то есть обрабатывает кадр быстрее, чем требуется для управления роботом. Запас по задержке относительно порога 0,1 с составляет примерно 1,5 раза, по памяти — более чем в шесть раз.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Преимущество YOLO11n объясняется сочетанием факторов, а не одной выдающейся характеристикой. У неё наименьшие F и P среди финалистов, поэтому она лидирует по E и C; задержка также минимальна, а частота максимальна. По VCdim она уступает CNN+LSTM (10,1 против 12,3), но превосходит YOLOv8n (8,8). CNN+LSTM имеет близкую эффективность, однако требует больше памяти и работает медленнее. YOLOv8n уступает по эффективности и задержке, а преимущество по VCdim не компенсирует худшие P, F и T. Формально Φ у YOLO11n равен 0,875, у CNN+LSTM — 0,484, у YOLOv8n — 0,182; разрыв между первым и вторым местом значительно больше возможных колебаний при округлении исходных данных.</w:t>
      </w:r>
    </w:p>
    <w:p>
      <w:pPr>
        <w:keepNext/>
        <w:spacing w:before="160" w:after="60" w:line="240" w:lineRule="auto"/>
      </w:pPr>
      <w:r>
        <w:rPr>
          <w:rFonts w:ascii="Times New Roman" w:hAnsi="Times New Roman" w:eastAsia="Times New Roman" w:cs="Times New Roman"/>
          <w:b/>
          <w:sz w:val="25"/>
        </w:rPr>
        <w:t>6. Экспериментальная проверка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Эксперимент проведён в Gazebo на четырёх синтетических сценах с 340 объектами разметки, в текстурированном кафе с 66 объектами и на реальном наборе COCO128 с 929 объектами. Сравнивались YOLO11n, YOLOv8s и YOLOv8n; метрика качества — mAP@0,5, дополнительно измерялась задержка. Синтетические сцены соответствуют целевым условиям, кафе проверяет перенос на другую текстурированную обстановку, COCO128 — на реальные изображения с более широким набором классов.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sz w:val="20"/>
        </w:rPr>
        <w:t xml:space="preserve">Таблица 5. </w:t>
      </w:r>
      <w:r>
        <w:rPr>
          <w:rFonts w:ascii="Times New Roman" w:hAnsi="Times New Roman" w:eastAsia="Times New Roman" w:cs="Times New Roman"/>
          <w:sz w:val="20"/>
        </w:rPr>
        <w:t>Результаты эксперимента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</w:tblPr>
      <w:tblGrid>
        <w:gridCol w:w="3969"/>
        <w:gridCol w:w="1871"/>
        <w:gridCol w:w="1871"/>
        <w:gridCol w:w="1928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Домен</w:t>
            </w:r>
          </w:p>
        </w:tc>
        <w:tc>
          <w:tcPr>
            <w:tcW w:type="dxa" w:w="187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YOLO11n</w:t>
            </w:r>
          </w:p>
        </w:tc>
        <w:tc>
          <w:tcPr>
            <w:tcW w:type="dxa" w:w="187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YOLOv8s</w:t>
            </w:r>
          </w:p>
        </w:tc>
        <w:tc>
          <w:tcPr>
            <w:tcW w:type="dxa" w:w="1928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YOLOv8n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 синтетические сцены, mAP@0,5</w:t>
            </w:r>
          </w:p>
        </w:tc>
        <w:tc>
          <w:tcPr>
            <w:tcW w:type="dxa" w:w="187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0,475</w:t>
            </w:r>
          </w:p>
        </w:tc>
        <w:tc>
          <w:tcPr>
            <w:tcW w:type="dxa" w:w="187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0,406</w:t>
            </w:r>
          </w:p>
        </w:tc>
        <w:tc>
          <w:tcPr>
            <w:tcW w:type="dxa" w:w="1928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0,376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Кафе, mAP@0,5</w:t>
            </w:r>
          </w:p>
        </w:tc>
        <w:tc>
          <w:tcPr>
            <w:tcW w:type="dxa" w:w="187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0,402</w:t>
            </w:r>
          </w:p>
        </w:tc>
        <w:tc>
          <w:tcPr>
            <w:tcW w:type="dxa" w:w="187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0,435</w:t>
            </w:r>
          </w:p>
        </w:tc>
        <w:tc>
          <w:tcPr>
            <w:tcW w:type="dxa" w:w="1928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0,478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COCO128, mAP@0,5</w:t>
            </w:r>
          </w:p>
        </w:tc>
        <w:tc>
          <w:tcPr>
            <w:tcW w:type="dxa" w:w="187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0,671</w:t>
            </w:r>
          </w:p>
        </w:tc>
        <w:tc>
          <w:tcPr>
            <w:tcW w:type="dxa" w:w="1871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0,761</w:t>
            </w:r>
          </w:p>
        </w:tc>
        <w:tc>
          <w:tcPr>
            <w:tcW w:type="dxa" w:w="1928"/>
            <w:vAlign w:val="center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0,607</w:t>
            </w:r>
          </w:p>
        </w:tc>
      </w:tr>
    </w:tbl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На синтетических сценах YOLO11n показывает лучший результат: 0,475 против 0,406 у YOLOv8s и 0,376 у YOLOv8n. Это подтверждает аналитический вывод для целевых условий. В кафе лучшей оказывается YOLOv8n (0,478), а YOLO11n опускается до 0,402; на COCO128 лидирует YOLOv8s (0,761), YOLO11n занимает промежуточное положение (0,671). Следовательно, на реальных данных большие модели могут быть точнее компактной YOLO11n.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Задержка YOLO11n составляет 19,7 мс, YOLOv8s — 51 мс, то есть по измерению YOLOv8s укладывается в 0,1 с. Аналитическая оценка для YOLOv8s по принятому профилю равна 0,288 с, что примерно в 5,6 раза выше измеренной. Это объясняется консервативностью модели производительности: Π = 100 Гоп/с и линейная оценка T = F/Π не учитывают реальную эффективность ядер и оптимизации. Для отсева это допустимо, поскольку оценка должна гарантировать худший случай, но при интерпретации важно помнить, что аналитическая задержка является верхней оценкой; при доверии натурному замеру YOLOv8s следовало бы вернуть в сравнение.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Эксперимент подтверждает выбор для синтетических сцен и заданных ограничений, но показывает доменную зависимость: на кафе и COCO128 лучшие модели меняются. Это не противоречит методике, поскольку она выбирает модель для заданных условий, а не «лучшую вообще». Если бы рабочая сцена совпадала с кафе, расчёт следовало бы дополнить данными этого домена; в текущей постановке целевыми являются синтетические сцены, и YOLO11n остаётся лучшей.</w:t>
      </w:r>
    </w:p>
    <w:p>
      <w:pPr>
        <w:keepNext/>
        <w:spacing w:before="160" w:after="60" w:line="240" w:lineRule="auto"/>
      </w:pPr>
      <w:r>
        <w:rPr>
          <w:rFonts w:ascii="Times New Roman" w:hAnsi="Times New Roman" w:eastAsia="Times New Roman" w:cs="Times New Roman"/>
          <w:b/>
          <w:sz w:val="25"/>
        </w:rPr>
        <w:t>7. Обсуждение и ограничения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Аналитический расчёт и эксперимент отвечают на разные вопросы. Расчёт сравнивает модели по архитектурным и ресурсным свойствам при заданных ограничениях; эксперимент показывает, как предобученные веса работают на конкретных данных. Поэтому совпадение выводов на синтетических сценах и расхождение на кафе и COCO128 — ожидаемый результат, а не противоречие. На кафе и COCO128 большие модели могут использовать большую ёмкость и лучше подстраиваться под текстуры и классы, но их задержка и память выше. Методика выбирает не «самую точную», а «самую пригодную» модель при заданных ограничениях.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Выбор без весов и Парето означает, что ни одна характеристика не получает априорного преимущества. Если бы веса задавались вручную, результат можно было бы подогнать под желаемую модель; здесь этого нет. Пять критериев проверяют решение в разных предположениях о сцене, а 22 способа — в разных способах свёртки. Совпадение результатов важно не само по себе, а потому что показывает: вывод не зависит от одной формулы. Ограничение подхода в том, что он не заменяет измерение на всех доменах; он даёт обоснованный выбор до начала дорогих испытаний.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Практический смысл результата: для целевых синтетических сцен и ограничений T ≤ 0,1 с, M ≤ 64 МБ следует брать YOLO11n. Если рабочая обстановка смещается к кафе, разумно проверить YOLOv8n; если приоритет — точность на реальных изображениях и допустимо ослабить T, конкурентоспособна YOLOv8s. Если требуются маски, набор кандидатов нужно расширить сегментационными моделями. Таким образом, YOLO11n — не универсальный победитель, а лучшее решение в заданной постановке.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Часть характеристик является оценками, а не измерениями. VCdim и читаемость C вычисляются по архитектуре и не учитывают особенности конкретных весов; mAP в таблице кандидатов взят из предобученных моделей на COCO и не равен точности после дообучения. Поэтому аналитический расчёт следует рассматривать как отбор на этапе проектирования, а не как окончательное доказательство превосходства на всех данных.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Эксперимент покрывает пять YOLO-моделей, тогда как RT-DETR-l, Faster R-CNN и CNN+LSTM проверены только аналитически. Сегментационные модели исключены по типу выхода. Выборки ограничены: 340 объектов в синтетике, 66 объектов в кафе и 929 объектов в COCO128; кафе даёт небольшую выборку, поэтому его результат — качественный сигнал, а не точная оценка. Синтетические сцены отличаются от реальной обстановки, а COCO128 представляет другой набор классов. Наконец, пороги T ≤ 0,1 с и M ≤ 64 МБ являются требованиями конкретной платформы: при изменении производительности борта, разрешения камеры или числа классов фильтры и результат могут измениться, хотя сама методика сохраняется.</w:t>
      </w:r>
    </w:p>
    <w:p>
      <w:pPr>
        <w:keepNext/>
        <w:spacing w:before="160" w:after="60" w:line="240" w:lineRule="auto"/>
      </w:pPr>
      <w:r>
        <w:rPr>
          <w:rFonts w:ascii="Times New Roman" w:hAnsi="Times New Roman" w:eastAsia="Times New Roman" w:cs="Times New Roman"/>
          <w:b/>
          <w:sz w:val="25"/>
        </w:rPr>
        <w:t>8. Заключение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Из девяти рассмотренных моделей после жёстких фильтров остались три, а аналитический расчёт по пяти характеристикам и ресурсным показателям выбрал YOLO11n. Модель имеет P = 2,62 млн, F = 6,6 Гфлоп, M = 10,48 МБ, T = 0,066 с и f = 15,15 Гц; она лидирует по всем пяти критериям, имеет Φ = 0,875, Ψ = 0,955, число Борда 64 и средний ранг 1,045. Первое место сохраняется в 21 способе из 22.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2"/>
        </w:rPr>
        <w:t>Эксперимент в Gazebo подтвердил преимущество YOLO11n на целевых синтетических сценах: 0,475 mAP@0,5 против 0,406 у YOLOv8s и 0,376 у YOLOv8n. На реальных данных большие модели могут быть точнее, однако они требуют больше памяти и работают медленнее; по консервативной аналитической оценке они не проходят фильтры, хотя натурный замер YOLOv8s (51 мс) укладывается в 0,1 с. Полученный результат следует рассматривать как обоснованный выбор для заданных условий, а не как универсальное утверждение о превосходстве модели во всех доменах. Практическая рекомендация — использовать YOLO11n как базовую модель для целевых сцен и сохранить процедуру пересчёта на случай изменения задержки, памяти или требований к выходу.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18"/>
      </w:rPr>
      <w:t xml:space="preserve">— </w:t>
    </w:r>
    <w:r>
      <w:rPr>
        <w:rFonts w:ascii="Times New Roman" w:hAnsi="Times New Roman" w:eastAsia="Times New Roman" w:cs="Times New Roman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Times New Roman" w:cs="Times New Roman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jc w:val="both"/>
    </w:pPr>
    <w:rPr>
      <w:rFonts w:ascii="Times New Roman" w:hAnsi="Times New Roman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Обоснование выбора модели машинного обучения</dc:title>
  <dc:subject>Выбор модели машинного обучения</dc:subject>
  <dc:creator>Папин А.В.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