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Fonts w:eastAsia="Calibri" w:cs="Calibri"/>
          <w:b/>
          <w:bCs/>
          <w:color w:val="374151"/>
          <w:spacing w:val="60"/>
          <w:sz w:val="26"/>
          <w:szCs w:val="26"/>
        </w:rPr>
        <w:t>AGRICONTRACT</w:t>
      </w:r>
    </w:p>
    <w:p>
      <w:pPr>
        <w:pStyle w:val="Normal"/>
        <w:pBdr>
          <w:bottom w:val="single" w:sz="8" w:space="8" w:color="1F2A37"/>
        </w:pBdr>
        <w:spacing w:before="120" w:after="60"/>
        <w:rPr/>
      </w:pPr>
      <w:r>
        <w:rPr>
          <w:rFonts w:eastAsia="Calibri" w:cs="Calibri"/>
          <w:b/>
          <w:bCs/>
          <w:color w:val="1F2A37"/>
          <w:sz w:val="44"/>
          <w:szCs w:val="44"/>
        </w:rPr>
        <w:t>Software Design Specification (SDS)</w:t>
      </w:r>
    </w:p>
    <w:p>
      <w:pPr>
        <w:pStyle w:val="Normal"/>
        <w:spacing w:before="120" w:after="40"/>
        <w:rPr/>
      </w:pPr>
      <w:r>
        <w:rPr>
          <w:rFonts w:eastAsia="Calibri" w:cs="Calibri"/>
          <w:i/>
          <w:iCs/>
          <w:color w:val="374151"/>
          <w:sz w:val="23"/>
          <w:szCs w:val="23"/>
        </w:rPr>
        <w:t>Tài liệu thiết kế chi tiết đầy đủ hệ thống — 5 phần hợp nhất, không tách file</w:t>
      </w:r>
    </w:p>
    <w:p>
      <w:pPr>
        <w:pStyle w:val="Normal"/>
        <w:spacing w:before="240" w:after="0"/>
        <w:rPr/>
      </w:pPr>
      <w:r>
        <w:rPr>
          <w:rFonts w:eastAsia="Calibri" w:cs="Calibri"/>
          <w:color w:val="6B7280"/>
          <w:sz w:val="20"/>
          <w:szCs w:val="20"/>
        </w:rPr>
        <w:t>Tài liệu nội bộ — Đồ án Tốt nghiệp</w:t>
      </w:r>
    </w:p>
    <w:p>
      <w:pPr>
        <w:pStyle w:val="Normal"/>
        <w:spacing w:before="0" w:after="0"/>
        <w:rPr/>
      </w:pPr>
      <w:r>
        <w:rPr>
          <w:rFonts w:eastAsia="Calibri" w:cs="Calibri"/>
          <w:color w:val="6B7280"/>
          <w:sz w:val="20"/>
          <w:szCs w:val="20"/>
        </w:rPr>
        <w:t>Phiên bản 1.0 · Bản đầy đủ · Tháng 7/2026</w:t>
      </w:r>
    </w:p>
    <w:p>
      <w:pPr>
        <w:pStyle w:val="Normal"/>
        <w:spacing w:before="360" w:after="0"/>
        <w:rPr/>
      </w:pPr>
      <w:r>
        <w:rPr/>
      </w:r>
      <w:r>
        <w:br w:type="page"/>
      </w:r>
    </w:p>
    <w:p>
      <w:pPr>
        <w:pStyle w:val="Normal"/>
        <w:spacing w:before="0" w:after="120"/>
        <w:rPr/>
      </w:pPr>
      <w:r>
        <w:rPr>
          <w:rFonts w:eastAsia="Calibri" w:cs="Calibri"/>
          <w:b/>
          <w:bCs/>
          <w:color w:val="1F2A37"/>
          <w:sz w:val="28"/>
          <w:szCs w:val="28"/>
        </w:rPr>
        <w:t>Mục lục</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5486_AgriContract">
            <w:r>
              <w:rPr>
                <w:rStyle w:val="IndexLink"/>
              </w:rPr>
              <w:t>Phần 1 — Nền tảng thiết kế và chuẩn dùng chung</w:t>
              <w:tab/>
              <w:t>6</w:t>
            </w:r>
          </w:hyperlink>
        </w:p>
        <w:p>
          <w:pPr>
            <w:pStyle w:val="TOC2"/>
            <w:tabs>
              <w:tab w:val="clear" w:pos="9355"/>
              <w:tab w:val="right" w:pos="9637" w:leader="dot"/>
            </w:tabs>
            <w:rPr/>
          </w:pPr>
          <w:hyperlink w:anchor="__RefHeading___Toc5488_AgriContract">
            <w:r>
              <w:rPr>
                <w:rStyle w:val="IndexLink"/>
              </w:rPr>
              <w:t>Về tài liệu này</w:t>
              <w:tab/>
              <w:t>7</w:t>
            </w:r>
          </w:hyperlink>
        </w:p>
        <w:p>
          <w:pPr>
            <w:pStyle w:val="TOC2"/>
            <w:tabs>
              <w:tab w:val="clear" w:pos="9355"/>
              <w:tab w:val="right" w:pos="9637" w:leader="dot"/>
            </w:tabs>
            <w:rPr/>
          </w:pPr>
          <w:hyperlink w:anchor="__RefHeading___Toc5490_AgriContract">
            <w:r>
              <w:rPr>
                <w:rStyle w:val="IndexLink"/>
              </w:rPr>
              <w:t>1. Giới thiệu</w:t>
              <w:tab/>
              <w:t>7</w:t>
            </w:r>
          </w:hyperlink>
        </w:p>
        <w:p>
          <w:pPr>
            <w:pStyle w:val="TOC3"/>
            <w:tabs>
              <w:tab w:val="clear" w:pos="9071"/>
              <w:tab w:val="right" w:pos="9637" w:leader="dot"/>
            </w:tabs>
            <w:rPr/>
          </w:pPr>
          <w:hyperlink w:anchor="__RefHeading___Toc5492_AgriContract">
            <w:r>
              <w:rPr>
                <w:rStyle w:val="IndexLink"/>
              </w:rPr>
              <w:t>1.1 Mục đích</w:t>
              <w:tab/>
              <w:t>7</w:t>
            </w:r>
          </w:hyperlink>
        </w:p>
        <w:p>
          <w:pPr>
            <w:pStyle w:val="TOC3"/>
            <w:tabs>
              <w:tab w:val="clear" w:pos="9071"/>
              <w:tab w:val="right" w:pos="9637" w:leader="dot"/>
            </w:tabs>
            <w:rPr/>
          </w:pPr>
          <w:hyperlink w:anchor="__RefHeading___Toc5494_AgriContract">
            <w:r>
              <w:rPr>
                <w:rStyle w:val="IndexLink"/>
              </w:rPr>
              <w:t>1.2 Phạm vi hệ thống</w:t>
              <w:tab/>
              <w:t>7</w:t>
            </w:r>
          </w:hyperlink>
        </w:p>
        <w:p>
          <w:pPr>
            <w:pStyle w:val="TOC3"/>
            <w:tabs>
              <w:tab w:val="clear" w:pos="9071"/>
              <w:tab w:val="right" w:pos="9637" w:leader="dot"/>
            </w:tabs>
            <w:rPr/>
          </w:pPr>
          <w:hyperlink w:anchor="__RefHeading___Toc5496_AgriContract">
            <w:r>
              <w:rPr>
                <w:rStyle w:val="IndexLink"/>
              </w:rPr>
              <w:t>1.3 Thuật ngữ và viết tắt</w:t>
              <w:tab/>
              <w:t>7</w:t>
            </w:r>
          </w:hyperlink>
        </w:p>
        <w:p>
          <w:pPr>
            <w:pStyle w:val="TOC3"/>
            <w:tabs>
              <w:tab w:val="clear" w:pos="9071"/>
              <w:tab w:val="right" w:pos="9637" w:leader="dot"/>
            </w:tabs>
            <w:rPr/>
          </w:pPr>
          <w:hyperlink w:anchor="__RefHeading___Toc5498_AgriContract">
            <w:r>
              <w:rPr>
                <w:rStyle w:val="IndexLink"/>
              </w:rPr>
              <w:t>1.4 Tài liệu tham chiếu</w:t>
              <w:tab/>
              <w:t>8</w:t>
            </w:r>
          </w:hyperlink>
        </w:p>
        <w:p>
          <w:pPr>
            <w:pStyle w:val="TOC2"/>
            <w:tabs>
              <w:tab w:val="clear" w:pos="9355"/>
              <w:tab w:val="right" w:pos="9637" w:leader="dot"/>
            </w:tabs>
            <w:rPr/>
          </w:pPr>
          <w:hyperlink w:anchor="__RefHeading___Toc5500_AgriContract">
            <w:r>
              <w:rPr>
                <w:rStyle w:val="IndexLink"/>
              </w:rPr>
              <w:t>2. Tổng quan thiết kế hệ thống</w:t>
              <w:tab/>
              <w:t>8</w:t>
            </w:r>
          </w:hyperlink>
        </w:p>
        <w:p>
          <w:pPr>
            <w:pStyle w:val="TOC3"/>
            <w:tabs>
              <w:tab w:val="clear" w:pos="9071"/>
              <w:tab w:val="right" w:pos="9637" w:leader="dot"/>
            </w:tabs>
            <w:rPr/>
          </w:pPr>
          <w:hyperlink w:anchor="__RefHeading___Toc5502_AgriContract">
            <w:r>
              <w:rPr>
                <w:rStyle w:val="IndexLink"/>
              </w:rPr>
              <w:t>2.1 Kiến trúc tham chiếu</w:t>
              <w:tab/>
              <w:t>8</w:t>
            </w:r>
          </w:hyperlink>
        </w:p>
        <w:p>
          <w:pPr>
            <w:pStyle w:val="TOC3"/>
            <w:tabs>
              <w:tab w:val="clear" w:pos="9071"/>
              <w:tab w:val="right" w:pos="9637" w:leader="dot"/>
            </w:tabs>
            <w:rPr/>
          </w:pPr>
          <w:hyperlink w:anchor="__RefHeading___Toc5504_AgriContract">
            <w:r>
              <w:rPr>
                <w:rStyle w:val="IndexLink"/>
              </w:rPr>
              <w:t>2.2 Ràng buộc thiết kế</w:t>
              <w:tab/>
              <w:t>8</w:t>
            </w:r>
          </w:hyperlink>
        </w:p>
        <w:p>
          <w:pPr>
            <w:pStyle w:val="TOC3"/>
            <w:tabs>
              <w:tab w:val="clear" w:pos="9071"/>
              <w:tab w:val="right" w:pos="9637" w:leader="dot"/>
            </w:tabs>
            <w:rPr/>
          </w:pPr>
          <w:hyperlink w:anchor="__RefHeading___Toc5506_AgriContract">
            <w:r>
              <w:rPr>
                <w:rStyle w:val="IndexLink"/>
              </w:rPr>
              <w:t>2.3 Actors và vai trò</w:t>
              <w:tab/>
              <w:t>8</w:t>
            </w:r>
          </w:hyperlink>
        </w:p>
        <w:p>
          <w:pPr>
            <w:pStyle w:val="TOC2"/>
            <w:tabs>
              <w:tab w:val="clear" w:pos="9355"/>
              <w:tab w:val="right" w:pos="9637" w:leader="dot"/>
            </w:tabs>
            <w:rPr/>
          </w:pPr>
          <w:hyperlink w:anchor="__RefHeading___Toc5508_AgriContract">
            <w:r>
              <w:rPr>
                <w:rStyle w:val="IndexLink"/>
              </w:rPr>
              <w:t>3. Chuẩn thiết kế dùng chung</w:t>
              <w:tab/>
              <w:t>8</w:t>
            </w:r>
          </w:hyperlink>
        </w:p>
        <w:p>
          <w:pPr>
            <w:pStyle w:val="TOC3"/>
            <w:tabs>
              <w:tab w:val="clear" w:pos="9071"/>
              <w:tab w:val="right" w:pos="9637" w:leader="dot"/>
            </w:tabs>
            <w:rPr/>
          </w:pPr>
          <w:hyperlink w:anchor="__RefHeading___Toc5510_AgriContract">
            <w:r>
              <w:rPr>
                <w:rStyle w:val="IndexLink"/>
              </w:rPr>
              <w:t>3.1 Chuẩn API REST</w:t>
              <w:tab/>
              <w:t>9</w:t>
            </w:r>
          </w:hyperlink>
        </w:p>
        <w:p>
          <w:pPr>
            <w:pStyle w:val="TOC3"/>
            <w:tabs>
              <w:tab w:val="clear" w:pos="9071"/>
              <w:tab w:val="right" w:pos="9637" w:leader="dot"/>
            </w:tabs>
            <w:rPr/>
          </w:pPr>
          <w:hyperlink w:anchor="__RefHeading___Toc5512_AgriContract">
            <w:r>
              <w:rPr>
                <w:rStyle w:val="IndexLink"/>
              </w:rPr>
              <w:t>3.2 Chuẩn sự kiện (RabbitMQ)</w:t>
              <w:tab/>
              <w:t>9</w:t>
            </w:r>
          </w:hyperlink>
        </w:p>
        <w:p>
          <w:pPr>
            <w:pStyle w:val="TOC3"/>
            <w:tabs>
              <w:tab w:val="clear" w:pos="9071"/>
              <w:tab w:val="right" w:pos="9637" w:leader="dot"/>
            </w:tabs>
            <w:rPr/>
          </w:pPr>
          <w:hyperlink w:anchor="__RefHeading___Toc5514_AgriContract">
            <w:r>
              <w:rPr>
                <w:rStyle w:val="IndexLink"/>
              </w:rPr>
              <w:t>3.3 Chuẩn dữ liệu</w:t>
              <w:tab/>
              <w:t>9</w:t>
            </w:r>
          </w:hyperlink>
        </w:p>
        <w:p>
          <w:pPr>
            <w:pStyle w:val="TOC3"/>
            <w:tabs>
              <w:tab w:val="clear" w:pos="9071"/>
              <w:tab w:val="right" w:pos="9637" w:leader="dot"/>
            </w:tabs>
            <w:rPr/>
          </w:pPr>
          <w:hyperlink w:anchor="__RefHeading___Toc5516_AgriContract">
            <w:r>
              <w:rPr>
                <w:rStyle w:val="IndexLink"/>
              </w:rPr>
              <w:t>3.4 Xử lý lỗi và trạng thái HTTP</w:t>
              <w:tab/>
              <w:t>10</w:t>
            </w:r>
          </w:hyperlink>
        </w:p>
        <w:p>
          <w:pPr>
            <w:pStyle w:val="TOC3"/>
            <w:tabs>
              <w:tab w:val="clear" w:pos="9071"/>
              <w:tab w:val="right" w:pos="9637" w:leader="dot"/>
            </w:tabs>
            <w:rPr/>
          </w:pPr>
          <w:hyperlink w:anchor="__RefHeading___Toc5518_AgriContract">
            <w:r>
              <w:rPr>
                <w:rStyle w:val="IndexLink"/>
              </w:rPr>
              <w:t>3.5 Bảo mật xuyên suốt</w:t>
              <w:tab/>
              <w:t>10</w:t>
            </w:r>
          </w:hyperlink>
        </w:p>
        <w:p>
          <w:pPr>
            <w:pStyle w:val="TOC3"/>
            <w:tabs>
              <w:tab w:val="clear" w:pos="9071"/>
              <w:tab w:val="right" w:pos="9637" w:leader="dot"/>
            </w:tabs>
            <w:rPr/>
          </w:pPr>
          <w:hyperlink w:anchor="__RefHeading___Toc5520_AgriContract">
            <w:r>
              <w:rPr>
                <w:rStyle w:val="IndexLink"/>
              </w:rPr>
              <w:t>3.6 Quản trị dữ liệu, maker-checker và trust boundary</w:t>
              <w:tab/>
              <w:t>11</w:t>
            </w:r>
          </w:hyperlink>
        </w:p>
        <w:p>
          <w:pPr>
            <w:pStyle w:val="TOC3"/>
            <w:tabs>
              <w:tab w:val="clear" w:pos="9071"/>
              <w:tab w:val="right" w:pos="9637" w:leader="dot"/>
            </w:tabs>
            <w:rPr/>
          </w:pPr>
          <w:hyperlink w:anchor="__RefHeading___Toc5522_AgriContract">
            <w:r>
              <w:rPr>
                <w:rStyle w:val="IndexLink"/>
              </w:rPr>
              <w:t>3.7 Retention, legal hold và deletion workflow</w:t>
              <w:tab/>
              <w:t>11</w:t>
            </w:r>
          </w:hyperlink>
        </w:p>
        <w:p>
          <w:pPr>
            <w:pStyle w:val="TOC2"/>
            <w:tabs>
              <w:tab w:val="clear" w:pos="9355"/>
              <w:tab w:val="right" w:pos="9637" w:leader="dot"/>
            </w:tabs>
            <w:rPr/>
          </w:pPr>
          <w:hyperlink w:anchor="__RefHeading___Toc5524_AgriContract">
            <w:r>
              <w:rPr>
                <w:rStyle w:val="IndexLink"/>
              </w:rPr>
              <w:t>4. Mô hình dữ liệu tổng thể</w:t>
              <w:tab/>
              <w:t>11</w:t>
            </w:r>
          </w:hyperlink>
        </w:p>
        <w:p>
          <w:pPr>
            <w:pStyle w:val="TOC2"/>
            <w:tabs>
              <w:tab w:val="clear" w:pos="9355"/>
              <w:tab w:val="right" w:pos="9637" w:leader="dot"/>
            </w:tabs>
            <w:rPr/>
          </w:pPr>
          <w:hyperlink w:anchor="__RefHeading___Toc5526_AgriContract">
            <w:r>
              <w:rPr>
                <w:rStyle w:val="IndexLink"/>
              </w:rPr>
              <w:t>5. Yêu cầu phi chức năng</w:t>
              <w:tab/>
              <w:t>12</w:t>
            </w:r>
          </w:hyperlink>
        </w:p>
        <w:p>
          <w:pPr>
            <w:pStyle w:val="TOC2"/>
            <w:tabs>
              <w:tab w:val="clear" w:pos="9355"/>
              <w:tab w:val="right" w:pos="9637" w:leader="dot"/>
            </w:tabs>
            <w:rPr/>
          </w:pPr>
          <w:hyperlink w:anchor="__RefHeading___Toc5528_AgriContract">
            <w:r>
              <w:rPr>
                <w:rStyle w:val="IndexLink"/>
              </w:rPr>
              <w:t>6. Cách đọc các phần tiếp theo</w:t>
              <w:tab/>
              <w:t>12</w:t>
            </w:r>
          </w:hyperlink>
        </w:p>
        <w:p>
          <w:pPr>
            <w:pStyle w:val="TOC1"/>
            <w:tabs>
              <w:tab w:val="clear" w:pos="9638"/>
              <w:tab w:val="right" w:pos="9637" w:leader="dot"/>
            </w:tabs>
            <w:rPr/>
          </w:pPr>
          <w:hyperlink w:anchor="__RefHeading___Toc5530_AgriContract">
            <w:r>
              <w:rPr>
                <w:rStyle w:val="IndexLink"/>
              </w:rPr>
              <w:t>Phần 2 — Cụm lõi: contract-service · escrow-service · bank-service</w:t>
              <w:tab/>
              <w:t>13</w:t>
            </w:r>
          </w:hyperlink>
        </w:p>
        <w:p>
          <w:pPr>
            <w:pStyle w:val="TOC2"/>
            <w:tabs>
              <w:tab w:val="clear" w:pos="9355"/>
              <w:tab w:val="right" w:pos="9637" w:leader="dot"/>
            </w:tabs>
            <w:rPr/>
          </w:pPr>
          <w:hyperlink w:anchor="__RefHeading___Toc5532_AgriContract">
            <w:r>
              <w:rPr>
                <w:rStyle w:val="IndexLink"/>
              </w:rPr>
              <w:t>1. Phạm vi phần 2</w:t>
              <w:tab/>
              <w:t>14</w:t>
            </w:r>
          </w:hyperlink>
        </w:p>
        <w:p>
          <w:pPr>
            <w:pStyle w:val="TOC2"/>
            <w:tabs>
              <w:tab w:val="clear" w:pos="9355"/>
              <w:tab w:val="right" w:pos="9637" w:leader="dot"/>
            </w:tabs>
            <w:rPr/>
          </w:pPr>
          <w:hyperlink w:anchor="__RefHeading___Toc5534_AgriContract">
            <w:r>
              <w:rPr>
                <w:rStyle w:val="IndexLink"/>
              </w:rPr>
              <w:t>2. contract-service</w:t>
              <w:tab/>
              <w:t>14</w:t>
            </w:r>
          </w:hyperlink>
        </w:p>
        <w:p>
          <w:pPr>
            <w:pStyle w:val="TOC3"/>
            <w:tabs>
              <w:tab w:val="clear" w:pos="9071"/>
              <w:tab w:val="right" w:pos="9637" w:leader="dot"/>
            </w:tabs>
            <w:rPr/>
          </w:pPr>
          <w:hyperlink w:anchor="__RefHeading___Toc5536_AgriContract">
            <w:r>
              <w:rPr>
                <w:rStyle w:val="IndexLink"/>
              </w:rPr>
              <w:t>2.1 Mô hình miền (domain model)</w:t>
              <w:tab/>
              <w:t>14</w:t>
            </w:r>
          </w:hyperlink>
        </w:p>
        <w:p>
          <w:pPr>
            <w:pStyle w:val="TOC3"/>
            <w:tabs>
              <w:tab w:val="clear" w:pos="9071"/>
              <w:tab w:val="right" w:pos="9637" w:leader="dot"/>
            </w:tabs>
            <w:rPr/>
          </w:pPr>
          <w:hyperlink w:anchor="__RefHeading___Toc5538_AgriContract">
            <w:r>
              <w:rPr>
                <w:rStyle w:val="IndexLink"/>
              </w:rPr>
              <w:t>2.2 State machine cấp hợp đồng</w:t>
              <w:tab/>
              <w:t>15</w:t>
            </w:r>
          </w:hyperlink>
        </w:p>
        <w:p>
          <w:pPr>
            <w:pStyle w:val="TOC3"/>
            <w:tabs>
              <w:tab w:val="clear" w:pos="9071"/>
              <w:tab w:val="right" w:pos="9637" w:leader="dot"/>
            </w:tabs>
            <w:rPr/>
          </w:pPr>
          <w:hyperlink w:anchor="__RefHeading___Toc5540_AgriContract">
            <w:r>
              <w:rPr>
                <w:rStyle w:val="IndexLink"/>
              </w:rPr>
              <w:t>2.3 State machine cấp milestone</w:t>
              <w:tab/>
              <w:t>16</w:t>
            </w:r>
          </w:hyperlink>
        </w:p>
        <w:p>
          <w:pPr>
            <w:pStyle w:val="TOC3"/>
            <w:tabs>
              <w:tab w:val="clear" w:pos="9071"/>
              <w:tab w:val="right" w:pos="9637" w:leader="dot"/>
            </w:tabs>
            <w:rPr/>
          </w:pPr>
          <w:hyperlink w:anchor="__RefHeading___Toc5542_AgriContract">
            <w:r>
              <w:rPr>
                <w:rStyle w:val="IndexLink"/>
              </w:rPr>
              <w:t>2.4 Quy tắc nghiệp vụ — Delta 1 và Delta 2</w:t>
              <w:tab/>
              <w:t>17</w:t>
            </w:r>
          </w:hyperlink>
        </w:p>
        <w:p>
          <w:pPr>
            <w:pStyle w:val="TOC3"/>
            <w:tabs>
              <w:tab w:val="clear" w:pos="9071"/>
              <w:tab w:val="right" w:pos="9637" w:leader="dot"/>
            </w:tabs>
            <w:rPr/>
          </w:pPr>
          <w:hyperlink w:anchor="__RefHeading___Toc5544_AgriContract">
            <w:r>
              <w:rPr>
                <w:rStyle w:val="IndexLink"/>
              </w:rPr>
              <w:t>2.5 Use case chính</w:t>
              <w:tab/>
              <w:t>17</w:t>
            </w:r>
          </w:hyperlink>
        </w:p>
        <w:p>
          <w:pPr>
            <w:pStyle w:val="TOC3"/>
            <w:tabs>
              <w:tab w:val="clear" w:pos="9071"/>
              <w:tab w:val="right" w:pos="9637" w:leader="dot"/>
            </w:tabs>
            <w:rPr/>
          </w:pPr>
          <w:hyperlink w:anchor="__RefHeading___Toc5546_AgriContract">
            <w:r>
              <w:rPr>
                <w:rStyle w:val="IndexLink"/>
              </w:rPr>
              <w:t>2.6 Cơ chế đồng bộ Milestone → Contract (Local Outbox)</w:t>
              <w:tab/>
              <w:t>19</w:t>
            </w:r>
          </w:hyperlink>
        </w:p>
        <w:p>
          <w:pPr>
            <w:pStyle w:val="TOC3"/>
            <w:tabs>
              <w:tab w:val="clear" w:pos="9071"/>
              <w:tab w:val="right" w:pos="9637" w:leader="dot"/>
            </w:tabs>
            <w:rPr/>
          </w:pPr>
          <w:hyperlink w:anchor="__RefHeading___Toc5548_AgriContract">
            <w:r>
              <w:rPr>
                <w:rStyle w:val="IndexLink"/>
              </w:rPr>
              <w:t>2.7 API endpoints</w:t>
              <w:tab/>
              <w:t>19</w:t>
            </w:r>
          </w:hyperlink>
        </w:p>
        <w:p>
          <w:pPr>
            <w:pStyle w:val="TOC3"/>
            <w:tabs>
              <w:tab w:val="clear" w:pos="9071"/>
              <w:tab w:val="right" w:pos="9637" w:leader="dot"/>
            </w:tabs>
            <w:rPr/>
          </w:pPr>
          <w:hyperlink w:anchor="__RefHeading___Toc5550_AgriContract">
            <w:r>
              <w:rPr>
                <w:rStyle w:val="IndexLink"/>
              </w:rPr>
              <w:t>2.8 Lược đồ dữ liệu (contract_db)</w:t>
              <w:tab/>
              <w:t>19</w:t>
            </w:r>
          </w:hyperlink>
        </w:p>
        <w:p>
          <w:pPr>
            <w:pStyle w:val="TOC2"/>
            <w:tabs>
              <w:tab w:val="clear" w:pos="9355"/>
              <w:tab w:val="right" w:pos="9637" w:leader="dot"/>
            </w:tabs>
            <w:rPr/>
          </w:pPr>
          <w:hyperlink w:anchor="__RefHeading___Toc5552_AgriContract">
            <w:r>
              <w:rPr>
                <w:rStyle w:val="IndexLink"/>
              </w:rPr>
              <w:t>3. escrow-service</w:t>
              <w:tab/>
              <w:t>21</w:t>
            </w:r>
          </w:hyperlink>
        </w:p>
        <w:p>
          <w:pPr>
            <w:pStyle w:val="TOC3"/>
            <w:tabs>
              <w:tab w:val="clear" w:pos="9071"/>
              <w:tab w:val="right" w:pos="9637" w:leader="dot"/>
            </w:tabs>
            <w:rPr/>
          </w:pPr>
          <w:hyperlink w:anchor="__RefHeading___Toc5554_AgriContract">
            <w:r>
              <w:rPr>
                <w:rStyle w:val="IndexLink"/>
              </w:rPr>
              <w:t>3.1 Trách nhiệm và mô hình miền</w:t>
              <w:tab/>
              <w:t>21</w:t>
            </w:r>
          </w:hyperlink>
        </w:p>
        <w:p>
          <w:pPr>
            <w:pStyle w:val="TOC3"/>
            <w:tabs>
              <w:tab w:val="clear" w:pos="9071"/>
              <w:tab w:val="right" w:pos="9637" w:leader="dot"/>
            </w:tabs>
            <w:rPr/>
          </w:pPr>
          <w:hyperlink w:anchor="__RefHeading___Toc5556_AgriContract">
            <w:r>
              <w:rPr>
                <w:rStyle w:val="IndexLink"/>
              </w:rPr>
              <w:t>3.2 Use case (event-driven)</w:t>
              <w:tab/>
              <w:t>21</w:t>
            </w:r>
          </w:hyperlink>
        </w:p>
        <w:p>
          <w:pPr>
            <w:pStyle w:val="TOC3"/>
            <w:tabs>
              <w:tab w:val="clear" w:pos="9071"/>
              <w:tab w:val="right" w:pos="9637" w:leader="dot"/>
            </w:tabs>
            <w:rPr/>
          </w:pPr>
          <w:hyperlink w:anchor="__RefHeading___Toc5558_AgriContract">
            <w:r>
              <w:rPr>
                <w:rStyle w:val="IndexLink"/>
              </w:rPr>
              <w:t>3.3 API &amp; lược đồ dữ liệu (escrow_db)</w:t>
              <w:tab/>
              <w:t>22</w:t>
            </w:r>
          </w:hyperlink>
        </w:p>
        <w:p>
          <w:pPr>
            <w:pStyle w:val="TOC2"/>
            <w:tabs>
              <w:tab w:val="clear" w:pos="9355"/>
              <w:tab w:val="right" w:pos="9637" w:leader="dot"/>
            </w:tabs>
            <w:rPr/>
          </w:pPr>
          <w:hyperlink w:anchor="__RefHeading___Toc5560_AgriContract">
            <w:r>
              <w:rPr>
                <w:rStyle w:val="IndexLink"/>
              </w:rPr>
              <w:t>4. bank-service</w:t>
              <w:tab/>
              <w:t>23</w:t>
            </w:r>
          </w:hyperlink>
        </w:p>
        <w:p>
          <w:pPr>
            <w:pStyle w:val="TOC3"/>
            <w:tabs>
              <w:tab w:val="clear" w:pos="9071"/>
              <w:tab w:val="right" w:pos="9637" w:leader="dot"/>
            </w:tabs>
            <w:rPr/>
          </w:pPr>
          <w:hyperlink w:anchor="__RefHeading___Toc5562_AgriContract">
            <w:r>
              <w:rPr>
                <w:rStyle w:val="IndexLink"/>
              </w:rPr>
              <w:t>4.1 Trách nhiệm và mô hình ledger</w:t>
              <w:tab/>
              <w:t>23</w:t>
            </w:r>
          </w:hyperlink>
        </w:p>
        <w:p>
          <w:pPr>
            <w:pStyle w:val="TOC3"/>
            <w:tabs>
              <w:tab w:val="clear" w:pos="9071"/>
              <w:tab w:val="right" w:pos="9637" w:leader="dot"/>
            </w:tabs>
            <w:rPr/>
          </w:pPr>
          <w:hyperlink w:anchor="__RefHeading___Toc5564_AgriContract">
            <w:r>
              <w:rPr>
                <w:rStyle w:val="IndexLink"/>
              </w:rPr>
              <w:t>4.2 Idempotency và cặp lệnh–xác nhận</w:t>
              <w:tab/>
              <w:t>23</w:t>
            </w:r>
          </w:hyperlink>
        </w:p>
        <w:p>
          <w:pPr>
            <w:pStyle w:val="TOC3"/>
            <w:tabs>
              <w:tab w:val="clear" w:pos="9071"/>
              <w:tab w:val="right" w:pos="9637" w:leader="dot"/>
            </w:tabs>
            <w:rPr/>
          </w:pPr>
          <w:hyperlink w:anchor="__RefHeading___Toc5566_AgriContract">
            <w:r>
              <w:rPr>
                <w:rStyle w:val="IndexLink"/>
              </w:rPr>
              <w:t>4.3 Lược đồ dữ liệu (bank_db)</w:t>
              <w:tab/>
              <w:t>23</w:t>
            </w:r>
          </w:hyperlink>
        </w:p>
        <w:p>
          <w:pPr>
            <w:pStyle w:val="TOC3"/>
            <w:tabs>
              <w:tab w:val="clear" w:pos="9071"/>
              <w:tab w:val="right" w:pos="9637" w:leader="dot"/>
            </w:tabs>
            <w:rPr/>
          </w:pPr>
          <w:hyperlink w:anchor="__RefHeading___Toc5568_AgriContract">
            <w:r>
              <w:rPr>
                <w:rStyle w:val="IndexLink"/>
              </w:rPr>
              <w:t>4.4 bank.large_transaction_flagged — báo cáo giao dịch giá trị lớn, không hold</w:t>
              <w:tab/>
              <w:t>24</w:t>
            </w:r>
          </w:hyperlink>
        </w:p>
        <w:p>
          <w:pPr>
            <w:pStyle w:val="TOC3"/>
            <w:tabs>
              <w:tab w:val="clear" w:pos="9071"/>
              <w:tab w:val="right" w:pos="9637" w:leader="dot"/>
            </w:tabs>
            <w:rPr/>
          </w:pPr>
          <w:hyperlink w:anchor="__RefHeading___Toc5570_AgriContract">
            <w:r>
              <w:rPr>
                <w:rStyle w:val="IndexLink"/>
              </w:rPr>
              <w:t>4.5 Emergency Lock — Zero-Trust Kill Switch cho External Verifier</w:t>
              <w:tab/>
              <w:t>24</w:t>
            </w:r>
          </w:hyperlink>
        </w:p>
        <w:p>
          <w:pPr>
            <w:pStyle w:val="TOC3"/>
            <w:tabs>
              <w:tab w:val="clear" w:pos="9071"/>
              <w:tab w:val="right" w:pos="9637" w:leader="dot"/>
            </w:tabs>
            <w:rPr/>
          </w:pPr>
          <w:hyperlink w:anchor="__RefHeading___Toc5572_AgriContract">
            <w:r>
              <w:rPr>
                <w:rStyle w:val="IndexLink"/>
              </w:rPr>
              <w:t>4.6 Ledger ↔ audit reconciliation và statement export</w:t>
              <w:tab/>
              <w:t>25</w:t>
            </w:r>
          </w:hyperlink>
        </w:p>
        <w:p>
          <w:pPr>
            <w:pStyle w:val="TOC2"/>
            <w:tabs>
              <w:tab w:val="clear" w:pos="9355"/>
              <w:tab w:val="right" w:pos="9637" w:leader="dot"/>
            </w:tabs>
            <w:rPr/>
          </w:pPr>
          <w:hyperlink w:anchor="__RefHeading___Toc5574_AgriContract">
            <w:r>
              <w:rPr>
                <w:rStyle w:val="IndexLink"/>
              </w:rPr>
              <w:t>5. Luồng trình tự xuyên dịch vụ</w:t>
              <w:tab/>
              <w:t>25</w:t>
            </w:r>
          </w:hyperlink>
        </w:p>
        <w:p>
          <w:pPr>
            <w:pStyle w:val="TOC3"/>
            <w:tabs>
              <w:tab w:val="clear" w:pos="9071"/>
              <w:tab w:val="right" w:pos="9637" w:leader="dot"/>
            </w:tabs>
            <w:rPr/>
          </w:pPr>
          <w:hyperlink w:anchor="__RefHeading___Toc5576_AgriContract">
            <w:r>
              <w:rPr>
                <w:rStyle w:val="IndexLink"/>
              </w:rPr>
              <w:t>5.1 Ký hợp đồng và kích hoạt</w:t>
              <w:tab/>
              <w:t>25</w:t>
            </w:r>
          </w:hyperlink>
        </w:p>
        <w:p>
          <w:pPr>
            <w:pStyle w:val="TOC3"/>
            <w:tabs>
              <w:tab w:val="clear" w:pos="9071"/>
              <w:tab w:val="right" w:pos="9637" w:leader="dot"/>
            </w:tabs>
            <w:rPr/>
          </w:pPr>
          <w:hyperlink w:anchor="__RefHeading___Toc5578_AgriContract">
            <w:r>
              <w:rPr>
                <w:rStyle w:val="IndexLink"/>
              </w:rPr>
              <w:t>5.2 Quyết toán một milestone</w:t>
              <w:tab/>
              <w:t>25</w:t>
            </w:r>
          </w:hyperlink>
        </w:p>
        <w:p>
          <w:pPr>
            <w:pStyle w:val="TOC3"/>
            <w:tabs>
              <w:tab w:val="clear" w:pos="9071"/>
              <w:tab w:val="right" w:pos="9637" w:leader="dot"/>
            </w:tabs>
            <w:rPr/>
          </w:pPr>
          <w:hyperlink w:anchor="__RefHeading___Toc5580_AgriContract">
            <w:r>
              <w:rPr>
                <w:rStyle w:val="IndexLink"/>
              </w:rPr>
              <w:t>5.3 Huỷ hợp đồng</w:t>
              <w:tab/>
              <w:t>26</w:t>
            </w:r>
          </w:hyperlink>
        </w:p>
        <w:p>
          <w:pPr>
            <w:pStyle w:val="TOC2"/>
            <w:tabs>
              <w:tab w:val="clear" w:pos="9355"/>
              <w:tab w:val="right" w:pos="9637" w:leader="dot"/>
            </w:tabs>
            <w:rPr/>
          </w:pPr>
          <w:hyperlink w:anchor="__RefHeading___Toc5582_AgriContract">
            <w:r>
              <w:rPr>
                <w:rStyle w:val="IndexLink"/>
              </w:rPr>
              <w:t>6. Cấu hình: application.yml vs ContractTerms</w:t>
              <w:tab/>
              <w:t>26</w:t>
            </w:r>
          </w:hyperlink>
        </w:p>
        <w:p>
          <w:pPr>
            <w:pStyle w:val="TOC2"/>
            <w:tabs>
              <w:tab w:val="clear" w:pos="9355"/>
              <w:tab w:val="right" w:pos="9637" w:leader="dot"/>
            </w:tabs>
            <w:rPr/>
          </w:pPr>
          <w:hyperlink w:anchor="__RefHeading___Toc5584_AgriContract">
            <w:r>
              <w:rPr>
                <w:rStyle w:val="IndexLink"/>
              </w:rPr>
              <w:t>7. Trạng thái đóng &amp; giới hạn đã biết</w:t>
              <w:tab/>
              <w:t>27</w:t>
            </w:r>
          </w:hyperlink>
        </w:p>
        <w:p>
          <w:pPr>
            <w:pStyle w:val="TOC1"/>
            <w:tabs>
              <w:tab w:val="clear" w:pos="9638"/>
              <w:tab w:val="right" w:pos="9637" w:leader="dot"/>
            </w:tabs>
            <w:rPr/>
          </w:pPr>
          <w:hyperlink w:anchor="__RefHeading___Toc5586_AgriContract">
            <w:r>
              <w:rPr>
                <w:rStyle w:val="IndexLink"/>
              </w:rPr>
              <w:t>Phần 3 — Cụm giám định &amp; tin cậy: inspection-service · reputation-service · audit-service</w:t>
              <w:tab/>
              <w:t>29</w:t>
            </w:r>
          </w:hyperlink>
        </w:p>
        <w:p>
          <w:pPr>
            <w:pStyle w:val="TOC2"/>
            <w:tabs>
              <w:tab w:val="clear" w:pos="9355"/>
              <w:tab w:val="right" w:pos="9637" w:leader="dot"/>
            </w:tabs>
            <w:rPr/>
          </w:pPr>
          <w:hyperlink w:anchor="__RefHeading___Toc5588_AgriContract">
            <w:r>
              <w:rPr>
                <w:rStyle w:val="IndexLink"/>
              </w:rPr>
              <w:t>1. Phạm vi phần 3</w:t>
              <w:tab/>
              <w:t>30</w:t>
            </w:r>
          </w:hyperlink>
        </w:p>
        <w:p>
          <w:pPr>
            <w:pStyle w:val="TOC2"/>
            <w:tabs>
              <w:tab w:val="clear" w:pos="9355"/>
              <w:tab w:val="right" w:pos="9637" w:leader="dot"/>
            </w:tabs>
            <w:rPr/>
          </w:pPr>
          <w:hyperlink w:anchor="__RefHeading___Toc5590_AgriContract">
            <w:r>
              <w:rPr>
                <w:rStyle w:val="IndexLink"/>
              </w:rPr>
              <w:t>2. inspection-service</w:t>
              <w:tab/>
              <w:t>30</w:t>
            </w:r>
          </w:hyperlink>
        </w:p>
        <w:p>
          <w:pPr>
            <w:pStyle w:val="TOC3"/>
            <w:tabs>
              <w:tab w:val="clear" w:pos="9071"/>
              <w:tab w:val="right" w:pos="9637" w:leader="dot"/>
            </w:tabs>
            <w:rPr/>
          </w:pPr>
          <w:hyperlink w:anchor="__RefHeading___Toc5592_AgriContract">
            <w:r>
              <w:rPr>
                <w:rStyle w:val="IndexLink"/>
              </w:rPr>
              <w:t>2.1 Level 1.5 — Giám định tích hợp nền tảng</w:t>
              <w:tab/>
              <w:t>30</w:t>
            </w:r>
          </w:hyperlink>
        </w:p>
        <w:p>
          <w:pPr>
            <w:pStyle w:val="TOC3"/>
            <w:tabs>
              <w:tab w:val="clear" w:pos="9071"/>
              <w:tab w:val="right" w:pos="9637" w:leader="dot"/>
            </w:tabs>
            <w:rPr/>
          </w:pPr>
          <w:hyperlink w:anchor="__RefHeading___Toc5594_AgriContract">
            <w:r>
              <w:rPr>
                <w:rStyle w:val="IndexLink"/>
              </w:rPr>
              <w:t>2.2 Level 2 — Giám định bên ngoài</w:t>
              <w:tab/>
              <w:t>30</w:t>
            </w:r>
          </w:hyperlink>
        </w:p>
        <w:p>
          <w:pPr>
            <w:pStyle w:val="TOC3"/>
            <w:tabs>
              <w:tab w:val="clear" w:pos="9071"/>
              <w:tab w:val="right" w:pos="9637" w:leader="dot"/>
            </w:tabs>
            <w:rPr/>
          </w:pPr>
          <w:hyperlink w:anchor="__RefHeading___Toc5596_AgriContract">
            <w:r>
              <w:rPr>
                <w:rStyle w:val="IndexLink"/>
              </w:rPr>
              <w:t>2.3 Use case chính</w:t>
              <w:tab/>
              <w:t>31</w:t>
            </w:r>
          </w:hyperlink>
        </w:p>
        <w:p>
          <w:pPr>
            <w:pStyle w:val="TOC3"/>
            <w:tabs>
              <w:tab w:val="clear" w:pos="9071"/>
              <w:tab w:val="right" w:pos="9637" w:leader="dot"/>
            </w:tabs>
            <w:rPr/>
          </w:pPr>
          <w:hyperlink w:anchor="__RefHeading___Toc5598_AgriContract">
            <w:r>
              <w:rPr>
                <w:rStyle w:val="IndexLink"/>
              </w:rPr>
              <w:t>2.4 API &amp; lược đồ dữ liệu</w:t>
              <w:tab/>
              <w:t>32</w:t>
            </w:r>
          </w:hyperlink>
        </w:p>
        <w:p>
          <w:pPr>
            <w:pStyle w:val="TOC2"/>
            <w:tabs>
              <w:tab w:val="clear" w:pos="9355"/>
              <w:tab w:val="right" w:pos="9637" w:leader="dot"/>
            </w:tabs>
            <w:rPr/>
          </w:pPr>
          <w:hyperlink w:anchor="__RefHeading___Toc5600_AgriContract">
            <w:r>
              <w:rPr>
                <w:rStyle w:val="IndexLink"/>
              </w:rPr>
              <w:t>3. reputation-service</w:t>
              <w:tab/>
              <w:t>33</w:t>
            </w:r>
          </w:hyperlink>
        </w:p>
        <w:p>
          <w:pPr>
            <w:pStyle w:val="TOC3"/>
            <w:tabs>
              <w:tab w:val="clear" w:pos="9071"/>
              <w:tab w:val="right" w:pos="9637" w:leader="dot"/>
            </w:tabs>
            <w:rPr/>
          </w:pPr>
          <w:hyperlink w:anchor="__RefHeading___Toc5602_AgriContract">
            <w:r>
              <w:rPr>
                <w:rStyle w:val="IndexLink"/>
              </w:rPr>
              <w:t>3.1 Sổ khoá và công thức lockDurationDays</w:t>
              <w:tab/>
              <w:t>33</w:t>
            </w:r>
          </w:hyperlink>
        </w:p>
        <w:p>
          <w:pPr>
            <w:pStyle w:val="TOC3"/>
            <w:tabs>
              <w:tab w:val="clear" w:pos="9071"/>
              <w:tab w:val="right" w:pos="9637" w:leader="dot"/>
            </w:tabs>
            <w:rPr/>
          </w:pPr>
          <w:hyperlink w:anchor="__RefHeading___Toc5604_AgriContract">
            <w:r>
              <w:rPr>
                <w:rStyle w:val="IndexLink"/>
              </w:rPr>
              <w:t>3.2 Cưỡng chế khoá (2 tầng)</w:t>
              <w:tab/>
              <w:t>34</w:t>
            </w:r>
          </w:hyperlink>
        </w:p>
        <w:p>
          <w:pPr>
            <w:pStyle w:val="TOC3"/>
            <w:tabs>
              <w:tab w:val="clear" w:pos="9071"/>
              <w:tab w:val="right" w:pos="9637" w:leader="dot"/>
            </w:tabs>
            <w:rPr/>
          </w:pPr>
          <w:hyperlink w:anchor="__RefHeading___Toc5606_AgriContract">
            <w:r>
              <w:rPr>
                <w:rStyle w:val="IndexLink"/>
              </w:rPr>
              <w:t>3.3 Tham chiếu tín dụng &amp; AML</w:t>
              <w:tab/>
              <w:t>34</w:t>
            </w:r>
          </w:hyperlink>
        </w:p>
        <w:p>
          <w:pPr>
            <w:pStyle w:val="TOC3"/>
            <w:tabs>
              <w:tab w:val="clear" w:pos="9071"/>
              <w:tab w:val="right" w:pos="9637" w:leader="dot"/>
            </w:tabs>
            <w:rPr/>
          </w:pPr>
          <w:hyperlink w:anchor="__RefHeading___Toc5608_AgriContract">
            <w:r>
              <w:rPr>
                <w:rStyle w:val="IndexLink"/>
              </w:rPr>
              <w:t>3.4 Use case &amp; lược đồ dữ liệu</w:t>
              <w:tab/>
              <w:t>35</w:t>
            </w:r>
          </w:hyperlink>
        </w:p>
        <w:p>
          <w:pPr>
            <w:pStyle w:val="TOC3"/>
            <w:tabs>
              <w:tab w:val="clear" w:pos="9071"/>
              <w:tab w:val="right" w:pos="9637" w:leader="dot"/>
            </w:tabs>
            <w:rPr/>
          </w:pPr>
          <w:hyperlink w:anchor="__RefHeading___Toc5610_AgriContract">
            <w:r>
              <w:rPr>
                <w:rStyle w:val="IndexLink"/>
              </w:rPr>
              <w:t>3.5 Đối xứng hoá — buyer reputation hiển thị cho seller + chống flag-abuse (mới, 08/07/2026)</w:t>
              <w:tab/>
              <w:t>36</w:t>
            </w:r>
          </w:hyperlink>
        </w:p>
        <w:p>
          <w:pPr>
            <w:pStyle w:val="TOC2"/>
            <w:tabs>
              <w:tab w:val="clear" w:pos="9355"/>
              <w:tab w:val="right" w:pos="9637" w:leader="dot"/>
            </w:tabs>
            <w:rPr/>
          </w:pPr>
          <w:hyperlink w:anchor="__RefHeading___Toc5612_AgriContract">
            <w:r>
              <w:rPr>
                <w:rStyle w:val="IndexLink"/>
              </w:rPr>
              <w:t>4. audit-service</w:t>
              <w:tab/>
              <w:t>37</w:t>
            </w:r>
          </w:hyperlink>
        </w:p>
        <w:p>
          <w:pPr>
            <w:pStyle w:val="TOC3"/>
            <w:tabs>
              <w:tab w:val="clear" w:pos="9071"/>
              <w:tab w:val="right" w:pos="9637" w:leader="dot"/>
            </w:tabs>
            <w:rPr/>
          </w:pPr>
          <w:hyperlink w:anchor="__RefHeading___Toc5614_AgriContract">
            <w:r>
              <w:rPr>
                <w:rStyle w:val="IndexLink"/>
              </w:rPr>
              <w:t>4.1 Event nào vào chain</w:t>
              <w:tab/>
              <w:t>37</w:t>
            </w:r>
          </w:hyperlink>
        </w:p>
        <w:p>
          <w:pPr>
            <w:pStyle w:val="TOC3"/>
            <w:tabs>
              <w:tab w:val="clear" w:pos="9071"/>
              <w:tab w:val="right" w:pos="9637" w:leader="dot"/>
            </w:tabs>
            <w:rPr/>
          </w:pPr>
          <w:hyperlink w:anchor="__RefHeading___Toc5616_AgriContract">
            <w:r>
              <w:rPr>
                <w:rStyle w:val="IndexLink"/>
              </w:rPr>
              <w:t>4.2 Dual chain global + per-subject và anchor riêng</w:t>
              <w:tab/>
              <w:t>37</w:t>
            </w:r>
          </w:hyperlink>
        </w:p>
        <w:p>
          <w:pPr>
            <w:pStyle w:val="TOC3"/>
            <w:tabs>
              <w:tab w:val="clear" w:pos="9071"/>
              <w:tab w:val="right" w:pos="9637" w:leader="dot"/>
            </w:tabs>
            <w:rPr/>
          </w:pPr>
          <w:hyperlink w:anchor="__RefHeading___Toc5618_AgriContract">
            <w:r>
              <w:rPr>
                <w:rStyle w:val="IndexLink"/>
              </w:rPr>
              <w:t>4.3 Đa vị trí + neo email + OpenTimestamps</w:t>
              <w:tab/>
              <w:t>38</w:t>
            </w:r>
          </w:hyperlink>
        </w:p>
        <w:p>
          <w:pPr>
            <w:pStyle w:val="TOC3"/>
            <w:tabs>
              <w:tab w:val="clear" w:pos="9071"/>
              <w:tab w:val="right" w:pos="9637" w:leader="dot"/>
            </w:tabs>
            <w:rPr/>
          </w:pPr>
          <w:hyperlink w:anchor="__RefHeading___Toc5620_AgriContract">
            <w:r>
              <w:rPr>
                <w:rStyle w:val="IndexLink"/>
              </w:rPr>
              <w:t>4.4 VerifyChainJob + alert routing</w:t>
              <w:tab/>
              <w:t>38</w:t>
            </w:r>
          </w:hyperlink>
        </w:p>
        <w:p>
          <w:pPr>
            <w:pStyle w:val="TOC2"/>
            <w:tabs>
              <w:tab w:val="clear" w:pos="9355"/>
              <w:tab w:val="right" w:pos="9637" w:leader="dot"/>
            </w:tabs>
            <w:rPr/>
          </w:pPr>
          <w:hyperlink w:anchor="__RefHeading___Toc5622_AgriContract">
            <w:r>
              <w:rPr>
                <w:rStyle w:val="IndexLink"/>
              </w:rPr>
              <w:t>5. Luồng trình tự xuyên dịch vụ</w:t>
              <w:tab/>
              <w:t>39</w:t>
            </w:r>
          </w:hyperlink>
        </w:p>
        <w:p>
          <w:pPr>
            <w:pStyle w:val="TOC3"/>
            <w:tabs>
              <w:tab w:val="clear" w:pos="9071"/>
              <w:tab w:val="right" w:pos="9637" w:leader="dot"/>
            </w:tabs>
            <w:rPr/>
          </w:pPr>
          <w:hyperlink w:anchor="__RefHeading___Toc5624_AgriContract">
            <w:r>
              <w:rPr>
                <w:rStyle w:val="IndexLink"/>
              </w:rPr>
              <w:t>5.1 Tranh chấp Level 1.5 → report → quyết toán</w:t>
              <w:tab/>
              <w:t>39</w:t>
            </w:r>
          </w:hyperlink>
        </w:p>
        <w:p>
          <w:pPr>
            <w:pStyle w:val="TOC3"/>
            <w:tabs>
              <w:tab w:val="clear" w:pos="9071"/>
              <w:tab w:val="right" w:pos="9637" w:leader="dot"/>
            </w:tabs>
            <w:rPr/>
          </w:pPr>
          <w:hyperlink w:anchor="__RefHeading___Toc5626_AgriContract">
            <w:r>
              <w:rPr>
                <w:rStyle w:val="IndexLink"/>
              </w:rPr>
              <w:t>5.2 Escalate Level 2 → commission → intake → quyết toán</w:t>
              <w:tab/>
              <w:t>39</w:t>
            </w:r>
          </w:hyperlink>
        </w:p>
        <w:p>
          <w:pPr>
            <w:pStyle w:val="TOC3"/>
            <w:tabs>
              <w:tab w:val="clear" w:pos="9071"/>
              <w:tab w:val="right" w:pos="9637" w:leader="dot"/>
            </w:tabs>
            <w:rPr/>
          </w:pPr>
          <w:hyperlink w:anchor="__RefHeading___Toc5628_AgriContract">
            <w:r>
              <w:rPr>
                <w:rStyle w:val="IndexLink"/>
              </w:rPr>
              <w:t>5.3 Cưỡng chế khoá tài khoản</w:t>
              <w:tab/>
              <w:t>40</w:t>
            </w:r>
          </w:hyperlink>
        </w:p>
        <w:p>
          <w:pPr>
            <w:pStyle w:val="TOC2"/>
            <w:tabs>
              <w:tab w:val="clear" w:pos="9355"/>
              <w:tab w:val="right" w:pos="9637" w:leader="dot"/>
            </w:tabs>
            <w:rPr/>
          </w:pPr>
          <w:hyperlink w:anchor="__RefHeading___Toc5630_AgriContract">
            <w:r>
              <w:rPr>
                <w:rStyle w:val="IndexLink"/>
              </w:rPr>
              <w:t>6. Giới hạn có chủ đích</w:t>
              <w:tab/>
              <w:t>40</w:t>
            </w:r>
          </w:hyperlink>
        </w:p>
        <w:p>
          <w:pPr>
            <w:pStyle w:val="TOC2"/>
            <w:tabs>
              <w:tab w:val="clear" w:pos="9355"/>
              <w:tab w:val="right" w:pos="9637" w:leader="dot"/>
            </w:tabs>
            <w:rPr/>
          </w:pPr>
          <w:hyperlink w:anchor="__RefHeading___Toc5632_AgriContract">
            <w:r>
              <w:rPr>
                <w:rStyle w:val="IndexLink"/>
              </w:rPr>
              <w:t>7. Giới hạn đã biết (Known Limitations)</w:t>
              <w:tab/>
              <w:t>40</w:t>
            </w:r>
          </w:hyperlink>
        </w:p>
        <w:p>
          <w:pPr>
            <w:pStyle w:val="TOC1"/>
            <w:tabs>
              <w:tab w:val="clear" w:pos="9638"/>
              <w:tab w:val="right" w:pos="9637" w:leader="dot"/>
            </w:tabs>
            <w:rPr/>
          </w:pPr>
          <w:hyperlink w:anchor="__RefHeading___Toc5634_AgriContract">
            <w:r>
              <w:rPr>
                <w:rStyle w:val="IndexLink"/>
              </w:rPr>
              <w:t>Phần 4 — Cụm dữ liệu &amp; hỗ trợ: product-service · file-service · pricing-service</w:t>
              <w:tab/>
              <w:t>41</w:t>
            </w:r>
          </w:hyperlink>
        </w:p>
        <w:p>
          <w:pPr>
            <w:pStyle w:val="TOC2"/>
            <w:tabs>
              <w:tab w:val="clear" w:pos="9355"/>
              <w:tab w:val="right" w:pos="9637" w:leader="dot"/>
            </w:tabs>
            <w:rPr/>
          </w:pPr>
          <w:hyperlink w:anchor="__RefHeading___Toc5636_AgriContract">
            <w:r>
              <w:rPr>
                <w:rStyle w:val="IndexLink"/>
              </w:rPr>
              <w:t>1. Phạm vi phần 4</w:t>
              <w:tab/>
              <w:t>42</w:t>
            </w:r>
          </w:hyperlink>
        </w:p>
        <w:p>
          <w:pPr>
            <w:pStyle w:val="TOC2"/>
            <w:tabs>
              <w:tab w:val="clear" w:pos="9355"/>
              <w:tab w:val="right" w:pos="9637" w:leader="dot"/>
            </w:tabs>
            <w:rPr/>
          </w:pPr>
          <w:hyperlink w:anchor="__RefHeading___Toc5638_AgriContract">
            <w:r>
              <w:rPr>
                <w:rStyle w:val="IndexLink"/>
              </w:rPr>
              <w:t>2. product-service — Geolocation cho EUDR</w:t>
              <w:tab/>
              <w:t>42</w:t>
            </w:r>
          </w:hyperlink>
        </w:p>
        <w:p>
          <w:pPr>
            <w:pStyle w:val="TOC3"/>
            <w:tabs>
              <w:tab w:val="clear" w:pos="9071"/>
              <w:tab w:val="right" w:pos="9637" w:leader="dot"/>
            </w:tabs>
            <w:rPr/>
          </w:pPr>
          <w:hyperlink w:anchor="__RefHeading___Toc5640_AgriContract">
            <w:r>
              <w:rPr>
                <w:rStyle w:val="IndexLink"/>
              </w:rPr>
              <w:t>2.1 Mô hình miền</w:t>
              <w:tab/>
              <w:t>42</w:t>
            </w:r>
          </w:hyperlink>
        </w:p>
        <w:p>
          <w:pPr>
            <w:pStyle w:val="TOC3"/>
            <w:tabs>
              <w:tab w:val="clear" w:pos="9071"/>
              <w:tab w:val="right" w:pos="9637" w:leader="dot"/>
            </w:tabs>
            <w:rPr/>
          </w:pPr>
          <w:hyperlink w:anchor="__RefHeading___Toc5642_AgriContract">
            <w:r>
              <w:rPr>
                <w:rStyle w:val="IndexLink"/>
              </w:rPr>
              <w:t>2.2 Validate hình học — 2 tầng (GEOMETRY + JTS)</w:t>
              <w:tab/>
              <w:t>42</w:t>
            </w:r>
          </w:hyperlink>
        </w:p>
        <w:p>
          <w:pPr>
            <w:pStyle w:val="TOC3"/>
            <w:tabs>
              <w:tab w:val="clear" w:pos="9071"/>
              <w:tab w:val="right" w:pos="9637" w:leader="dot"/>
            </w:tabs>
            <w:rPr/>
          </w:pPr>
          <w:hyperlink w:anchor="__RefHeading___Toc5644_AgriContract">
            <w:r>
              <w:rPr>
                <w:rStyle w:val="IndexLink"/>
              </w:rPr>
              <w:t>2.3 Nguồn nhập liệu &amp; quy tắc geometryType</w:t>
              <w:tab/>
              <w:t>43</w:t>
            </w:r>
          </w:hyperlink>
        </w:p>
        <w:p>
          <w:pPr>
            <w:pStyle w:val="TOC3"/>
            <w:tabs>
              <w:tab w:val="clear" w:pos="9071"/>
              <w:tab w:val="right" w:pos="9637" w:leader="dot"/>
            </w:tabs>
            <w:rPr/>
          </w:pPr>
          <w:hyperlink w:anchor="__RefHeading___Toc5646_AgriContract">
            <w:r>
              <w:rPr>
                <w:rStyle w:val="IndexLink"/>
              </w:rPr>
              <w:t>2.4 verificationLevel &amp; cross-check tỉnh</w:t>
              <w:tab/>
              <w:t>43</w:t>
            </w:r>
          </w:hyperlink>
        </w:p>
        <w:p>
          <w:pPr>
            <w:pStyle w:val="TOC3"/>
            <w:tabs>
              <w:tab w:val="clear" w:pos="9071"/>
              <w:tab w:val="right" w:pos="9637" w:leader="dot"/>
            </w:tabs>
            <w:rPr/>
          </w:pPr>
          <w:hyperlink w:anchor="__RefHeading___Toc5648_AgriContract">
            <w:r>
              <w:rPr>
                <w:rStyle w:val="IndexLink"/>
              </w:rPr>
              <w:t>2.4.1 Geo-risk verification qua baseline rừng 2020 — ForTy/Natural Forests (06/07/2026; đổi từ NDVI tự tính sang baseline làm sẵn 08/07/2026)</w:t>
              <w:tab/>
              <w:t>43</w:t>
            </w:r>
          </w:hyperlink>
        </w:p>
        <w:p>
          <w:pPr>
            <w:pStyle w:val="TOC3"/>
            <w:tabs>
              <w:tab w:val="clear" w:pos="9071"/>
              <w:tab w:val="right" w:pos="9637" w:leader="dot"/>
            </w:tabs>
            <w:rPr/>
          </w:pPr>
          <w:hyperlink w:anchor="__RefHeading___Toc5650_AgriContract">
            <w:r>
              <w:rPr>
                <w:rStyle w:val="IndexLink"/>
              </w:rPr>
              <w:t>2.4.2 Global plot overlap và yield anomaly</w:t>
              <w:tab/>
              <w:t>44</w:t>
            </w:r>
          </w:hyperlink>
        </w:p>
        <w:p>
          <w:pPr>
            <w:pStyle w:val="TOC3"/>
            <w:tabs>
              <w:tab w:val="clear" w:pos="9071"/>
              <w:tab w:val="right" w:pos="9637" w:leader="dot"/>
            </w:tabs>
            <w:rPr/>
          </w:pPr>
          <w:hyperlink w:anchor="__RefHeading___Toc5652_AgriContract">
            <w:r>
              <w:rPr>
                <w:rStyle w:val="IndexLink"/>
              </w:rPr>
              <w:t>2.5 Use case chính</w:t>
              <w:tab/>
              <w:t>44</w:t>
            </w:r>
          </w:hyperlink>
        </w:p>
        <w:p>
          <w:pPr>
            <w:pStyle w:val="TOC3"/>
            <w:tabs>
              <w:tab w:val="clear" w:pos="9071"/>
              <w:tab w:val="right" w:pos="9637" w:leader="dot"/>
            </w:tabs>
            <w:rPr/>
          </w:pPr>
          <w:hyperlink w:anchor="__RefHeading___Toc5654_AgriContract">
            <w:r>
              <w:rPr>
                <w:rStyle w:val="IndexLink"/>
              </w:rPr>
              <w:t>2.6 API &amp; lược đồ dữ liệu</w:t>
              <w:tab/>
              <w:t>45</w:t>
            </w:r>
          </w:hyperlink>
        </w:p>
        <w:p>
          <w:pPr>
            <w:pStyle w:val="TOC2"/>
            <w:tabs>
              <w:tab w:val="clear" w:pos="9355"/>
              <w:tab w:val="right" w:pos="9637" w:leader="dot"/>
            </w:tabs>
            <w:rPr/>
          </w:pPr>
          <w:hyperlink w:anchor="__RefHeading___Toc5656_AgriContract">
            <w:r>
              <w:rPr>
                <w:rStyle w:val="IndexLink"/>
              </w:rPr>
              <w:t>3. file-service</w:t>
              <w:tab/>
              <w:t>46</w:t>
            </w:r>
          </w:hyperlink>
        </w:p>
        <w:p>
          <w:pPr>
            <w:pStyle w:val="TOC3"/>
            <w:tabs>
              <w:tab w:val="clear" w:pos="9071"/>
              <w:tab w:val="right" w:pos="9637" w:leader="dot"/>
            </w:tabs>
            <w:rPr/>
          </w:pPr>
          <w:hyperlink w:anchor="__RefHeading___Toc5658_AgriContract">
            <w:r>
              <w:rPr>
                <w:rStyle w:val="IndexLink"/>
              </w:rPr>
              <w:t>3.1 Ba entrypoint theo trust boundary</w:t>
              <w:tab/>
              <w:t>46</w:t>
            </w:r>
          </w:hyperlink>
        </w:p>
        <w:p>
          <w:pPr>
            <w:pStyle w:val="TOC3"/>
            <w:tabs>
              <w:tab w:val="clear" w:pos="9071"/>
              <w:tab w:val="right" w:pos="9637" w:leader="dot"/>
            </w:tabs>
            <w:rPr/>
          </w:pPr>
          <w:hyperlink w:anchor="__RefHeading___Toc5660_AgriContract">
            <w:r>
              <w:rPr>
                <w:rStyle w:val="IndexLink"/>
              </w:rPr>
              <w:t>3.2 Pipeline xử lý async</w:t>
              <w:tab/>
              <w:t>47</w:t>
            </w:r>
          </w:hyperlink>
        </w:p>
        <w:p>
          <w:pPr>
            <w:pStyle w:val="TOC3"/>
            <w:tabs>
              <w:tab w:val="clear" w:pos="9071"/>
              <w:tab w:val="right" w:pos="9637" w:leader="dot"/>
            </w:tabs>
            <w:rPr/>
          </w:pPr>
          <w:hyperlink w:anchor="__RefHeading___Toc5662_AgriContract">
            <w:r>
              <w:rPr>
                <w:rStyle w:val="IndexLink"/>
              </w:rPr>
              <w:t>3.3 Event, access control, retention</w:t>
              <w:tab/>
              <w:t>47</w:t>
            </w:r>
          </w:hyperlink>
        </w:p>
        <w:p>
          <w:pPr>
            <w:pStyle w:val="TOC2"/>
            <w:tabs>
              <w:tab w:val="clear" w:pos="9355"/>
              <w:tab w:val="right" w:pos="9637" w:leader="dot"/>
            </w:tabs>
            <w:rPr/>
          </w:pPr>
          <w:hyperlink w:anchor="__RefHeading___Toc5664_AgriContract">
            <w:r>
              <w:rPr>
                <w:rStyle w:val="IndexLink"/>
              </w:rPr>
              <w:t>4. pricing-service</w:t>
              <w:tab/>
              <w:t>48</w:t>
            </w:r>
          </w:hyperlink>
        </w:p>
        <w:p>
          <w:pPr>
            <w:pStyle w:val="TOC3"/>
            <w:tabs>
              <w:tab w:val="clear" w:pos="9071"/>
              <w:tab w:val="right" w:pos="9637" w:leader="dot"/>
            </w:tabs>
            <w:rPr/>
          </w:pPr>
          <w:hyperlink w:anchor="__RefHeading___Toc5666_AgriContract">
            <w:r>
              <w:rPr>
                <w:rStyle w:val="IndexLink"/>
              </w:rPr>
              <w:t>4.1 Mô hình miền &amp; cache</w:t>
              <w:tab/>
              <w:t>48</w:t>
            </w:r>
          </w:hyperlink>
        </w:p>
        <w:p>
          <w:pPr>
            <w:pStyle w:val="TOC3"/>
            <w:tabs>
              <w:tab w:val="clear" w:pos="9071"/>
              <w:tab w:val="right" w:pos="9637" w:leader="dot"/>
            </w:tabs>
            <w:rPr/>
          </w:pPr>
          <w:hyperlink w:anchor="__RefHeading___Toc5668_AgriContract">
            <w:r>
              <w:rPr>
                <w:rStyle w:val="IndexLink"/>
              </w:rPr>
              <w:t>4.2 Ingestion &amp; Read API</w:t>
              <w:tab/>
              <w:t>48</w:t>
            </w:r>
          </w:hyperlink>
        </w:p>
        <w:p>
          <w:pPr>
            <w:pStyle w:val="TOC2"/>
            <w:tabs>
              <w:tab w:val="clear" w:pos="9355"/>
              <w:tab w:val="right" w:pos="9637" w:leader="dot"/>
            </w:tabs>
            <w:rPr/>
          </w:pPr>
          <w:hyperlink w:anchor="__RefHeading___Toc5670_AgriContract">
            <w:r>
              <w:rPr>
                <w:rStyle w:val="IndexLink"/>
              </w:rPr>
              <w:t>5. Luồng trình tự xuyên dịch vụ</w:t>
              <w:tab/>
              <w:t>49</w:t>
            </w:r>
          </w:hyperlink>
        </w:p>
        <w:p>
          <w:pPr>
            <w:pStyle w:val="TOC3"/>
            <w:tabs>
              <w:tab w:val="clear" w:pos="9071"/>
              <w:tab w:val="right" w:pos="9637" w:leader="dot"/>
            </w:tabs>
            <w:rPr/>
          </w:pPr>
          <w:hyperlink w:anchor="__RefHeading___Toc5672_AgriContract">
            <w:r>
              <w:rPr>
                <w:rStyle w:val="IndexLink"/>
              </w:rPr>
              <w:t>5.1 Vòng đời file bằng chứng (evidence)</w:t>
              <w:tab/>
              <w:t>49</w:t>
            </w:r>
          </w:hyperlink>
        </w:p>
        <w:p>
          <w:pPr>
            <w:pStyle w:val="TOC3"/>
            <w:tabs>
              <w:tab w:val="clear" w:pos="9071"/>
              <w:tab w:val="right" w:pos="9637" w:leader="dot"/>
            </w:tabs>
            <w:rPr/>
          </w:pPr>
          <w:hyperlink w:anchor="__RefHeading___Toc5674_AgriContract">
            <w:r>
              <w:rPr>
                <w:rStyle w:val="IndexLink"/>
              </w:rPr>
              <w:t>5.2 Import KML → tạo listing</w:t>
              <w:tab/>
              <w:t>49</w:t>
            </w:r>
          </w:hyperlink>
        </w:p>
        <w:p>
          <w:pPr>
            <w:pStyle w:val="TOC2"/>
            <w:tabs>
              <w:tab w:val="clear" w:pos="9355"/>
              <w:tab w:val="right" w:pos="9637" w:leader="dot"/>
            </w:tabs>
            <w:rPr/>
          </w:pPr>
          <w:hyperlink w:anchor="__RefHeading___Toc5676_AgriContract">
            <w:r>
              <w:rPr>
                <w:rStyle w:val="IndexLink"/>
              </w:rPr>
              <w:t>6. Giới hạn có chủ đích</w:t>
              <w:tab/>
              <w:t>49</w:t>
            </w:r>
          </w:hyperlink>
        </w:p>
        <w:p>
          <w:pPr>
            <w:pStyle w:val="TOC2"/>
            <w:tabs>
              <w:tab w:val="clear" w:pos="9355"/>
              <w:tab w:val="right" w:pos="9637" w:leader="dot"/>
            </w:tabs>
            <w:rPr/>
          </w:pPr>
          <w:hyperlink w:anchor="__RefHeading___Toc5678_AgriContract">
            <w:r>
              <w:rPr>
                <w:rStyle w:val="IndexLink"/>
              </w:rPr>
              <w:t>7. Trạng thái đóng &amp; giới hạn đã biết</w:t>
              <w:tab/>
              <w:t>50</w:t>
            </w:r>
          </w:hyperlink>
        </w:p>
        <w:p>
          <w:pPr>
            <w:pStyle w:val="TOC1"/>
            <w:tabs>
              <w:tab w:val="clear" w:pos="9638"/>
              <w:tab w:val="right" w:pos="9637" w:leader="dot"/>
            </w:tabs>
            <w:rPr/>
          </w:pPr>
          <w:hyperlink w:anchor="__RefHeading___Toc5680_AgriContract">
            <w:r>
              <w:rPr>
                <w:rStyle w:val="IndexLink"/>
              </w:rPr>
              <w:t>Phần 5 — Cụm ngoại vi &amp; tổng hợp: user-service · notification-service · analytics-service + Phụ lục</w:t>
              <w:tab/>
              <w:t>51</w:t>
            </w:r>
          </w:hyperlink>
        </w:p>
        <w:p>
          <w:pPr>
            <w:pStyle w:val="TOC2"/>
            <w:tabs>
              <w:tab w:val="clear" w:pos="9355"/>
              <w:tab w:val="right" w:pos="9637" w:leader="dot"/>
            </w:tabs>
            <w:rPr/>
          </w:pPr>
          <w:hyperlink w:anchor="__RefHeading___Toc5682_AgriContract">
            <w:r>
              <w:rPr>
                <w:rStyle w:val="IndexLink"/>
              </w:rPr>
              <w:t>1. Phạm vi phần 5</w:t>
              <w:tab/>
              <w:t>52</w:t>
            </w:r>
          </w:hyperlink>
        </w:p>
        <w:p>
          <w:pPr>
            <w:pStyle w:val="TOC2"/>
            <w:tabs>
              <w:tab w:val="clear" w:pos="9355"/>
              <w:tab w:val="right" w:pos="9637" w:leader="dot"/>
            </w:tabs>
            <w:rPr/>
          </w:pPr>
          <w:hyperlink w:anchor="__RefHeading___Toc5684_AgriContract">
            <w:r>
              <w:rPr>
                <w:rStyle w:val="IndexLink"/>
              </w:rPr>
              <w:t>2. user-service</w:t>
              <w:tab/>
              <w:t>52</w:t>
            </w:r>
          </w:hyperlink>
        </w:p>
        <w:p>
          <w:pPr>
            <w:pStyle w:val="TOC3"/>
            <w:tabs>
              <w:tab w:val="clear" w:pos="9071"/>
              <w:tab w:val="right" w:pos="9637" w:leader="dot"/>
            </w:tabs>
            <w:rPr/>
          </w:pPr>
          <w:hyperlink w:anchor="__RefHeading___Toc5686_AgriContract">
            <w:r>
              <w:rPr>
                <w:rStyle w:val="IndexLink"/>
              </w:rPr>
              <w:t>2.1 Trách nhiệm &amp; mô hình miền</w:t>
              <w:tab/>
              <w:t>52</w:t>
            </w:r>
          </w:hyperlink>
        </w:p>
        <w:p>
          <w:pPr>
            <w:pStyle w:val="TOC3"/>
            <w:tabs>
              <w:tab w:val="clear" w:pos="9071"/>
              <w:tab w:val="right" w:pos="9637" w:leader="dot"/>
            </w:tabs>
            <w:rPr/>
          </w:pPr>
          <w:hyperlink w:anchor="__RefHeading___Toc5688_AgriContract">
            <w:r>
              <w:rPr>
                <w:rStyle w:val="IndexLink"/>
              </w:rPr>
              <w:t>2.2 Xác minh thẩm quyền đại diện (KYC)</w:t>
              <w:tab/>
              <w:t>52</w:t>
            </w:r>
          </w:hyperlink>
        </w:p>
        <w:p>
          <w:pPr>
            <w:pStyle w:val="TOC3"/>
            <w:tabs>
              <w:tab w:val="clear" w:pos="9071"/>
              <w:tab w:val="right" w:pos="9637" w:leader="dot"/>
            </w:tabs>
            <w:rPr/>
          </w:pPr>
          <w:hyperlink w:anchor="__RefHeading___Toc5690_AgriContract">
            <w:r>
              <w:rPr>
                <w:rStyle w:val="IndexLink"/>
              </w:rPr>
              <w:t>2.3 Cưỡng chế khoá tài khoản</w:t>
              <w:tab/>
              <w:t>53</w:t>
            </w:r>
          </w:hyperlink>
        </w:p>
        <w:p>
          <w:pPr>
            <w:pStyle w:val="TOC3"/>
            <w:tabs>
              <w:tab w:val="clear" w:pos="9071"/>
              <w:tab w:val="right" w:pos="9637" w:leader="dot"/>
            </w:tabs>
            <w:rPr/>
          </w:pPr>
          <w:hyperlink w:anchor="__RefHeading___Toc5692_AgriContract">
            <w:r>
              <w:rPr>
                <w:rStyle w:val="IndexLink"/>
              </w:rPr>
              <w:t>2.4 API</w:t>
              <w:tab/>
              <w:t>53</w:t>
            </w:r>
          </w:hyperlink>
        </w:p>
        <w:p>
          <w:pPr>
            <w:pStyle w:val="TOC2"/>
            <w:tabs>
              <w:tab w:val="clear" w:pos="9355"/>
              <w:tab w:val="right" w:pos="9637" w:leader="dot"/>
            </w:tabs>
            <w:rPr/>
          </w:pPr>
          <w:hyperlink w:anchor="__RefHeading___Toc5694_AgriContract">
            <w:r>
              <w:rPr>
                <w:rStyle w:val="IndexLink"/>
              </w:rPr>
              <w:t>3. notification-service</w:t>
              <w:tab/>
              <w:t>53</w:t>
            </w:r>
          </w:hyperlink>
        </w:p>
        <w:p>
          <w:pPr>
            <w:pStyle w:val="TOC2"/>
            <w:tabs>
              <w:tab w:val="clear" w:pos="9355"/>
              <w:tab w:val="right" w:pos="9637" w:leader="dot"/>
            </w:tabs>
            <w:rPr/>
          </w:pPr>
          <w:hyperlink w:anchor="__RefHeading___Toc5696_AgriContract">
            <w:r>
              <w:rPr>
                <w:rStyle w:val="IndexLink"/>
              </w:rPr>
              <w:t>4. analytics-service</w:t>
              <w:tab/>
              <w:t>54</w:t>
            </w:r>
          </w:hyperlink>
        </w:p>
        <w:p>
          <w:pPr>
            <w:pStyle w:val="TOC3"/>
            <w:tabs>
              <w:tab w:val="clear" w:pos="9071"/>
              <w:tab w:val="right" w:pos="9637" w:leader="dot"/>
            </w:tabs>
            <w:rPr/>
          </w:pPr>
          <w:hyperlink w:anchor="__RefHeading___Toc5698_AgriContract">
            <w:r>
              <w:rPr>
                <w:rStyle w:val="IndexLink"/>
              </w:rPr>
              <w:t>4.1 Event-driven projection + derived-signal producer</w:t>
              <w:tab/>
              <w:t>54</w:t>
            </w:r>
          </w:hyperlink>
        </w:p>
        <w:p>
          <w:pPr>
            <w:pStyle w:val="TOC3"/>
            <w:tabs>
              <w:tab w:val="clear" w:pos="9071"/>
              <w:tab w:val="right" w:pos="9637" w:leader="dot"/>
            </w:tabs>
            <w:rPr/>
          </w:pPr>
          <w:hyperlink w:anchor="__RefHeading___Toc5700_AgriContract">
            <w:r>
              <w:rPr>
                <w:rStyle w:val="IndexLink"/>
              </w:rPr>
              <w:t>4.2 Read model — Star schema thu nhỏ (hybrid)</w:t>
              <w:tab/>
              <w:t>54</w:t>
            </w:r>
          </w:hyperlink>
        </w:p>
        <w:p>
          <w:pPr>
            <w:pStyle w:val="TOC3"/>
            <w:tabs>
              <w:tab w:val="clear" w:pos="9071"/>
              <w:tab w:val="right" w:pos="9637" w:leader="dot"/>
            </w:tabs>
            <w:rPr/>
          </w:pPr>
          <w:hyperlink w:anchor="__RefHeading___Toc5702_AgriContract">
            <w:r>
              <w:rPr>
                <w:rStyle w:val="IndexLink"/>
              </w:rPr>
              <w:t>4.3 Batch job &amp; API</w:t>
              <w:tab/>
              <w:t>55</w:t>
            </w:r>
          </w:hyperlink>
        </w:p>
        <w:p>
          <w:pPr>
            <w:pStyle w:val="TOC3"/>
            <w:tabs>
              <w:tab w:val="clear" w:pos="9071"/>
              <w:tab w:val="right" w:pos="9637" w:leader="dot"/>
            </w:tabs>
            <w:rPr/>
          </w:pPr>
          <w:hyperlink w:anchor="__RefHeading___Toc5704_AgriContract">
            <w:r>
              <w:rPr>
                <w:rStyle w:val="IndexLink"/>
              </w:rPr>
              <w:t>4.4 Giới hạn (tradeoff CQRS/event-driven)</w:t>
              <w:tab/>
              <w:t>56</w:t>
            </w:r>
          </w:hyperlink>
        </w:p>
        <w:p>
          <w:pPr>
            <w:pStyle w:val="TOC2"/>
            <w:tabs>
              <w:tab w:val="clear" w:pos="9355"/>
              <w:tab w:val="right" w:pos="9637" w:leader="dot"/>
            </w:tabs>
            <w:rPr/>
          </w:pPr>
          <w:hyperlink w:anchor="__RefHeading___Toc5706_AgriContract">
            <w:r>
              <w:rPr>
                <w:rStyle w:val="IndexLink"/>
              </w:rPr>
              <w:t>Phụ lục A — Event Catalog hợp nhất</w:t>
              <w:tab/>
              <w:t>56</w:t>
            </w:r>
          </w:hyperlink>
        </w:p>
        <w:p>
          <w:pPr>
            <w:pStyle w:val="TOC2"/>
            <w:tabs>
              <w:tab w:val="clear" w:pos="9355"/>
              <w:tab w:val="right" w:pos="9637" w:leader="dot"/>
            </w:tabs>
            <w:rPr/>
          </w:pPr>
          <w:hyperlink w:anchor="__RefHeading___Toc5708_AgriContract">
            <w:r>
              <w:rPr>
                <w:rStyle w:val="IndexLink"/>
              </w:rPr>
              <w:t>Phụ lục B — Ma trận dịch vụ</w:t>
              <w:tab/>
              <w:t>57</w:t>
            </w:r>
          </w:hyperlink>
        </w:p>
        <w:p>
          <w:pPr>
            <w:pStyle w:val="TOC2"/>
            <w:tabs>
              <w:tab w:val="clear" w:pos="9355"/>
              <w:tab w:val="right" w:pos="9637" w:leader="dot"/>
            </w:tabs>
            <w:rPr/>
          </w:pPr>
          <w:hyperlink w:anchor="__RefHeading___Toc5710_AgriContract">
            <w:r>
              <w:rPr>
                <w:rStyle w:val="IndexLink"/>
              </w:rPr>
              <w:t>Phụ lục C — Verification Matrix P0/P1/P2</w:t>
              <w:tab/>
              <w:t>58</w:t>
            </w:r>
          </w:hyperlink>
        </w:p>
        <w:p>
          <w:pPr>
            <w:pStyle w:val="TOC2"/>
            <w:tabs>
              <w:tab w:val="clear" w:pos="9355"/>
              <w:tab w:val="right" w:pos="9637" w:leader="dot"/>
            </w:tabs>
            <w:rPr/>
          </w:pPr>
          <w:hyperlink w:anchor="__RefHeading___Toc5712_AgriContract">
            <w:r>
              <w:rPr>
                <w:rStyle w:val="IndexLink"/>
              </w:rPr>
              <w:t>Tổng hợp trạng thái đóng &amp; giới hạn đã biết</w:t>
              <w:tab/>
              <w:t>59</w:t>
            </w:r>
          </w:hyperlink>
          <w:r>
            <w:rPr>
              <w:rStyle w:val="IndexLink"/>
            </w:rPr>
            <w:fldChar w:fldCharType="end"/>
          </w:r>
        </w:p>
      </w:sdtContent>
    </w:sdt>
    <w:p>
      <w:pPr>
        <w:pStyle w:val="Normal"/>
        <w:rPr/>
      </w:pPr>
      <w:r>
        <w:rPr/>
      </w:r>
    </w:p>
    <w:p>
      <w:pPr>
        <w:pStyle w:val="Normal"/>
        <w:spacing w:before="240" w:after="0"/>
        <w:rPr/>
      </w:pPr>
      <w:r>
        <w:rPr/>
      </w:r>
      <w:r>
        <w:br w:type="page"/>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0" w:name="__RefHeading___Toc5486_AgriContract"/>
      <w:bookmarkEnd w:id="0"/>
      <w:r>
        <w:rPr>
          <w:rFonts w:eastAsia="Calibri" w:cs="Calibri" w:ascii="Calibri" w:hAnsi="Calibri"/>
          <w:b/>
          <w:bCs/>
          <w:color w:val="1F2A37"/>
          <w:sz w:val="40"/>
          <w:szCs w:val="40"/>
        </w:rPr>
        <w:t>Phần 1 — Nền tảng thiết kế và chuẩn dùng chung</w:t>
      </w:r>
    </w:p>
    <w:p>
      <w:pPr>
        <w:pStyle w:val="Normal"/>
        <w:spacing w:before="0" w:after="0"/>
        <w:rPr/>
      </w:pPr>
      <w:r>
        <w:rPr/>
      </w:r>
      <w:r>
        <w:br w:type="page"/>
      </w:r>
    </w:p>
    <w:p>
      <w:pPr>
        <w:pStyle w:val="Heading2"/>
        <w:pBdr>
          <w:bottom w:val="single" w:sz="6" w:space="6" w:color="D1D5DB"/>
        </w:pBdr>
        <w:spacing w:before="0" w:after="120"/>
        <w:rPr/>
      </w:pPr>
      <w:bookmarkStart w:id="1" w:name="__RefHeading___Toc5488_AgriContract"/>
      <w:bookmarkEnd w:id="1"/>
      <w:r>
        <w:rPr>
          <w:rFonts w:eastAsia="Calibri" w:cs="Calibri" w:ascii="Calibri" w:hAnsi="Calibri"/>
          <w:b/>
          <w:bCs/>
          <w:color w:val="1F2A37"/>
          <w:sz w:val="25"/>
          <w:szCs w:val="25"/>
        </w:rPr>
        <w:t>Về tài liệu này</w:t>
      </w:r>
    </w:p>
    <w:p>
      <w:pPr>
        <w:pStyle w:val="Normal"/>
        <w:spacing w:lineRule="auto" w:line="276" w:before="0" w:after="120"/>
        <w:jc w:val="both"/>
        <w:rPr/>
      </w:pPr>
      <w:r>
        <w:rPr>
          <w:rFonts w:eastAsia="Calibri" w:cs="Calibri"/>
          <w:b w:val="false"/>
          <w:bCs w:val="false"/>
          <w:i w:val="false"/>
          <w:iCs w:val="false"/>
          <w:color w:val="111827"/>
          <w:sz w:val="21"/>
          <w:szCs w:val="21"/>
        </w:rPr>
        <w:t>Software Design Specification (SDS) mô tả thiết kế chi tiết của hệ thống AgriContract ở mức đủ để hiện thực hoá bằng mã nguồn — chi tiết hơn tài liệu Kiến trúc (mô tả cấu trúc tổng thể) và tài liệu Giải pháp (mô tả nghiệp vụ và mô hình kinh doanh).</w:t>
      </w:r>
    </w:p>
    <w:p>
      <w:pPr>
        <w:pStyle w:val="Normal"/>
        <w:spacing w:lineRule="auto" w:line="276" w:before="0" w:after="120"/>
        <w:jc w:val="both"/>
        <w:rPr/>
      </w:pPr>
      <w:r>
        <w:rPr>
          <w:rFonts w:eastAsia="Calibri" w:cs="Calibri"/>
          <w:b w:val="false"/>
          <w:bCs w:val="false"/>
          <w:i w:val="false"/>
          <w:iCs w:val="false"/>
          <w:color w:val="111827"/>
          <w:sz w:val="21"/>
          <w:szCs w:val="21"/>
        </w:rPr>
        <w:t>Tài liệu này gồm năm phần hợp nhất. Phần 1 đặt nền tảng chung: phạm vi, thuật ngữ, actors, các chuẩn thiết kế xuyên suốt (API, sự kiện, dữ liệu, lỗi, bảo mật), mô hình dữ liệu tổng thể và yêu cầu phi chức năng; các phần 2–5 tiếp nối ngay trong cùng file với thiết kế chi tiết từng cụm dịch vụ.</w:t>
      </w:r>
    </w:p>
    <w:tbl>
      <w:tblPr>
        <w:tblW w:w="9638" w:type="dxa"/>
        <w:jc w:val="start"/>
        <w:tblInd w:w="0" w:type="dxa"/>
        <w:tblLayout w:type="fixed"/>
        <w:tblCellMar>
          <w:top w:w="60" w:type="dxa"/>
          <w:start w:w="90" w:type="dxa"/>
          <w:bottom w:w="60" w:type="dxa"/>
          <w:end w:w="90" w:type="dxa"/>
        </w:tblCellMar>
      </w:tblPr>
      <w:tblGrid>
        <w:gridCol w:w="3000"/>
        <w:gridCol w:w="6637"/>
      </w:tblGrid>
      <w:tr>
        <w:trPr>
          <w:tblHeader w:val="true"/>
        </w:trPr>
        <w:tc>
          <w:tcPr>
            <w:tcW w:w="30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Phần</w:t>
            </w:r>
          </w:p>
        </w:tc>
        <w:tc>
          <w:tcPr>
            <w:tcW w:w="66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Nội dung</w:t>
            </w:r>
          </w:p>
        </w:tc>
      </w:tr>
      <w:tr>
        <w:trPr/>
        <w:tc>
          <w:tcPr>
            <w:tcW w:w="3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Phần 1 — Nền tảng</w:t>
            </w:r>
          </w:p>
        </w:tc>
        <w:tc>
          <w:tcPr>
            <w:tcW w:w="66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Giới thiệu, actors, chuẩn API/sự kiện/dữ liệu/lỗi/bảo mật, mô hình dữ liệu tổng và yêu cầu phi chức năng</w:t>
            </w:r>
          </w:p>
        </w:tc>
      </w:tr>
      <w:tr>
        <w:trPr/>
        <w:tc>
          <w:tcPr>
            <w:tcW w:w="3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Phần 2–5 — Tiếp nối trong tài liệu</w:t>
            </w:r>
          </w:p>
        </w:tc>
        <w:tc>
          <w:tcPr>
            <w:tcW w:w="66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Use case, sequence, API spec, schema và verification matrix theo từng cụm dịch vụ</w:t>
            </w:r>
          </w:p>
        </w:tc>
      </w:tr>
    </w:tbl>
    <w:p>
      <w:pPr>
        <w:pStyle w:val="Heading2"/>
        <w:pBdr>
          <w:bottom w:val="single" w:sz="6" w:space="6" w:color="D1D5DB"/>
        </w:pBdr>
        <w:spacing w:before="320" w:after="120"/>
        <w:rPr/>
      </w:pPr>
      <w:bookmarkStart w:id="2" w:name="__RefHeading___Toc5490_AgriContract"/>
      <w:bookmarkEnd w:id="2"/>
      <w:r>
        <w:rPr>
          <w:rFonts w:eastAsia="Calibri" w:cs="Calibri" w:ascii="Calibri" w:hAnsi="Calibri"/>
          <w:b/>
          <w:bCs/>
          <w:color w:val="1F2A37"/>
          <w:sz w:val="25"/>
          <w:szCs w:val="25"/>
        </w:rPr>
        <w:t>1. Giới thiệu</w:t>
      </w:r>
    </w:p>
    <w:p>
      <w:pPr>
        <w:pStyle w:val="Heading3"/>
        <w:spacing w:before="240" w:after="80"/>
        <w:rPr/>
      </w:pPr>
      <w:bookmarkStart w:id="3" w:name="__RefHeading___Toc5492_AgriContract"/>
      <w:bookmarkEnd w:id="3"/>
      <w:r>
        <w:rPr>
          <w:rFonts w:eastAsia="Calibri" w:cs="Calibri" w:ascii="Calibri" w:hAnsi="Calibri"/>
          <w:b/>
          <w:bCs/>
          <w:color w:val="1F2A37"/>
          <w:sz w:val="22"/>
          <w:szCs w:val="22"/>
        </w:rPr>
        <w:t>1.1 Mục đích</w:t>
      </w:r>
    </w:p>
    <w:p>
      <w:pPr>
        <w:pStyle w:val="Normal"/>
        <w:spacing w:lineRule="auto" w:line="276" w:before="0" w:after="120"/>
        <w:jc w:val="both"/>
        <w:rPr/>
      </w:pPr>
      <w:r>
        <w:rPr>
          <w:rFonts w:eastAsia="Calibri" w:cs="Calibri"/>
          <w:b w:val="false"/>
          <w:bCs w:val="false"/>
          <w:i w:val="false"/>
          <w:iCs w:val="false"/>
          <w:color w:val="111827"/>
          <w:sz w:val="21"/>
          <w:szCs w:val="21"/>
        </w:rPr>
        <w:t>Cung cấp bản thiết kế chi tiết, nhất quán và có thể kiểm chứng cho đội phát triển hiện thực hoá hệ thống, đồng thời làm cơ sở để hội đồng thẩm định đánh giá tính đúng đắn và khả thi của thiết kế. Tài liệu định nghĩa các chuẩn chung để 12 dịch vụ được phát triển độc lập nhưng vẫn tương thích với nhau ở ranh giới giao tiếp.</w:t>
      </w:r>
    </w:p>
    <w:p>
      <w:pPr>
        <w:pStyle w:val="Heading3"/>
        <w:spacing w:before="240" w:after="80"/>
        <w:rPr/>
      </w:pPr>
      <w:bookmarkStart w:id="4" w:name="__RefHeading___Toc5494_AgriContract"/>
      <w:bookmarkEnd w:id="4"/>
      <w:r>
        <w:rPr>
          <w:rFonts w:eastAsia="Calibri" w:cs="Calibri" w:ascii="Calibri" w:hAnsi="Calibri"/>
          <w:b/>
          <w:bCs/>
          <w:color w:val="1F2A37"/>
          <w:sz w:val="22"/>
          <w:szCs w:val="22"/>
        </w:rPr>
        <w:t>1.2 Phạm vi hệ thống</w:t>
      </w:r>
    </w:p>
    <w:p>
      <w:pPr>
        <w:pStyle w:val="Normal"/>
        <w:spacing w:lineRule="auto" w:line="276" w:before="0" w:after="120"/>
        <w:jc w:val="both"/>
        <w:rPr/>
      </w:pPr>
      <w:r>
        <w:rPr>
          <w:rFonts w:eastAsia="Calibri" w:cs="Calibri"/>
          <w:b w:val="false"/>
          <w:bCs w:val="false"/>
          <w:i w:val="false"/>
          <w:iCs w:val="false"/>
          <w:color w:val="111827"/>
          <w:sz w:val="21"/>
          <w:szCs w:val="21"/>
        </w:rPr>
        <w:t>AgriContract số hoá vòng đời hợp đồng mua bán nông sản B2B — từ đàm phán, ký kết điện tử, ký quỹ theo đợt giao hàng, đến giải ngân sau xác nhận giao nhận — với audit trail bất biến phục vụ bằng chứng pháp lý và kiểm toán EUDR. Phạm vi giới hạn có chủ đích ở tầng hợp đồng: không xử lý logistics, không phải sàn thương mại điện tử, không thay thế hệ thống kế toán.</w:t>
      </w:r>
    </w:p>
    <w:p>
      <w:pPr>
        <w:pStyle w:val="Heading3"/>
        <w:spacing w:before="240" w:after="80"/>
        <w:rPr/>
      </w:pPr>
      <w:bookmarkStart w:id="5" w:name="__RefHeading___Toc5496_AgriContract"/>
      <w:bookmarkEnd w:id="5"/>
      <w:r>
        <w:rPr>
          <w:rFonts w:eastAsia="Calibri" w:cs="Calibri" w:ascii="Calibri" w:hAnsi="Calibri"/>
          <w:b/>
          <w:bCs/>
          <w:color w:val="1F2A37"/>
          <w:sz w:val="22"/>
          <w:szCs w:val="22"/>
        </w:rPr>
        <w:t>1.3 Thuật ngữ và viết tắt</w:t>
      </w:r>
    </w:p>
    <w:tbl>
      <w:tblPr>
        <w:tblW w:w="9638" w:type="dxa"/>
        <w:jc w:val="start"/>
        <w:tblInd w:w="0" w:type="dxa"/>
        <w:tblLayout w:type="fixed"/>
        <w:tblCellMar>
          <w:top w:w="60" w:type="dxa"/>
          <w:start w:w="90" w:type="dxa"/>
          <w:bottom w:w="60" w:type="dxa"/>
          <w:end w:w="90" w:type="dxa"/>
        </w:tblCellMar>
      </w:tblPr>
      <w:tblGrid>
        <w:gridCol w:w="2200"/>
        <w:gridCol w:w="7437"/>
      </w:tblGrid>
      <w:tr>
        <w:trPr>
          <w:tblHeader w:val="true"/>
        </w:trPr>
        <w:tc>
          <w:tcPr>
            <w:tcW w:w="2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Thuật ngữ</w:t>
            </w:r>
          </w:p>
        </w:tc>
        <w:tc>
          <w:tcPr>
            <w:tcW w:w="74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Định nghĩa</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HTX</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Hợp tác xã — bên bán (Seller) trong hệ thống</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EUDR</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EU Deforestation Regulation (2023/1115, sửa đổi 2025/2650) — quy định chống phá rừng của EU</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Ký quỹ (Escrow)</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Cơ chế bên thứ ba giữ tiền theo điều khoản đã ký; ở đây là ngân hàng (mock)</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Một đợt giao hàng trong hợp đồng; mỗi milestone có vòng đời cân/giao/quyết toán riêng</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Saga (Choreography)</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Mẫu điều phối giao dịch phân tán bằng chuỗi sự kiện, không orchestrator trung tâm</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Outbox Pattern</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Ghi sự kiện vào bảng outbox trong cùng transaction với thay đổi state để tránh dual-write</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Idempotency</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Tính chất xử lý một message nhiều lần cho kết quả như xử lý một lần</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INSPECTOR</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Tổ chức giám định độc lập; 3 cấp Level 1 / 1.5 / 2</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FBO / Omnibus</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Mô hình ledger gộp: một tài khoản chung, chi tiết sở hữu nằm ở các dòng ledger</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VNSAT</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Nguồn giá nông sản của Bộ NN&amp;MT (thitruongnongsan.gov.vn) mà pricing-service scrape</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JTS</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Java Topology Suite — thư viện kiểm tra tính hợp lệ hình học của polygon</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OTS</w:t>
            </w:r>
          </w:p>
        </w:tc>
        <w:tc>
          <w:tcPr>
            <w:tcW w:w="7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OpenTimestamps — neo hash lên Bitcoin làm bằng chứng thời gian độc lập</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DDS</w:t>
            </w:r>
          </w:p>
        </w:tc>
        <w:tc>
          <w:tcPr>
            <w:tcW w:w="7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Due Diligence Statement — bản khai thẩm định EUDR; AgriContract chỉ xuất gói bằng chứng hỗ trợ DDS</w:t>
            </w:r>
          </w:p>
        </w:tc>
      </w:tr>
    </w:tbl>
    <w:p>
      <w:pPr>
        <w:pStyle w:val="Heading3"/>
        <w:spacing w:before="240" w:after="80"/>
        <w:rPr/>
      </w:pPr>
      <w:bookmarkStart w:id="6" w:name="__RefHeading___Toc5498_AgriContract"/>
      <w:bookmarkEnd w:id="6"/>
      <w:r>
        <w:rPr>
          <w:rFonts w:eastAsia="Calibri" w:cs="Calibri" w:ascii="Calibri" w:hAnsi="Calibri"/>
          <w:b/>
          <w:bCs/>
          <w:color w:val="1F2A37"/>
          <w:sz w:val="22"/>
          <w:szCs w:val="22"/>
        </w:rPr>
        <w:t>1.4 Tài liệu tham chiếu</w:t>
      </w:r>
    </w:p>
    <w:p>
      <w:pPr>
        <w:pStyle w:val="ListParagraph"/>
        <w:numPr>
          <w:ilvl w:val="0"/>
          <w:numId w:val="4"/>
        </w:numPr>
        <w:spacing w:lineRule="auto" w:line="276" w:before="0" w:after="60"/>
        <w:rPr/>
      </w:pPr>
      <w:r>
        <w:rPr>
          <w:rFonts w:eastAsia="Calibri" w:cs="Calibri"/>
          <w:b w:val="false"/>
          <w:bCs w:val="false"/>
          <w:i w:val="false"/>
          <w:iCs w:val="false"/>
          <w:color w:val="111827"/>
          <w:sz w:val="21"/>
          <w:szCs w:val="21"/>
        </w:rPr>
        <w:t>AgriContract — Phân Tích Thị Trường &amp; Luận Cứ Kinh Doanh (v5.0).</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AgriContract — Giải Pháp, Người Dùng &amp; Mô Hình Kinh Doanh (v5.0).</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AgriContract — Kiến Trúc Kỹ Thuật Hệ Thống (v2.0).</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Các tài liệu thiết kế chi tiết theo dịch vụ (design sessions) làm nguồn quyết định thiết kế.</w:t>
      </w:r>
    </w:p>
    <w:p>
      <w:pPr>
        <w:pStyle w:val="Heading2"/>
        <w:pBdr>
          <w:bottom w:val="single" w:sz="6" w:space="6" w:color="D1D5DB"/>
        </w:pBdr>
        <w:spacing w:before="320" w:after="120"/>
        <w:rPr/>
      </w:pPr>
      <w:bookmarkStart w:id="7" w:name="__RefHeading___Toc5500_AgriContract"/>
      <w:bookmarkEnd w:id="7"/>
      <w:r>
        <w:rPr>
          <w:rFonts w:eastAsia="Calibri" w:cs="Calibri" w:ascii="Calibri" w:hAnsi="Calibri"/>
          <w:b/>
          <w:bCs/>
          <w:color w:val="1F2A37"/>
          <w:sz w:val="25"/>
          <w:szCs w:val="25"/>
        </w:rPr>
        <w:t>2. Tổng quan thiết kế hệ thống</w:t>
      </w:r>
    </w:p>
    <w:p>
      <w:pPr>
        <w:pStyle w:val="Heading3"/>
        <w:spacing w:before="240" w:after="80"/>
        <w:rPr/>
      </w:pPr>
      <w:bookmarkStart w:id="8" w:name="__RefHeading___Toc5502_AgriContract"/>
      <w:bookmarkEnd w:id="8"/>
      <w:r>
        <w:rPr>
          <w:rFonts w:eastAsia="Calibri" w:cs="Calibri" w:ascii="Calibri" w:hAnsi="Calibri"/>
          <w:b/>
          <w:bCs/>
          <w:color w:val="1F2A37"/>
          <w:sz w:val="22"/>
          <w:szCs w:val="22"/>
        </w:rPr>
        <w:t>2.1 Kiến trúc tham chiếu</w:t>
      </w:r>
    </w:p>
    <w:p>
      <w:pPr>
        <w:pStyle w:val="Normal"/>
        <w:spacing w:lineRule="auto" w:line="276" w:before="0" w:after="120"/>
        <w:jc w:val="both"/>
        <w:rPr/>
      </w:pPr>
      <w:r>
        <w:rPr>
          <w:rFonts w:eastAsia="Calibri" w:cs="Calibri"/>
          <w:b w:val="false"/>
          <w:bCs w:val="false"/>
          <w:i w:val="false"/>
          <w:iCs w:val="false"/>
          <w:color w:val="111827"/>
          <w:sz w:val="21"/>
          <w:szCs w:val="21"/>
        </w:rPr>
        <w:t>Hệ thống theo kiến trúc microservices hướng sự kiện: một API Gateway và 12 dịch vụ nghiệp vụ, mỗi dịch vụ sở hữu cơ sở dữ liệu riêng (database-per-service), giao tiếp qua RabbitMQ (async, choreography saga) và OpenFeign (sync). Chi tiết cấu trúc, phân rã dịch vụ và luồng saga nằm trong tài liệu Kiến trúc v2.0; SDS này không lặp lại mà đặc tả chi tiết hiện thực hoá.</w:t>
      </w:r>
    </w:p>
    <w:p>
      <w:pPr>
        <w:pStyle w:val="Heading3"/>
        <w:spacing w:before="240" w:after="80"/>
        <w:rPr/>
      </w:pPr>
      <w:bookmarkStart w:id="9" w:name="__RefHeading___Toc5504_AgriContract"/>
      <w:bookmarkEnd w:id="9"/>
      <w:r>
        <w:rPr>
          <w:rFonts w:eastAsia="Calibri" w:cs="Calibri" w:ascii="Calibri" w:hAnsi="Calibri"/>
          <w:b/>
          <w:bCs/>
          <w:color w:val="1F2A37"/>
          <w:sz w:val="22"/>
          <w:szCs w:val="22"/>
        </w:rPr>
        <w:t>2.2 Ràng buộc thiết kế</w:t>
      </w:r>
    </w:p>
    <w:tbl>
      <w:tblPr>
        <w:tblW w:w="9638" w:type="dxa"/>
        <w:jc w:val="start"/>
        <w:tblInd w:w="0" w:type="dxa"/>
        <w:tblLayout w:type="fixed"/>
        <w:tblCellMar>
          <w:top w:w="60" w:type="dxa"/>
          <w:start w:w="90" w:type="dxa"/>
          <w:bottom w:w="60" w:type="dxa"/>
          <w:end w:w="90" w:type="dxa"/>
        </w:tblCellMar>
      </w:tblPr>
      <w:tblGrid>
        <w:gridCol w:w="2600"/>
        <w:gridCol w:w="7037"/>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Nhóm ràng buộc</w:t>
            </w:r>
          </w:p>
        </w:tc>
        <w:tc>
          <w:tcPr>
            <w:tcW w:w="70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Nội dung</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Nguồn lực</w:t>
            </w:r>
          </w:p>
        </w:tc>
        <w:tc>
          <w:tcPr>
            <w:tcW w:w="7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Đội nhỏ, thời gian phát triển 5 tháng — ưu tiên giải pháp pragmatic có đường nâng cấp rõ ràng, tránh over-engineer</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Công nghệ</w:t>
            </w:r>
          </w:p>
        </w:tc>
        <w:tc>
          <w:tcPr>
            <w:tcW w:w="7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Java 21 / Spring Boot 3.3, React + Vite + TypeScript, MySQL 8, RabbitMQ, Keycloak, Docker Compose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Pháp lý</w:t>
            </w:r>
          </w:p>
        </w:tc>
        <w:tc>
          <w:tcPr>
            <w:tcW w:w="7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Nền tảng không giữ tiền thật (ngân hàng giữ); chữ ký điện tử cơ bản bù bằng audit trail; gate xác minh thẩm quyền đại diện; retention EUDR ≥ 5 năm</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Mô phỏng có chủ đích</w:t>
            </w:r>
          </w:p>
        </w:tc>
        <w:tc>
          <w:tcPr>
            <w:tcW w:w="7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bank-service (giữ tiền) là mock; tiếp nhận report Level 2 giả định qua hòm thư — interface thiết kế sạch để thay bằng tích hợp thật mà không đổi business logic</w:t>
            </w:r>
          </w:p>
        </w:tc>
      </w:tr>
    </w:tbl>
    <w:p>
      <w:pPr>
        <w:pStyle w:val="Heading3"/>
        <w:spacing w:before="240" w:after="80"/>
        <w:rPr/>
      </w:pPr>
      <w:bookmarkStart w:id="10" w:name="__RefHeading___Toc5506_AgriContract"/>
      <w:bookmarkEnd w:id="10"/>
      <w:r>
        <w:rPr>
          <w:rFonts w:eastAsia="Calibri" w:cs="Calibri" w:ascii="Calibri" w:hAnsi="Calibri"/>
          <w:b/>
          <w:bCs/>
          <w:color w:val="1F2A37"/>
          <w:sz w:val="22"/>
          <w:szCs w:val="22"/>
        </w:rPr>
        <w:t>2.3 Actors và vai trò</w:t>
      </w:r>
    </w:p>
    <w:p>
      <w:pPr>
        <w:pStyle w:val="Normal"/>
        <w:spacing w:lineRule="auto" w:line="276" w:before="0" w:after="120"/>
        <w:jc w:val="both"/>
        <w:rPr/>
      </w:pPr>
      <w:r>
        <w:rPr>
          <w:rFonts w:eastAsia="Calibri" w:cs="Calibri"/>
          <w:b w:val="false"/>
          <w:bCs w:val="false"/>
          <w:i w:val="false"/>
          <w:iCs w:val="false"/>
          <w:color w:val="111827"/>
          <w:sz w:val="21"/>
          <w:szCs w:val="21"/>
        </w:rPr>
        <w:t>Các stakeholder nghiệp vụ không ánh xạ một-một sang role runtime. Keycloak có năm role BUYER, SELLER, INSPECTOR, OPERATOR và ADMIN. OPERATOR xử lý thao tác vận hành hằng ngày có thể đảo ngược; ADMIN giữ quyết định rủi ro cao, security/audit và bước approve maker-checker. External Verifier và System là actor kỹ thuật; Software Buyer là chủ thể tổ chức, không phải role runtime.</w:t>
      </w:r>
    </w:p>
    <w:tbl>
      <w:tblPr>
        <w:tblW w:w="9638" w:type="dxa"/>
        <w:jc w:val="start"/>
        <w:tblInd w:w="0" w:type="dxa"/>
        <w:tblLayout w:type="fixed"/>
        <w:tblCellMar>
          <w:top w:w="60" w:type="dxa"/>
          <w:start w:w="90" w:type="dxa"/>
          <w:bottom w:w="60" w:type="dxa"/>
          <w:end w:w="90" w:type="dxa"/>
        </w:tblCellMar>
      </w:tblPr>
      <w:tblGrid>
        <w:gridCol w:w="2200"/>
        <w:gridCol w:w="2199"/>
        <w:gridCol w:w="5239"/>
      </w:tblGrid>
      <w:tr>
        <w:trPr>
          <w:tblHeader w:val="true"/>
        </w:trPr>
        <w:tc>
          <w:tcPr>
            <w:tcW w:w="2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w:t>
            </w:r>
          </w:p>
        </w:tc>
        <w:tc>
          <w:tcPr>
            <w:tcW w:w="21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 Keycloak</w:t>
            </w:r>
          </w:p>
        </w:tc>
        <w:tc>
          <w:tcPr>
            <w:tcW w:w="52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Quyền hạn chính</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Bên mua (Platform Buyer)</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BUYER</w:t>
            </w:r>
          </w:p>
        </w:tc>
        <w:tc>
          <w:tcPr>
            <w:tcW w:w="5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Tạo offer, đàm phán, khoá tiền ký quỹ, xác nhận nhận hàng, cancel/dispute theo quyền</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Bên bán / HTX (Platform Seller)</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SELLER</w:t>
            </w:r>
          </w:p>
        </w:tc>
        <w:tc>
          <w:tcPr>
            <w:tcW w:w="52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Đăng listing, đàm phán, ký hợp đồng, cân/giao hàng, nhận thanh toán</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Giám định (Level 1.5)</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INSPECTOR</w:t>
            </w:r>
          </w:p>
        </w:tc>
        <w:tc>
          <w:tcPr>
            <w:tcW w:w="5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Nhận assignment, nộp inspection report có hash; không phán xử</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Vận hành hằng ngày</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OPERATOR</w:t>
            </w:r>
          </w:p>
        </w:tc>
        <w:tc>
          <w:tcPr>
            <w:tcW w:w="52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KYC, review/moderation, nhập giá thủ công; có thể propose governance nhưng không tự approve</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Quản trị rủi ro cao</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ADMIN</w:t>
            </w:r>
          </w:p>
        </w:tc>
        <w:tc>
          <w:tcPr>
            <w:tcW w:w="52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Approve/reject maker-checker; security, audit, analytics admin; fallback cho thao tác vận hành</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Ngân hàng (Escrow Holder)</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 xml:space="preserve">— </w:t>
            </w:r>
            <w:r>
              <w:rPr>
                <w:rFonts w:eastAsia="Calibri" w:cs="Calibri"/>
                <w:b w:val="false"/>
                <w:bCs w:val="false"/>
                <w:color w:val="111827"/>
                <w:sz w:val="18"/>
                <w:szCs w:val="18"/>
              </w:rPr>
              <w:t>(tích hợp hệ thống)</w:t>
            </w:r>
          </w:p>
        </w:tc>
        <w:tc>
          <w:tcPr>
            <w:tcW w:w="52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Giữ tiền, thực thi lệnh lock/release/seize/refund từ escrow-service</w:t>
            </w:r>
          </w:p>
        </w:tc>
      </w:tr>
    </w:tbl>
    <w:p>
      <w:pPr>
        <w:pStyle w:val="Heading2"/>
        <w:pBdr>
          <w:bottom w:val="single" w:sz="6" w:space="6" w:color="D1D5DB"/>
        </w:pBdr>
        <w:spacing w:before="320" w:after="120"/>
        <w:rPr/>
      </w:pPr>
      <w:bookmarkStart w:id="11" w:name="__RefHeading___Toc5508_AgriContract"/>
      <w:bookmarkEnd w:id="11"/>
      <w:r>
        <w:rPr>
          <w:rFonts w:eastAsia="Calibri" w:cs="Calibri" w:ascii="Calibri" w:hAnsi="Calibri"/>
          <w:b/>
          <w:bCs/>
          <w:color w:val="1F2A37"/>
          <w:sz w:val="25"/>
          <w:szCs w:val="25"/>
        </w:rPr>
        <w:t>3. Chuẩn thiết kế dùng chung</w:t>
      </w:r>
    </w:p>
    <w:p>
      <w:pPr>
        <w:pStyle w:val="Normal"/>
        <w:spacing w:lineRule="auto" w:line="276" w:before="0" w:after="120"/>
        <w:jc w:val="both"/>
        <w:rPr/>
      </w:pPr>
      <w:r>
        <w:rPr>
          <w:rFonts w:eastAsia="Calibri" w:cs="Calibri"/>
          <w:b w:val="false"/>
          <w:bCs w:val="false"/>
          <w:i w:val="false"/>
          <w:iCs w:val="false"/>
          <w:color w:val="111827"/>
          <w:sz w:val="21"/>
          <w:szCs w:val="21"/>
        </w:rPr>
        <w:t>Các chuẩn dưới đây bắt buộc áp dụng cho mọi dịch vụ để đảm bảo tính nhất quán ở ranh giới giao tiếp. Thiết kế chi tiết từng dịch vụ (các phần sau) tuân theo chuẩn này.</w:t>
      </w:r>
    </w:p>
    <w:p>
      <w:pPr>
        <w:pStyle w:val="Heading3"/>
        <w:spacing w:before="240" w:after="80"/>
        <w:rPr/>
      </w:pPr>
      <w:bookmarkStart w:id="12" w:name="__RefHeading___Toc5510_AgriContract"/>
      <w:bookmarkEnd w:id="12"/>
      <w:r>
        <w:rPr>
          <w:rFonts w:eastAsia="Calibri" w:cs="Calibri" w:ascii="Calibri" w:hAnsi="Calibri"/>
          <w:b/>
          <w:bCs/>
          <w:color w:val="1F2A37"/>
          <w:sz w:val="22"/>
          <w:szCs w:val="22"/>
        </w:rPr>
        <w:t>3.1 Chuẩn API REST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Điểm vào duy nhất: </w:t>
      </w:r>
      <w:r>
        <w:rPr>
          <w:rFonts w:eastAsia="Calibri" w:cs="Calibri"/>
          <w:b w:val="false"/>
          <w:bCs w:val="false"/>
          <w:i w:val="false"/>
          <w:iCs w:val="false"/>
          <w:color w:val="111827"/>
          <w:sz w:val="21"/>
          <w:szCs w:val="21"/>
        </w:rPr>
        <w:t>mọi request từ ngoài đi qua API Gateway (:8080); client không gọi trực tiếp port dịch vụ.</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Versioning &amp; path: </w:t>
      </w:r>
      <w:r>
        <w:rPr>
          <w:rFonts w:eastAsia="Calibri" w:cs="Calibri"/>
          <w:b w:val="false"/>
          <w:bCs w:val="false"/>
          <w:i w:val="false"/>
          <w:iCs w:val="false"/>
          <w:color w:val="111827"/>
          <w:sz w:val="21"/>
          <w:szCs w:val="21"/>
        </w:rPr>
        <w:t>tiền tố /api/v1/{resource}, danh từ số nhiều, phân cấp theo tài nguyên (vd /api/v1/contracts/{id}/milestones).</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Xác thực: </w:t>
      </w:r>
      <w:r>
        <w:rPr>
          <w:rFonts w:eastAsia="Calibri" w:cs="Calibri"/>
          <w:b w:val="false"/>
          <w:bCs w:val="false"/>
          <w:i w:val="false"/>
          <w:iCs w:val="false"/>
          <w:color w:val="111827"/>
          <w:sz w:val="21"/>
          <w:szCs w:val="21"/>
        </w:rPr>
        <w:t>Authorization: Bearer {JWT}; Gateway validate JWT, xoá Authorization/X-User-*/internal secret do client gửi rồi tiêm đúng X-User-Id, X-User-Role, X-Correlation-Id và X-Gateway-Secret. X-Api-Key của route audit-hash được giữ nguyên. Public match theo method + exact path; protected route authenticated mặc định; /internal/** không route.</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Phân trang: </w:t>
      </w:r>
      <w:r>
        <w:rPr>
          <w:rFonts w:eastAsia="Calibri" w:cs="Calibri"/>
          <w:b w:val="false"/>
          <w:bCs w:val="false"/>
          <w:i w:val="false"/>
          <w:iCs w:val="false"/>
          <w:color w:val="111827"/>
          <w:sz w:val="21"/>
          <w:szCs w:val="21"/>
        </w:rPr>
        <w:t>query params page, size, sort; response bọc content + metadata (page, size, totalElements, totalPages).</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Idempotency: </w:t>
      </w:r>
      <w:r>
        <w:rPr>
          <w:rFonts w:eastAsia="Calibri" w:cs="Calibri"/>
          <w:b w:val="false"/>
          <w:bCs w:val="false"/>
          <w:i w:val="false"/>
          <w:iCs w:val="false"/>
          <w:color w:val="111827"/>
          <w:sz w:val="21"/>
          <w:szCs w:val="21"/>
        </w:rPr>
        <w:t>thao tác ghi liên quan tiền hoặc trạng thái nhạy cảm nhận header Idempotency-Key hoặc dùng khoá nghiệp vụ tương đương.</w:t>
      </w:r>
    </w:p>
    <w:p>
      <w:pPr>
        <w:pStyle w:val="Normal"/>
        <w:spacing w:lineRule="auto" w:line="276" w:before="0" w:after="120"/>
        <w:jc w:val="both"/>
        <w:rPr/>
      </w:pPr>
      <w:r>
        <w:rPr>
          <w:rFonts w:eastAsia="Calibri" w:cs="Calibri"/>
          <w:b w:val="false"/>
          <w:bCs w:val="false"/>
          <w:i w:val="false"/>
          <w:iCs w:val="false"/>
          <w:color w:val="111827"/>
          <w:sz w:val="21"/>
          <w:szCs w:val="21"/>
        </w:rPr>
        <w:t>Cấu trúc phản hồi lỗi chuẩn (error envelope) — đồng nhất mọi dịch vụ:</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8"/>
          <w:szCs w:val="18"/>
        </w:rPr>
        <w:t>{</w:t>
        <w:br/>
        <w:t xml:space="preserve">  "timestamp": "2026-07-05T09:12:33Z",</w:t>
        <w:br/>
        <w:t xml:space="preserve">  "status": 409,</w:t>
        <w:br/>
        <w:t xml:space="preserve">  "error": "Conflict",</w:t>
        <w:br/>
        <w:t xml:space="preserve">  "code": "CONTRACT_ALREADY_SIGNED",</w:t>
        <w:br/>
        <w:t xml:space="preserve">  "message": "Hợp đồng đã ở trạng thái SIGNED",</w:t>
        <w:br/>
        <w:t xml:space="preserve">  "path": "/api/v1/contracts/{id}/sign",</w:t>
        <w:br/>
        <w:t xml:space="preserve">  "traceId": "b7f3..."</w:t>
        <w:br/>
        <w:t>}</w:t>
      </w:r>
    </w:p>
    <w:p>
      <w:pPr>
        <w:pStyle w:val="Heading3"/>
        <w:spacing w:before="240" w:after="80"/>
        <w:rPr/>
      </w:pPr>
      <w:bookmarkStart w:id="13" w:name="__RefHeading___Toc5512_AgriContract"/>
      <w:bookmarkEnd w:id="13"/>
      <w:r>
        <w:rPr>
          <w:rFonts w:eastAsia="Calibri" w:cs="Calibri" w:ascii="Calibri" w:hAnsi="Calibri"/>
          <w:b/>
          <w:bCs/>
          <w:color w:val="1F2A37"/>
          <w:sz w:val="22"/>
          <w:szCs w:val="22"/>
        </w:rPr>
        <w:t>3.2 Chuẩn sự kiện (RabbitMQ)</w:t>
      </w:r>
    </w:p>
    <w:p>
      <w:pPr>
        <w:pStyle w:val="Normal"/>
        <w:spacing w:lineRule="auto" w:line="276" w:before="0" w:after="120"/>
        <w:jc w:val="both"/>
        <w:rPr/>
      </w:pPr>
      <w:r>
        <w:rPr>
          <w:rFonts w:eastAsia="Calibri" w:cs="Calibri"/>
          <w:b w:val="false"/>
          <w:bCs w:val="false"/>
          <w:i w:val="false"/>
          <w:iCs w:val="false"/>
          <w:color w:val="111827"/>
          <w:sz w:val="21"/>
          <w:szCs w:val="21"/>
        </w:rPr>
        <w:t>DLQ replay giữ nguyên eventId và payload; không sửa trực tiếp DB để ‘chữa’ message. Với tiền/security/evidence, OPERATOR đề xuất replay và ADMIN approve; message không thể replay được chuyển PARKED kèm reason. RabbitMQ không phải nguồn lịch sử và không backup: recovery dựa trên transactional outbox + queue backlog.</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Envelope bắt buộc: </w:t>
      </w:r>
      <w:r>
        <w:rPr>
          <w:rFonts w:eastAsia="Calibri" w:cs="Calibri"/>
          <w:b w:val="false"/>
          <w:bCs w:val="false"/>
          <w:i w:val="false"/>
          <w:iCs w:val="false"/>
          <w:color w:val="111827"/>
          <w:sz w:val="21"/>
          <w:szCs w:val="21"/>
        </w:rPr>
        <w:t>mỗi message mang eventId (UUID) và occurredAt (ISO-8601) ở top-level, cùng aggregateId liên quan.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Routing key: </w:t>
      </w:r>
      <w:r>
        <w:rPr>
          <w:rFonts w:eastAsia="Calibri" w:cs="Calibri"/>
          <w:b w:val="false"/>
          <w:bCs w:val="false"/>
          <w:i w:val="false"/>
          <w:iCs w:val="false"/>
          <w:color w:val="111827"/>
          <w:sz w:val="21"/>
          <w:szCs w:val="21"/>
        </w:rPr>
        <w:t>theo convention {aggregate}.{actor}_{past_tense_verb} (vd milestone.buyer_confirmed).</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Exchange: </w:t>
      </w:r>
      <w:r>
        <w:rPr>
          <w:rFonts w:eastAsia="Calibri" w:cs="Calibri"/>
          <w:b w:val="false"/>
          <w:bCs w:val="false"/>
          <w:i w:val="false"/>
          <w:iCs w:val="false"/>
          <w:color w:val="111827"/>
          <w:sz w:val="21"/>
          <w:szCs w:val="21"/>
        </w:rPr>
        <w:t>topic exchange theo aggregate; một dead-letter exchange (fanout) nhận message fail sau 3 lần retry.</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Publish an toàn: </w:t>
      </w:r>
      <w:r>
        <w:rPr>
          <w:rFonts w:eastAsia="Calibri" w:cs="Calibri"/>
          <w:b w:val="false"/>
          <w:bCs w:val="false"/>
          <w:i w:val="false"/>
          <w:iCs w:val="false"/>
          <w:color w:val="111827"/>
          <w:sz w:val="21"/>
          <w:szCs w:val="21"/>
        </w:rPr>
        <w:t>qua Transactional Outbox — không publish trực tiếp trong business transaction.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Consume an toàn: </w:t>
      </w:r>
      <w:r>
        <w:rPr>
          <w:rFonts w:eastAsia="Calibri" w:cs="Calibri"/>
          <w:b w:val="false"/>
          <w:bCs w:val="false"/>
          <w:i w:val="false"/>
          <w:iCs w:val="false"/>
          <w:color w:val="111827"/>
          <w:sz w:val="21"/>
          <w:szCs w:val="21"/>
        </w:rPr>
        <w:t>khử trùng lặp theo eventId/sourceEventId trước khi xử lý (at-least-once).</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Tương thích ngược: </w:t>
      </w:r>
      <w:r>
        <w:rPr>
          <w:rFonts w:eastAsia="Calibri" w:cs="Calibri"/>
          <w:b w:val="false"/>
          <w:bCs w:val="false"/>
          <w:i w:val="false"/>
          <w:iCs w:val="false"/>
          <w:color w:val="111827"/>
          <w:sz w:val="21"/>
          <w:szCs w:val="21"/>
        </w:rPr>
        <w:t>consumer là tolerant reader — bỏ qua field lạ, không vỡ khi payload thêm field mới (event schema versioning).</w:t>
      </w:r>
    </w:p>
    <w:p>
      <w:pPr>
        <w:pStyle w:val="Heading3"/>
        <w:spacing w:before="240" w:after="80"/>
        <w:rPr/>
      </w:pPr>
      <w:bookmarkStart w:id="14" w:name="__RefHeading___Toc5514_AgriContract"/>
      <w:bookmarkEnd w:id="14"/>
      <w:r>
        <w:rPr>
          <w:rFonts w:eastAsia="Calibri" w:cs="Calibri" w:ascii="Calibri" w:hAnsi="Calibri"/>
          <w:b/>
          <w:bCs/>
          <w:color w:val="1F2A37"/>
          <w:sz w:val="22"/>
          <w:szCs w:val="22"/>
        </w:rPr>
        <w:t>3.3 Chuẩn dữ liệu</w:t>
      </w:r>
    </w:p>
    <w:p>
      <w:pPr>
        <w:pStyle w:val="Normal"/>
        <w:spacing w:lineRule="auto" w:line="276" w:before="0" w:after="120"/>
        <w:jc w:val="both"/>
        <w:rPr/>
      </w:pPr>
      <w:r>
        <w:rPr>
          <w:rFonts w:eastAsia="Calibri" w:cs="Calibri"/>
          <w:b w:val="false"/>
          <w:bCs w:val="false"/>
          <w:i w:val="false"/>
          <w:iCs w:val="false"/>
          <w:color w:val="111827"/>
          <w:sz w:val="21"/>
          <w:szCs w:val="21"/>
        </w:rPr>
        <w:t>Mỗi enum/state machine có đúng một owner service. Dịch vụ khác chỉ giữ projection hoặc giá trị trong event contract, không tự định nghĩa enum cạnh tranh. Snapshot đã ký và artefact evidence là immutable; dữ liệu mutable chỉ đổi qua use case có actor attribution.</w:t>
      </w:r>
    </w:p>
    <w:tbl>
      <w:tblPr>
        <w:tblW w:w="9638" w:type="dxa"/>
        <w:jc w:val="start"/>
        <w:tblInd w:w="0" w:type="dxa"/>
        <w:tblLayout w:type="fixed"/>
        <w:tblCellMar>
          <w:top w:w="60" w:type="dxa"/>
          <w:start w:w="90" w:type="dxa"/>
          <w:bottom w:w="60" w:type="dxa"/>
          <w:end w:w="90" w:type="dxa"/>
        </w:tblCellMar>
      </w:tblPr>
      <w:tblGrid>
        <w:gridCol w:w="2900"/>
        <w:gridCol w:w="6737"/>
      </w:tblGrid>
      <w:tr>
        <w:trPr>
          <w:tblHeader w:val="true"/>
        </w:trPr>
        <w:tc>
          <w:tcPr>
            <w:tcW w:w="2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Quy tắc</w:t>
            </w:r>
          </w:p>
        </w:tc>
        <w:tc>
          <w:tcPr>
            <w:tcW w:w="67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Chi tiết</w:t>
            </w:r>
          </w:p>
        </w:tc>
      </w:tr>
      <w:tr>
        <w:trPr/>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Khoá chính</w:t>
            </w:r>
          </w:p>
        </w:tc>
        <w:tc>
          <w:tcPr>
            <w:tcW w:w="6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UUID cho mọi aggregate/entity chính</w:t>
            </w:r>
          </w:p>
        </w:tc>
      </w:tr>
      <w:tr>
        <w:trPr/>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Tham chiếu cross-service</w:t>
            </w:r>
          </w:p>
        </w:tc>
        <w:tc>
          <w:tcPr>
            <w:tcW w:w="6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Plain UUID, KHÔNG REFERENCES cross-database; integrity giữ ở application layer</w:t>
            </w:r>
          </w:p>
        </w:tc>
      </w:tr>
      <w:tr>
        <w:trPr/>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Tiền tệ</w:t>
            </w:r>
          </w:p>
        </w:tc>
        <w:tc>
          <w:tcPr>
            <w:tcW w:w="6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DECIMAL(15,2), đơn vị VNĐ; số dư luôn derive từ ledger, không lưu sẵn</w:t>
            </w:r>
          </w:p>
        </w:tc>
      </w:tr>
      <w:tr>
        <w:trPr/>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Bảng append-only</w:t>
            </w:r>
          </w:p>
        </w:tc>
        <w:tc>
          <w:tcPr>
            <w:tcW w:w="6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ledger_entry, audit_record, audit_anchor, lock_entry, lock_override_event, price_history, negotiation/domain events — chỉ INSERT/SELECT, không UPDATE/DELETE</w:t>
            </w:r>
          </w:p>
        </w:tc>
      </w:tr>
      <w:tr>
        <w:trPr/>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Cột audit</w:t>
            </w:r>
          </w:p>
        </w:tc>
        <w:tc>
          <w:tcPr>
            <w:tcW w:w="6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created_at bắt buộc; updated_at chỉ ở entity mutable</w:t>
            </w:r>
          </w:p>
        </w:tc>
      </w:tr>
      <w:tr>
        <w:trPr/>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Dữ liệu không gian</w:t>
            </w:r>
          </w:p>
        </w:tc>
        <w:tc>
          <w:tcPr>
            <w:tcW w:w="6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GEOMETRY, SRID 4326; validate hình học qua JTS ở tầng ứng dụng</w:t>
            </w:r>
          </w:p>
        </w:tc>
      </w:tr>
      <w:tr>
        <w:trPr/>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Snapshot bất biến</w:t>
            </w:r>
          </w:p>
        </w:tc>
        <w:tc>
          <w:tcPr>
            <w:tcW w:w="6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ContractTerms, milestoneSchedule, ProductPlot, level2InspectorOrg snapshot lúc tạo/ký — không đổi theo nguồn gốc sau này</w:t>
            </w:r>
          </w:p>
        </w:tc>
      </w:tr>
      <w:tr>
        <w:trPr/>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Đặt tên</w:t>
            </w:r>
          </w:p>
        </w:tc>
        <w:tc>
          <w:tcPr>
            <w:tcW w:w="6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snake_case cho bảng/cột (DB), camelCase cho domain (Java)</w:t>
            </w:r>
          </w:p>
        </w:tc>
      </w:tr>
    </w:tbl>
    <w:p>
      <w:pPr>
        <w:pStyle w:val="Heading3"/>
        <w:spacing w:before="240" w:after="80"/>
        <w:rPr/>
      </w:pPr>
      <w:bookmarkStart w:id="15" w:name="__RefHeading___Toc5516_AgriContract"/>
      <w:bookmarkEnd w:id="15"/>
      <w:r>
        <w:rPr>
          <w:rFonts w:eastAsia="Calibri" w:cs="Calibri" w:ascii="Calibri" w:hAnsi="Calibri"/>
          <w:b/>
          <w:bCs/>
          <w:color w:val="1F2A37"/>
          <w:sz w:val="22"/>
          <w:szCs w:val="22"/>
        </w:rPr>
        <w:t>3.4 Xử lý lỗi và trạng thái HTTP</w:t>
      </w:r>
    </w:p>
    <w:p>
      <w:pPr>
        <w:pStyle w:val="Normal"/>
        <w:spacing w:lineRule="auto" w:line="276" w:before="0" w:after="120"/>
        <w:jc w:val="both"/>
        <w:rPr/>
      </w:pPr>
      <w:r>
        <w:rPr>
          <w:rFonts w:eastAsia="Calibri" w:cs="Calibri"/>
          <w:b w:val="false"/>
          <w:bCs w:val="false"/>
          <w:i w:val="false"/>
          <w:iCs w:val="false"/>
          <w:color w:val="111827"/>
          <w:sz w:val="21"/>
          <w:szCs w:val="21"/>
        </w:rPr>
        <w:t>Mã lỗi nghiệp vụ (code) tách khỏi HTTP status: status cho tầng vận chuyển, code cho tầng nghiệp vụ để client xử lý chính xác. Ánh xạ chuẩn:</w:t>
      </w:r>
    </w:p>
    <w:tbl>
      <w:tblPr>
        <w:tblW w:w="9638" w:type="dxa"/>
        <w:jc w:val="start"/>
        <w:tblInd w:w="0" w:type="dxa"/>
        <w:tblLayout w:type="fixed"/>
        <w:tblCellMar>
          <w:top w:w="60" w:type="dxa"/>
          <w:start w:w="90" w:type="dxa"/>
          <w:bottom w:w="60" w:type="dxa"/>
          <w:end w:w="90" w:type="dxa"/>
        </w:tblCellMar>
      </w:tblPr>
      <w:tblGrid>
        <w:gridCol w:w="1999"/>
        <w:gridCol w:w="3001"/>
        <w:gridCol w:w="4638"/>
      </w:tblGrid>
      <w:tr>
        <w:trPr>
          <w:tblHeader w:val="true"/>
        </w:trPr>
        <w:tc>
          <w:tcPr>
            <w:tcW w:w="19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HTTP</w:t>
            </w:r>
          </w:p>
        </w:tc>
        <w:tc>
          <w:tcPr>
            <w:tcW w:w="30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Ý nghĩa</w:t>
            </w:r>
          </w:p>
        </w:tc>
        <w:tc>
          <w:tcPr>
            <w:tcW w:w="46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Ví dụ tình huống</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400</w:t>
            </w:r>
          </w:p>
        </w:tc>
        <w:tc>
          <w:tcPr>
            <w:tcW w:w="30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Bad Request — dữ liệu vào không hợp lệ</w:t>
            </w:r>
          </w:p>
        </w:tc>
        <w:tc>
          <w:tcPr>
            <w:tcW w:w="4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geoJson sai hình học (JTS .isValid() fail)</w:t>
            </w:r>
          </w:p>
        </w:tc>
      </w:tr>
      <w:tr>
        <w:trPr/>
        <w:tc>
          <w:tcPr>
            <w:tcW w:w="1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8"/>
                <w:szCs w:val="18"/>
              </w:rPr>
              <w:t>401 / 403</w:t>
            </w:r>
          </w:p>
        </w:tc>
        <w:tc>
          <w:tcPr>
            <w:tcW w:w="30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Chưa xác thực / không đủ quyền</w:t>
            </w:r>
          </w:p>
        </w:tc>
        <w:tc>
          <w:tcPr>
            <w:tcW w:w="4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SELLER gọi endpoint chỉ dành cho ADMIN</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404</w:t>
            </w:r>
          </w:p>
        </w:tc>
        <w:tc>
          <w:tcPr>
            <w:tcW w:w="30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Không tìm thấy tài nguyên</w:t>
            </w:r>
          </w:p>
        </w:tc>
        <w:tc>
          <w:tcPr>
            <w:tcW w:w="4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contractId không tồn tại</w:t>
            </w:r>
          </w:p>
        </w:tc>
      </w:tr>
      <w:tr>
        <w:trPr/>
        <w:tc>
          <w:tcPr>
            <w:tcW w:w="1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8"/>
                <w:szCs w:val="18"/>
              </w:rPr>
              <w:t>409</w:t>
            </w:r>
          </w:p>
        </w:tc>
        <w:tc>
          <w:tcPr>
            <w:tcW w:w="30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Conflict — vi phạm ràng buộc trạng thái/optimistic lock</w:t>
            </w:r>
          </w:p>
        </w:tc>
        <w:tc>
          <w:tcPr>
            <w:tcW w:w="4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Ký hợp đồng đã SIGNED; version mismatch</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422</w:t>
            </w:r>
          </w:p>
        </w:tc>
        <w:tc>
          <w:tcPr>
            <w:tcW w:w="30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Không xử lý được về mặt nghiệp vụ</w:t>
            </w:r>
          </w:p>
        </w:tc>
        <w:tc>
          <w:tcPr>
            <w:tcW w:w="4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Cancel milestone đã SETTLED</w:t>
            </w:r>
          </w:p>
        </w:tc>
      </w:tr>
      <w:tr>
        <w:trPr/>
        <w:tc>
          <w:tcPr>
            <w:tcW w:w="1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8"/>
                <w:szCs w:val="18"/>
              </w:rPr>
              <w:t>500</w:t>
            </w:r>
          </w:p>
        </w:tc>
        <w:tc>
          <w:tcPr>
            <w:tcW w:w="30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Lỗi hệ thống nội bộ</w:t>
            </w:r>
          </w:p>
        </w:tc>
        <w:tc>
          <w:tcPr>
            <w:tcW w:w="4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Unhandled exception không thuộc lỗi nghiệp vụ</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503</w:t>
            </w:r>
          </w:p>
        </w:tc>
        <w:tc>
          <w:tcPr>
            <w:tcW w:w="30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Service Unavailable</w:t>
            </w:r>
          </w:p>
        </w:tc>
        <w:tc>
          <w:tcPr>
            <w:tcW w:w="46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Dependency bắt buộc (KYC/lock/provider OTP) không sẵn sàng; fail-closed</w:t>
            </w:r>
          </w:p>
        </w:tc>
      </w:tr>
      <w:tr>
        <w:trPr/>
        <w:tc>
          <w:tcPr>
            <w:tcW w:w="1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8"/>
                <w:szCs w:val="18"/>
              </w:rPr>
              <w:t>504</w:t>
            </w:r>
          </w:p>
        </w:tc>
        <w:tc>
          <w:tcPr>
            <w:tcW w:w="30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Gateway Timeout</w:t>
            </w:r>
          </w:p>
        </w:tc>
        <w:tc>
          <w:tcPr>
            <w:tcW w:w="46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Downstream vượt timeout định tuyến</w:t>
            </w:r>
          </w:p>
        </w:tc>
      </w:tr>
    </w:tbl>
    <w:p>
      <w:pPr>
        <w:pStyle w:val="Heading3"/>
        <w:spacing w:before="240" w:after="80"/>
        <w:rPr/>
      </w:pPr>
      <w:bookmarkStart w:id="16" w:name="__RefHeading___Toc5518_AgriContract"/>
      <w:bookmarkEnd w:id="16"/>
      <w:r>
        <w:rPr>
          <w:rFonts w:eastAsia="Calibri" w:cs="Calibri" w:ascii="Calibri" w:hAnsi="Calibri"/>
          <w:b/>
          <w:bCs/>
          <w:color w:val="1F2A37"/>
          <w:sz w:val="22"/>
          <w:szCs w:val="22"/>
        </w:rPr>
        <w:t>3.5 Bảo mật xuyên suốt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Xác thực tập trung: </w:t>
      </w:r>
      <w:r>
        <w:rPr>
          <w:rFonts w:eastAsia="Calibri" w:cs="Calibri"/>
          <w:b w:val="false"/>
          <w:bCs w:val="false"/>
          <w:i w:val="false"/>
          <w:iCs w:val="false"/>
          <w:color w:val="111827"/>
          <w:sz w:val="21"/>
          <w:szCs w:val="21"/>
        </w:rPr>
        <w:t>Keycloak cấp JWT RS256; Gateway validate qua JWKS, strip/overwrite identity headers, inject correlation ID + gateway secret; downstream chỉ tin context đi qua ranh giới này.</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Phân quyền theo vai trò: </w:t>
      </w:r>
      <w:r>
        <w:rPr>
          <w:rFonts w:eastAsia="Calibri" w:cs="Calibri"/>
          <w:b w:val="false"/>
          <w:bCs w:val="false"/>
          <w:i w:val="false"/>
          <w:iCs w:val="false"/>
          <w:color w:val="111827"/>
          <w:sz w:val="21"/>
          <w:szCs w:val="21"/>
        </w:rPr>
        <w:t>RBAC ở từng dịch vụ; ngoài role còn kiểm tra ownership (vd chỉ buyer của hợp đồng mới confirm được).</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Ranh giới nội bộ: </w:t>
      </w:r>
      <w:r>
        <w:rPr>
          <w:rFonts w:eastAsia="Calibri" w:cs="Calibri"/>
          <w:b w:val="false"/>
          <w:bCs w:val="false"/>
          <w:i w:val="false"/>
          <w:iCs w:val="false"/>
          <w:color w:val="111827"/>
          <w:sz w:val="21"/>
          <w:szCs w:val="21"/>
        </w:rPr>
        <w:t>giao tiếp service-to-service siết bằng service secret/mTLS; downstream chỉ tin identity headers khi X-Gateway-Secret hợp lệ.</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Bảo toàn dữ liệu nhạy cảm: </w:t>
      </w:r>
      <w:r>
        <w:rPr>
          <w:rFonts w:eastAsia="Calibri" w:cs="Calibri"/>
          <w:b w:val="false"/>
          <w:bCs w:val="false"/>
          <w:i w:val="false"/>
          <w:iCs w:val="false"/>
          <w:color w:val="111827"/>
          <w:sz w:val="21"/>
          <w:szCs w:val="21"/>
        </w:rPr>
        <w:t>không log số dư/giao dịch; audit trail bất biến làm evidence khi điều tra.</w:t>
      </w:r>
    </w:p>
    <w:p>
      <w:pPr>
        <w:pStyle w:val="Normal"/>
        <w:spacing w:lineRule="auto" w:line="276" w:before="0" w:after="120"/>
        <w:jc w:val="both"/>
        <w:rPr/>
      </w:pPr>
      <w:r>
        <w:rPr>
          <w:rFonts w:eastAsia="Calibri" w:cs="Calibri"/>
          <w:b w:val="false"/>
          <w:bCs w:val="false"/>
          <w:i w:val="false"/>
          <w:iCs w:val="false"/>
          <w:color w:val="111827"/>
          <w:sz w:val="21"/>
          <w:szCs w:val="21"/>
        </w:rPr>
        <w:t>Route policy Gateway: public chỉ GET catalog/listing, price và GET security/audit-hash được liệt kê exact method/path; reputation public-summary là authenticated. Daily admin paths cho ADMIN|OPERATOR; reputation propose cho ADMIN|OPERATOR nhưng approve/reject, security, audit và analytics admin chỉ ADMIN; /api/v1/inspector/** gate INSPECTOR; /internal/** và notification API không có external route. Emergency lock/unlock dùng chữ ký External Verifier, không có Admin bypass. Gateway không enforce ownership/KYC/reputation lock — các quyết định đó thuộc domain service.</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Nghị định 52/2024/NĐ-CP, Điều 8 Khoản 4. </w:t>
      </w:r>
      <w:r>
        <w:rPr>
          <w:rFonts w:eastAsia="Calibri" w:cs="Calibri"/>
          <w:color w:val="374151"/>
          <w:sz w:val="20"/>
          <w:szCs w:val="20"/>
        </w:rPr>
        <w:t>Nghiêm cấm tiết lộ thông tin số dư và giao dịch của khách hàng. RBAC + không-log-nhạy-cảm + mTLS là biện pháp kỹ thuật đáp ứng yêu cầu này.</w:t>
      </w:r>
    </w:p>
    <w:p>
      <w:pPr>
        <w:pStyle w:val="Heading3"/>
        <w:spacing w:before="240" w:after="80"/>
        <w:rPr/>
      </w:pPr>
      <w:bookmarkStart w:id="17" w:name="__RefHeading___Toc5520_AgriContract"/>
      <w:bookmarkEnd w:id="17"/>
      <w:r>
        <w:rPr>
          <w:rFonts w:eastAsia="Calibri" w:cs="Calibri" w:ascii="Calibri" w:hAnsi="Calibri"/>
          <w:b/>
          <w:bCs/>
          <w:color w:val="1F2A37"/>
          <w:sz w:val="22"/>
          <w:szCs w:val="22"/>
        </w:rPr>
        <w:t>3.6 Quản trị dữ liệu, maker-checker và trust boundary</w:t>
      </w:r>
    </w:p>
    <w:p>
      <w:pPr>
        <w:pStyle w:val="Normal"/>
        <w:spacing w:lineRule="auto" w:line="276" w:before="0" w:after="120"/>
        <w:jc w:val="both"/>
        <w:rPr/>
      </w:pPr>
      <w:r>
        <w:rPr>
          <w:rFonts w:eastAsia="Calibri" w:cs="Calibri"/>
          <w:b w:val="false"/>
          <w:bCs w:val="false"/>
          <w:i w:val="false"/>
          <w:iCs w:val="false"/>
          <w:color w:val="111827"/>
          <w:sz w:val="21"/>
          <w:szCs w:val="21"/>
        </w:rPr>
        <w:t>Không tạo governance-service. Mỗi domain service chịu trách nhiệm policy trên dữ liệu mình sở hữu; audit-service là writer duy nhất của audit DB và bank-service là source of truth duy nhất cho tiền. Threat model gồm cả hạ tầng Admin độc hại: protected branch/CI approval, image digest pin, secret không bake vào image, quyền DB tối thiểu và External Verifier + OTS là các lớp giảm thiểu; prototype không tuyên bố chống được khi CI, runtime, DB và key policy cùng bị compromise.</w:t>
      </w:r>
    </w:p>
    <w:tbl>
      <w:tblPr>
        <w:tblW w:w="9638" w:type="dxa"/>
        <w:jc w:val="start"/>
        <w:tblInd w:w="0" w:type="dxa"/>
        <w:tblLayout w:type="fixed"/>
        <w:tblCellMar>
          <w:top w:w="60" w:type="dxa"/>
          <w:start w:w="90" w:type="dxa"/>
          <w:bottom w:w="60" w:type="dxa"/>
          <w:end w:w="90" w:type="dxa"/>
        </w:tblCellMar>
      </w:tblPr>
      <w:tblGrid>
        <w:gridCol w:w="2600"/>
        <w:gridCol w:w="3099"/>
        <w:gridCol w:w="3939"/>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w:t>
            </w:r>
          </w:p>
        </w:tc>
        <w:tc>
          <w:tcPr>
            <w:tcW w:w="30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Maker</w:t>
            </w:r>
          </w:p>
        </w:tc>
        <w:tc>
          <w:tcPr>
            <w:tcW w:w="39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Checker / invariant</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Mở khoá sớm</w:t>
            </w:r>
          </w:p>
        </w:tc>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OPERATOR hoặc ADMIN propose</w:t>
            </w:r>
          </w:p>
        </w:tc>
        <w:tc>
          <w:tcPr>
            <w:tcW w:w="39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ADMIN approve/reject; approvedBy ≠ proposedBy; ghi governance_action_request + lock_override_event</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Clear ELEVATED_RISK</w:t>
            </w:r>
          </w:p>
        </w:tc>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OPERATOR hoặc ADMIN propose</w:t>
            </w:r>
          </w:p>
        </w:tc>
        <w:tc>
          <w:tcPr>
            <w:tcW w:w="39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ADMIN approve/reject; approvedBy ≠ proposedBy; publish override event cho audit</w:t>
            </w:r>
          </w:p>
        </w:tc>
      </w:tr>
    </w:tbl>
    <w:p>
      <w:pPr>
        <w:pStyle w:val="Heading3"/>
        <w:spacing w:before="240" w:after="80"/>
        <w:rPr/>
      </w:pPr>
      <w:bookmarkStart w:id="18" w:name="__RefHeading___Toc5522_AgriContract"/>
      <w:bookmarkEnd w:id="18"/>
      <w:r>
        <w:rPr>
          <w:rFonts w:eastAsia="Calibri" w:cs="Calibri" w:ascii="Calibri" w:hAnsi="Calibri"/>
          <w:b/>
          <w:bCs/>
          <w:color w:val="1F2A37"/>
          <w:sz w:val="22"/>
          <w:szCs w:val="22"/>
        </w:rPr>
        <w:t>3.7 Retention, legal hold và deletion workflow</w:t>
      </w:r>
    </w:p>
    <w:p>
      <w:pPr>
        <w:pStyle w:val="Normal"/>
        <w:spacing w:lineRule="auto" w:line="276" w:before="0" w:after="120"/>
        <w:jc w:val="both"/>
        <w:rPr/>
      </w:pPr>
      <w:r>
        <w:rPr>
          <w:rFonts w:eastAsia="Calibri" w:cs="Calibri"/>
          <w:b w:val="false"/>
          <w:bCs w:val="false"/>
          <w:i w:val="false"/>
          <w:iCs w:val="false"/>
          <w:color w:val="111827"/>
          <w:sz w:val="21"/>
          <w:szCs w:val="21"/>
        </w:rPr>
        <w:t>Retention matrix thuộc data governance: hợp đồng/ledger/audit 10 năm; KYC 5 năm sau khi quan hệ chấm dứt; evidence EUDR ít nhất 5 năm; domain giữ file lâu nhất thắng. legalHold do ADMIN đặt và chặn mọi xoá. File deletion hai bước idempotent: tombstone deletedAt/deletionReason trước, xoá blob MinIO sau; lifecycle job của owning service gọi DeleteFile. Audit content tối giản, không chứa PII để source record vẫn có thể xoá/anonymize theo workflow.</w:t>
      </w:r>
    </w:p>
    <w:p>
      <w:pPr>
        <w:pStyle w:val="Heading2"/>
        <w:pBdr>
          <w:bottom w:val="single" w:sz="6" w:space="6" w:color="D1D5DB"/>
        </w:pBdr>
        <w:spacing w:before="320" w:after="120"/>
        <w:rPr/>
      </w:pPr>
      <w:bookmarkStart w:id="19" w:name="__RefHeading___Toc5524_AgriContract"/>
      <w:bookmarkEnd w:id="19"/>
      <w:r>
        <w:rPr>
          <w:rFonts w:eastAsia="Calibri" w:cs="Calibri" w:ascii="Calibri" w:hAnsi="Calibri"/>
          <w:b/>
          <w:bCs/>
          <w:color w:val="1F2A37"/>
          <w:sz w:val="25"/>
          <w:szCs w:val="25"/>
        </w:rPr>
        <w:t>4. Mô hình dữ liệu tổng thể</w:t>
      </w:r>
    </w:p>
    <w:p>
      <w:pPr>
        <w:pStyle w:val="Normal"/>
        <w:spacing w:lineRule="auto" w:line="276" w:before="0" w:after="120"/>
        <w:jc w:val="both"/>
        <w:rPr/>
      </w:pPr>
      <w:r>
        <w:rPr>
          <w:rFonts w:eastAsia="Calibri" w:cs="Calibri"/>
          <w:b w:val="false"/>
          <w:bCs w:val="false"/>
          <w:i w:val="false"/>
          <w:iCs w:val="false"/>
          <w:color w:val="111827"/>
          <w:sz w:val="21"/>
          <w:szCs w:val="21"/>
        </w:rPr>
        <w:t>Vì mỗi dịch vụ sở hữu DB riêng, không tồn tại một ERD toàn cục với khoá ngoại xuyên dịch vụ. Thay vào đó, mô hình dữ liệu tổng thể là một bản đồ tham chiếu cross-service: aggregate nào thuộc dịch vụ nào, và tham chiếu ra ngoài bằng plain UUID tới aggregate nào. Lược đồ bảng chi tiết của từng dịch vụ nằm ở các phần SDS kế tiếp.</w:t>
      </w:r>
    </w:p>
    <w:tbl>
      <w:tblPr>
        <w:tblW w:w="9638" w:type="dxa"/>
        <w:jc w:val="start"/>
        <w:tblInd w:w="0" w:type="dxa"/>
        <w:tblLayout w:type="fixed"/>
        <w:tblCellMar>
          <w:top w:w="60" w:type="dxa"/>
          <w:start w:w="90" w:type="dxa"/>
          <w:bottom w:w="60" w:type="dxa"/>
          <w:end w:w="90" w:type="dxa"/>
        </w:tblCellMar>
      </w:tblPr>
      <w:tblGrid>
        <w:gridCol w:w="2600"/>
        <w:gridCol w:w="2100"/>
        <w:gridCol w:w="4938"/>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Aggregate / Bảng</w:t>
            </w:r>
          </w:p>
        </w:tc>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 sở hữu</w:t>
            </w:r>
          </w:p>
        </w:tc>
        <w:tc>
          <w:tcPr>
            <w:tcW w:w="49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Tham chiếu ra ngoài (plain UUID)</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UserProfile</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Keycloak sub (nội bộ Keycloak)</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Product, Listing, PlotRegistryEntry, ProductPlot</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product-service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sellerId → user; originalKmlFileId, cadastralExtractFileId → file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 Milestone, Signature, SignatureOtp</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buyerId/sellerId → user; listingId → product; evidenceFileId → file; signature chỉ BUYER/SELLER; OTP bind user/contract/role/terms hash</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EscrowAccount, EscrowMilestone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contractId → contract; milestoneId → contract.milestone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LedgerEntry</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contractId, milestoneId, userId; sourceEventId (idempotency)</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InspectionReport, InspectorSignature, Level2Commission</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inspection-service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contractId, milestoneId; signerUserId → user; reportFileId → file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LockEntry, LockOverrideEvent, GovernanceActionRequest, PairRiskState</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reputation-service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userId/pair → user; contractId; sourceEventId</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uploadedBy; retentionUntil; legalHold; tombstone deletedAt/deletionReason</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PriceQuote</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pricing-service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 xml:space="preserve">— </w:t>
            </w:r>
            <w:r>
              <w:rPr>
                <w:rFonts w:eastAsia="Calibri" w:cs="Calibri"/>
                <w:b w:val="false"/>
                <w:bCs w:val="false"/>
                <w:color w:val="111827"/>
                <w:sz w:val="17"/>
                <w:szCs w:val="17"/>
              </w:rPr>
              <w:t>(không tham chiếu cross-service)</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AuditRecord, AuditAnchor</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subjectType/subjectId; sourceEventType; sourceHash; canonical recordHash; prevHashSubject</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NotificationLog</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c>
          <w:tcPr>
            <w:tcW w:w="49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eventId; recipient userId/email; notificationType; templateVersion</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dim_contract, fact_*, agg_*</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analytics-service</w:t>
            </w:r>
          </w:p>
        </w:tc>
        <w:tc>
          <w:tcPr>
            <w:tcW w:w="49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contractId (denormalized từ event)</w:t>
            </w:r>
          </w:p>
        </w:tc>
      </w:tr>
    </w:tbl>
    <w:p>
      <w:pPr>
        <w:pStyle w:val="Normal"/>
        <w:spacing w:lineRule="auto" w:line="276" w:before="0" w:after="120"/>
        <w:jc w:val="both"/>
        <w:rPr/>
      </w:pPr>
      <w:r>
        <w:rPr>
          <w:rFonts w:eastAsia="Calibri" w:cs="Calibri"/>
          <w:b/>
          <w:bCs/>
          <w:i w:val="false"/>
          <w:iCs w:val="false"/>
          <w:color w:val="111827"/>
          <w:sz w:val="21"/>
          <w:szCs w:val="21"/>
        </w:rPr>
        <w:t xml:space="preserve">Nguyên tắc bảo toàn integrity không có FK cross-DB: </w:t>
      </w:r>
      <w:r>
        <w:rPr>
          <w:rFonts w:eastAsia="Calibri" w:cs="Calibri"/>
          <w:b w:val="false"/>
          <w:bCs w:val="false"/>
          <w:i w:val="false"/>
          <w:iCs w:val="false"/>
          <w:color w:val="111827"/>
          <w:sz w:val="21"/>
          <w:szCs w:val="21"/>
        </w:rPr>
        <w:t>mỗi tham chiếu được xác thực ở tầng use-case của dịch vụ sở hữu (vd escrow-service kiểm tra contractId tồn tại qua event đã nhận, không JOIN sang contract_db). Dữ liệu cần cho hiển thị/nghiệp vụ được đưa qua event payload hoặc denormalize lúc tạo bản ghi, không truy vấn chéo DB.</w:t>
      </w:r>
    </w:p>
    <w:p>
      <w:pPr>
        <w:pStyle w:val="Heading2"/>
        <w:pBdr>
          <w:bottom w:val="single" w:sz="6" w:space="6" w:color="D1D5DB"/>
        </w:pBdr>
        <w:spacing w:before="320" w:after="120"/>
        <w:rPr/>
      </w:pPr>
      <w:bookmarkStart w:id="20" w:name="__RefHeading___Toc5526_AgriContract"/>
      <w:bookmarkEnd w:id="20"/>
      <w:r>
        <w:rPr>
          <w:rFonts w:eastAsia="Calibri" w:cs="Calibri" w:ascii="Calibri" w:hAnsi="Calibri"/>
          <w:b/>
          <w:bCs/>
          <w:color w:val="1F2A37"/>
          <w:sz w:val="25"/>
          <w:szCs w:val="25"/>
        </w:rPr>
        <w:t>5. Yêu cầu phi chức năng</w:t>
      </w:r>
    </w:p>
    <w:p>
      <w:pPr>
        <w:pStyle w:val="Normal"/>
        <w:spacing w:lineRule="auto" w:line="276" w:before="0" w:after="120"/>
        <w:jc w:val="both"/>
        <w:rPr/>
      </w:pPr>
      <w:r>
        <w:rPr>
          <w:rFonts w:eastAsia="Calibri" w:cs="Calibri"/>
          <w:b w:val="false"/>
          <w:bCs w:val="false"/>
          <w:i w:val="false"/>
          <w:iCs w:val="false"/>
          <w:color w:val="111827"/>
          <w:sz w:val="21"/>
          <w:szCs w:val="21"/>
        </w:rPr>
        <w:t>Khôi phục sau sự cố: backup MySQL hằng ngày; bank/audit dùng binlog để đạt RPO mục tiêu ≤15 phút; MinIO mirror/versioning. Sau restore phải chạy VerifyChainJob và LedgerAuditReconciliationJob pass trước khi mở traffic; maintenance mode đặt tại Gateway/deployment, không lạm dụng system_lock ngân hàng.</w:t>
      </w:r>
    </w:p>
    <w:tbl>
      <w:tblPr>
        <w:tblW w:w="9638" w:type="dxa"/>
        <w:jc w:val="start"/>
        <w:tblInd w:w="0" w:type="dxa"/>
        <w:tblLayout w:type="fixed"/>
        <w:tblCellMar>
          <w:top w:w="60" w:type="dxa"/>
          <w:start w:w="90" w:type="dxa"/>
          <w:bottom w:w="60" w:type="dxa"/>
          <w:end w:w="90" w:type="dxa"/>
        </w:tblCellMar>
      </w:tblPr>
      <w:tblGrid>
        <w:gridCol w:w="2500"/>
        <w:gridCol w:w="7137"/>
      </w:tblGrid>
      <w:tr>
        <w:trPr>
          <w:tblHeader w:val="true"/>
        </w:trPr>
        <w:tc>
          <w:tcPr>
            <w:tcW w:w="25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Nhóm</w:t>
            </w:r>
          </w:p>
        </w:tc>
        <w:tc>
          <w:tcPr>
            <w:tcW w:w="71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Yêu cầu &amp; cơ chế đáp ứng</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Tính đúng đắn giao dịch</w:t>
            </w:r>
          </w:p>
        </w:tc>
        <w:tc>
          <w:tcPr>
            <w:tcW w:w="71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Nhất quán mạnh trong phạm vi một dịch vụ (DB transaction + optimistic lock @Version); nhất quán cuối (eventual) giữa các dịch vụ qua Outbox + idempotency. Đường tiền tệ không dùng eventual consistency mà đợi confirmation event</w:t>
            </w:r>
          </w:p>
        </w:tc>
      </w:tr>
      <w:tr>
        <w:trPr/>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Khả năng kiểm toán &amp; tuân thủ</w:t>
            </w:r>
          </w:p>
        </w:tc>
        <w:tc>
          <w:tcPr>
            <w:tcW w:w="71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AuditRecord/AuditAnchor append-only, sourceHash tách recordHash, neo email + OTS; retention theo ma trận + legal hold; xuất gói bằng chứng DDS-supporting PDF/CSV</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Bảo mật</w:t>
            </w:r>
          </w:p>
        </w:tc>
        <w:tc>
          <w:tcPr>
            <w:tcW w:w="71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Keycloak RBAC + ownership check; JWT RS256; X-Internal-Secret → mTLS; không log dữ liệu nhạy cảm; hash chống sửa DB</w:t>
            </w:r>
          </w:p>
        </w:tc>
      </w:tr>
      <w:tr>
        <w:trPr/>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Khả năng mở rộng</w:t>
            </w:r>
          </w:p>
        </w:tc>
        <w:tc>
          <w:tcPr>
            <w:tcW w:w="71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Stateless service phía sau Gateway; database-per-service cho phép scale độc lập; RabbitMQ tách tải async khỏi request đồng bộ</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Tính sẵn sàng &amp; chịu lỗi</w:t>
            </w:r>
          </w:p>
        </w:tc>
        <w:tc>
          <w:tcPr>
            <w:tcW w:w="71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Circuit breaker (Resilience4j) trên Feign; retry + DLX cho message; job nền (scheduler) tự sống sót qua lỗi, không kéo sập</w:t>
            </w:r>
          </w:p>
        </w:tc>
      </w:tr>
      <w:tr>
        <w:trPr/>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Hiệu năng đọc</w:t>
            </w:r>
          </w:p>
        </w:tc>
        <w:tc>
          <w:tcPr>
            <w:tcW w:w="71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CQRS read model (analytics) + pre-compute @Scheduled; Redis cache cho giá tham chiếu; tránh query tổng hợp nặng real-time</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Khả năng bảo trì</w:t>
            </w:r>
          </w:p>
        </w:tc>
        <w:tc>
          <w:tcPr>
            <w:tcW w:w="71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DDD rich model, ranh giới dịch vụ rõ; chuẩn API/event/dữ liệu thống nhất; Flyway migration versioned per-service</w:t>
            </w:r>
          </w:p>
        </w:tc>
      </w:tr>
      <w:tr>
        <w:trPr/>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Khả năng quan sát (observability)</w:t>
            </w:r>
          </w:p>
        </w:tc>
        <w:tc>
          <w:tcPr>
            <w:tcW w:w="71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Correlation/trace id xuyên request; Micrometer Tracing với OpenTelemetry hoặc Brave, export sang Zipkin/OTLP; ELK cho log; Prometheus + Grafana cho metrics</w:t>
            </w:r>
          </w:p>
        </w:tc>
      </w:tr>
    </w:tbl>
    <w:p>
      <w:pPr>
        <w:pStyle w:val="Heading2"/>
        <w:pBdr>
          <w:bottom w:val="single" w:sz="6" w:space="6" w:color="D1D5DB"/>
        </w:pBdr>
        <w:spacing w:before="320" w:after="120"/>
        <w:rPr/>
      </w:pPr>
      <w:bookmarkStart w:id="21" w:name="__RefHeading___Toc5528_AgriContract"/>
      <w:bookmarkEnd w:id="21"/>
      <w:r>
        <w:rPr>
          <w:rFonts w:eastAsia="Calibri" w:cs="Calibri" w:ascii="Calibri" w:hAnsi="Calibri"/>
          <w:b/>
          <w:bCs/>
          <w:color w:val="1F2A37"/>
          <w:sz w:val="25"/>
          <w:szCs w:val="25"/>
        </w:rPr>
        <w:t>6. Cách đọc các phần tiếp theo</w:t>
      </w:r>
    </w:p>
    <w:p>
      <w:pPr>
        <w:pStyle w:val="Normal"/>
        <w:spacing w:lineRule="auto" w:line="276" w:before="0" w:after="120"/>
        <w:jc w:val="both"/>
        <w:rPr/>
      </w:pPr>
      <w:r>
        <w:rPr>
          <w:rFonts w:eastAsia="Calibri" w:cs="Calibri"/>
          <w:b w:val="false"/>
          <w:bCs w:val="false"/>
          <w:i w:val="false"/>
          <w:iCs w:val="false"/>
          <w:color w:val="111827"/>
          <w:sz w:val="21"/>
          <w:szCs w:val="21"/>
        </w:rPr>
        <w:t>Phần 1 đặt nền tảng và chuẩn chung; các nội dung dưới đây được đặc tả tại các phần 2–5 ngay sau phần này:</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Use case chi tiết và sơ đồ trình tự (sequence) cho từng luồng nghiệp vụ của mỗi dịch vụ.</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Đặc tả API mức endpoint (request/response schema, mã lỗi cụ thể) cho từng dịch vụ.</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Lược đồ dữ liệu mức bảng (DDL đầy đủ, index, ràng buộc) cho từng dịch vụ.</w:t>
      </w:r>
    </w:p>
    <w:p>
      <w:pPr>
        <w:pStyle w:val="ListParagraph"/>
        <w:numPr>
          <w:ilvl w:val="0"/>
          <w:numId w:val="1"/>
        </w:numPr>
        <w:spacing w:lineRule="auto" w:line="276" w:before="0" w:after="60"/>
        <w:rPr/>
      </w:pPr>
      <w:r>
        <w:rPr>
          <w:rFonts w:eastAsia="Calibri" w:cs="Calibri"/>
          <w:b w:val="false"/>
          <w:bCs w:val="false"/>
          <w:i w:val="false"/>
          <w:iCs w:val="false"/>
          <w:color w:val="111827"/>
          <w:sz w:val="21"/>
          <w:szCs w:val="21"/>
        </w:rPr>
        <w:t>Chi tiết cấu hình theo môi trường (application.yml) và các tham số có thể chỉnh (thresholds, windows, rates).</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Ghi chú. </w:t>
      </w:r>
      <w:r>
        <w:rPr>
          <w:rFonts w:eastAsia="Calibri" w:cs="Calibri"/>
          <w:color w:val="374151"/>
          <w:sz w:val="20"/>
          <w:szCs w:val="20"/>
        </w:rPr>
        <w:t>Các giả định mô phỏng (bank-service, tiếp nhận report Level 2) và các giới hạn cần xác nhận nghiệp vụ được đánh dấu rõ tại phần dịch vụ tương ứng; các quyết định đã đóng không được liệt kê lại như điểm treo.</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22" w:name="__RefHeading___Toc5530_AgriContract"/>
      <w:bookmarkEnd w:id="22"/>
      <w:r>
        <w:rPr>
          <w:rFonts w:eastAsia="Calibri" w:cs="Calibri" w:ascii="Calibri" w:hAnsi="Calibri"/>
          <w:b/>
          <w:bCs/>
          <w:color w:val="1F2A37"/>
          <w:sz w:val="40"/>
          <w:szCs w:val="40"/>
        </w:rPr>
        <w:t>Phần 2 — Cụm lõi: contract-service · escrow-service · bank-service</w:t>
      </w:r>
    </w:p>
    <w:p>
      <w:pPr>
        <w:pStyle w:val="Normal"/>
        <w:spacing w:before="0" w:after="0"/>
        <w:rPr/>
      </w:pPr>
      <w:r>
        <w:rPr/>
      </w:r>
      <w:r>
        <w:br w:type="page"/>
      </w:r>
    </w:p>
    <w:p>
      <w:pPr>
        <w:pStyle w:val="Heading2"/>
        <w:pBdr>
          <w:bottom w:val="single" w:sz="6" w:space="6" w:color="D1D5DB"/>
        </w:pBdr>
        <w:spacing w:before="0" w:after="120"/>
        <w:rPr/>
      </w:pPr>
      <w:bookmarkStart w:id="23" w:name="__RefHeading___Toc5532_AgriContract"/>
      <w:bookmarkEnd w:id="23"/>
      <w:r>
        <w:rPr>
          <w:rFonts w:eastAsia="Calibri" w:cs="Calibri" w:ascii="Calibri" w:hAnsi="Calibri"/>
          <w:b/>
          <w:bCs/>
          <w:color w:val="1F2A37"/>
          <w:sz w:val="25"/>
          <w:szCs w:val="25"/>
        </w:rPr>
        <w:t>1. Phạm vi phần 2</w:t>
      </w:r>
    </w:p>
    <w:p>
      <w:pPr>
        <w:pStyle w:val="Normal"/>
        <w:spacing w:lineRule="auto" w:line="276" w:before="0" w:after="120"/>
        <w:jc w:val="both"/>
        <w:rPr/>
      </w:pPr>
      <w:r>
        <w:rPr>
          <w:rFonts w:eastAsia="Calibri" w:cs="Calibri"/>
          <w:b w:val="false"/>
          <w:bCs w:val="false"/>
          <w:i w:val="false"/>
          <w:iCs w:val="false"/>
          <w:color w:val="111827"/>
          <w:sz w:val="21"/>
          <w:szCs w:val="21"/>
        </w:rPr>
        <w:t>Phần 2 đặc tả thiết kế chi tiết cụm lõi (Core domain) — ba dịch vụ gánh vòng đời hợp đồng và toàn bộ luồng tiền: contract-service (vòng đời hợp đồng, milestone, chữ ký), escrow-service (logic ký quỹ theo đợt), bank-service (giữ tiền, ledger). Đây là cụm defend nặng nhất và là trục mà các cụm khác gắn vào.</w:t>
      </w:r>
    </w:p>
    <w:p>
      <w:pPr>
        <w:pStyle w:val="Normal"/>
        <w:spacing w:lineRule="auto" w:line="276" w:before="0" w:after="120"/>
        <w:jc w:val="both"/>
        <w:rPr/>
      </w:pPr>
      <w:r>
        <w:rPr>
          <w:rFonts w:eastAsia="Calibri" w:cs="Calibri"/>
          <w:b w:val="false"/>
          <w:bCs w:val="false"/>
          <w:i w:val="false"/>
          <w:iCs w:val="false"/>
          <w:color w:val="111827"/>
          <w:sz w:val="21"/>
          <w:szCs w:val="21"/>
        </w:rPr>
        <w:t>Tài liệu này tuân theo các chuẩn dùng chung ở Phần 1 (API, sự kiện, dữ liệu, lỗi, bảo mật) và không lặp lại chúng. Ranh giới trách nhiệm giữa ba dịch vụ:</w:t>
      </w:r>
    </w:p>
    <w:tbl>
      <w:tblPr>
        <w:tblW w:w="9638" w:type="dxa"/>
        <w:jc w:val="start"/>
        <w:tblInd w:w="0" w:type="dxa"/>
        <w:tblLayout w:type="fixed"/>
        <w:tblCellMar>
          <w:top w:w="60" w:type="dxa"/>
          <w:start w:w="90" w:type="dxa"/>
          <w:bottom w:w="60" w:type="dxa"/>
          <w:end w:w="90" w:type="dxa"/>
        </w:tblCellMar>
      </w:tblPr>
      <w:tblGrid>
        <w:gridCol w:w="2299"/>
        <w:gridCol w:w="7338"/>
      </w:tblGrid>
      <w:tr>
        <w:trPr>
          <w:tblHeader w:val="true"/>
        </w:trPr>
        <w:tc>
          <w:tcPr>
            <w:tcW w:w="22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w:t>
            </w:r>
          </w:p>
        </w:tc>
        <w:tc>
          <w:tcPr>
            <w:tcW w:w="7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Sở hữu (không lẫn sang dịch vụ khác)</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Trạng thái giao hàng (delivery state): vòng đời hợp đồng, state machine milestone, chữ ký, tính penalty và publish event. KHÔNG giữ tiền, KHÔNG gọi bank</w:t>
            </w:r>
          </w:p>
        </w:tc>
      </w:tr>
      <w:tr>
        <w:trPr/>
        <w:tc>
          <w:tcPr>
            <w:tcW w:w="22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escrow-service</w:t>
            </w:r>
          </w:p>
        </w:tc>
        <w:tc>
          <w:tcPr>
            <w:tcW w:w="7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Logic ký quỹ: quyết định khoản nào cần lock/release/seize/refund. Là actor DUY NHẤT gọi bank-service. Chỉ giữ state, KHÔNG giữ con số tiền</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bank-service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Single source of truth cho tiền: ledger append-only. Thực thi lệnh từ escrow, xác nhận lại. KHÔNG chứa business logic hợp đồng</w:t>
            </w:r>
          </w:p>
        </w:tc>
      </w:tr>
    </w:tbl>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Nguyên tắc xuyên suốt cụm này: </w:t>
      </w:r>
      <w:r>
        <w:rPr>
          <w:rFonts w:eastAsia="Calibri" w:cs="Calibri"/>
          <w:color w:val="374151"/>
          <w:sz w:val="20"/>
          <w:szCs w:val="20"/>
        </w:rPr>
        <w:t>chống dual-write. Số tiền thật chỉ tồn tại một nơi (ledger của bank-service); contract-service và escrow-service không lưu lại con số tiền để đồng bộ tay. Mọi thay đổi trạng thái tiền đi qua cặp lệnh–xác nhận (request → confirmation), không fire-and-forget.</w:t>
      </w:r>
    </w:p>
    <w:p>
      <w:pPr>
        <w:pStyle w:val="Heading2"/>
        <w:pBdr>
          <w:bottom w:val="single" w:sz="6" w:space="6" w:color="D1D5DB"/>
        </w:pBdr>
        <w:spacing w:before="320" w:after="120"/>
        <w:rPr/>
      </w:pPr>
      <w:bookmarkStart w:id="24" w:name="__RefHeading___Toc5534_AgriContract"/>
      <w:bookmarkEnd w:id="24"/>
      <w:r>
        <w:rPr>
          <w:rFonts w:eastAsia="Calibri" w:cs="Calibri" w:ascii="Calibri" w:hAnsi="Calibri"/>
          <w:b/>
          <w:bCs/>
          <w:color w:val="1F2A37"/>
          <w:sz w:val="25"/>
          <w:szCs w:val="25"/>
        </w:rPr>
        <w:t>2. contract-service</w:t>
      </w:r>
    </w:p>
    <w:p>
      <w:pPr>
        <w:pStyle w:val="Heading3"/>
        <w:spacing w:before="240" w:after="80"/>
        <w:rPr/>
      </w:pPr>
      <w:bookmarkStart w:id="25" w:name="__RefHeading___Toc5536_AgriContract"/>
      <w:bookmarkEnd w:id="25"/>
      <w:r>
        <w:rPr>
          <w:rFonts w:eastAsia="Calibri" w:cs="Calibri" w:ascii="Calibri" w:hAnsi="Calibri"/>
          <w:b/>
          <w:bCs/>
          <w:color w:val="1F2A37"/>
          <w:sz w:val="22"/>
          <w:szCs w:val="22"/>
        </w:rPr>
        <w:t>2.1 Mô hình miền (domain model)</w:t>
      </w:r>
    </w:p>
    <w:p>
      <w:pPr>
        <w:pStyle w:val="Normal"/>
        <w:spacing w:lineRule="auto" w:line="276" w:before="0" w:after="120"/>
        <w:jc w:val="both"/>
        <w:rPr/>
      </w:pPr>
      <w:r>
        <w:rPr>
          <w:rFonts w:eastAsia="Calibri" w:cs="Calibri"/>
          <w:b w:val="false"/>
          <w:bCs w:val="false"/>
          <w:i w:val="false"/>
          <w:iCs w:val="false"/>
          <w:color w:val="111827"/>
          <w:sz w:val="21"/>
          <w:szCs w:val="21"/>
        </w:rPr>
        <w:t>Hai aggregate root độc lập trong cùng dịch vụ/DB: Contract và Milestone. Milestone KHÔNG phải entity con của Contract — milestone thứ 3 quyết toán không cần atomic cùng lúc với milestone khác, nên tách aggregate để mỗi milestone có transaction riêng (Effective Aggregate Design — Vernon). Signature BUYER/SELLER và ContractTerms là value object trong Contract. OTP challenge được lưu riêng trong signature_otp; chữ ký INSPECTOR thuộc inspection-service/inspection_db, không ghi chéo contract_db.</w:t>
      </w:r>
    </w:p>
    <w:tbl>
      <w:tblPr>
        <w:tblW w:w="9638" w:type="dxa"/>
        <w:jc w:val="start"/>
        <w:tblInd w:w="0" w:type="dxa"/>
        <w:tblLayout w:type="fixed"/>
        <w:tblCellMar>
          <w:top w:w="60" w:type="dxa"/>
          <w:start w:w="90" w:type="dxa"/>
          <w:bottom w:w="60" w:type="dxa"/>
          <w:end w:w="90" w:type="dxa"/>
        </w:tblCellMar>
      </w:tblPr>
      <w:tblGrid>
        <w:gridCol w:w="2399"/>
        <w:gridCol w:w="2201"/>
        <w:gridCol w:w="5038"/>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Thành phần</w:t>
            </w:r>
          </w:p>
        </w:tc>
        <w:tc>
          <w:tcPr>
            <w:tcW w:w="2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Loại</w:t>
            </w:r>
          </w:p>
        </w:tc>
        <w:tc>
          <w:tcPr>
            <w:tcW w:w="50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Aggregate root</w:t>
            </w:r>
          </w:p>
        </w:tc>
        <w:tc>
          <w:tcPr>
            <w:tcW w:w="5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State machine cấp hợp đồng; giữ snapshot bất biến (buyerId, sellerId, productName, quantity, agreedPrice, totalAmount, signedContentHash)</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ContractTerms</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Value object (trong Contract)</w:t>
            </w:r>
          </w:p>
        </w:tc>
        <w:tc>
          <w:tcPr>
            <w:tcW w:w="5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Điều khoản đàm phán: các rate + milestoneSchedule; snapshot bất biến lúc sign()</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MilestoneTerm</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Nested VO (trong ContractTerms)</w:t>
            </w:r>
          </w:p>
        </w:tc>
        <w:tc>
          <w:tcPr>
            <w:tcW w:w="5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Một dòng lịch giao hàng đã thoả thuận: milestoneIndex, committedQuantity, batchAmount</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Aggregate root riêng</w:t>
            </w:r>
          </w:p>
        </w:tc>
        <w:tc>
          <w:tcPr>
            <w:tcW w:w="5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Instance runtime của một đợt giao hàng; state machine riêng, transaction riêng</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Signature</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Value object (trong Contract)</w:t>
            </w:r>
          </w:p>
        </w:tc>
        <w:tc>
          <w:tcPr>
            <w:tcW w:w="5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Bản ghi ký BUYER/SELLER, bind authTime + signedContentHash; UNIQUE(contractId, signerRole)</w:t>
            </w:r>
          </w:p>
        </w:tc>
      </w:tr>
    </w:tbl>
    <w:p>
      <w:pPr>
        <w:pStyle w:val="Normal"/>
        <w:spacing w:lineRule="auto" w:line="276" w:before="0" w:after="120"/>
        <w:jc w:val="both"/>
        <w:rPr/>
      </w:pPr>
      <w:r>
        <w:rPr>
          <w:rFonts w:eastAsia="Calibri" w:cs="Calibri"/>
          <w:b/>
          <w:bCs/>
          <w:i w:val="false"/>
          <w:iCs w:val="false"/>
          <w:color w:val="111827"/>
          <w:sz w:val="21"/>
          <w:szCs w:val="21"/>
        </w:rPr>
        <w:t xml:space="preserve">ContractTerms — các field then chốt: </w:t>
      </w:r>
      <w:r>
        <w:rPr>
          <w:rFonts w:eastAsia="Calibri" w:cs="Calibri"/>
          <w:b w:val="false"/>
          <w:bCs w:val="false"/>
          <w:i w:val="false"/>
          <w:iCs w:val="false"/>
          <w:color w:val="111827"/>
          <w:sz w:val="21"/>
          <w:szCs w:val="21"/>
        </w:rPr>
        <w:t>milestoneSchedule (List&lt;MilestoneTerm&gt;), toleranceRate (ngưỡng lệch cân Delta 2, mặc định chia 50/50 phần vượt ngưỡng — xem §2.4), shortfallPenaltyThreshold (mặc định 5%), buyerPenaltyRate / sellerPenaltyRate, forceMajeureReportWindowDays (mặc định 3 ngày), buyerDepositRate (mặc định 5% totalAmount). sellerDepositRate (mới, 06/07/2026) — optional, mặc định 0, đàm phán per-contract giữa buyer/seller lúc NEGOTIATING, thay quyết định "bỏ hẳn" trước đây.</w:t>
      </w:r>
    </w:p>
    <w:p>
      <w:pPr>
        <w:pStyle w:val="Normal"/>
        <w:spacing w:lineRule="auto" w:line="276" w:before="0" w:after="120"/>
        <w:jc w:val="both"/>
        <w:rPr/>
      </w:pPr>
      <w:r>
        <w:rPr>
          <w:rFonts w:eastAsia="Calibri" w:cs="Calibri"/>
          <w:b/>
          <w:bCs/>
          <w:i w:val="false"/>
          <w:iCs w:val="false"/>
          <w:color w:val="111827"/>
          <w:sz w:val="21"/>
          <w:szCs w:val="21"/>
        </w:rPr>
        <w:t xml:space="preserve">MilestoneTerm — 2 field mới (08/07/2026): </w:t>
      </w:r>
      <w:r>
        <w:rPr>
          <w:rFonts w:eastAsia="Calibri" w:cs="Calibri"/>
          <w:b w:val="false"/>
          <w:bCs w:val="false"/>
          <w:i w:val="false"/>
          <w:iCs w:val="false"/>
          <w:color w:val="111827"/>
          <w:sz w:val="21"/>
          <w:szCs w:val="21"/>
        </w:rPr>
        <w:t>expectedDeliveryDate (Date, snapshot bất biến lúc sign() giống mọi field khác trong MilestoneTerm) và graceDays (Integer, số ngày ân hạn sau expectedDeliveryDate). Trước bản này, MilestoneTerm không có bất kỳ mốc ngày nào — hệ quả: không neo được timeout nào ở giai đoạn giao hàng, và hệ thống không định nghĩa được "seller giao trễ" (Delta 1 chỉ đo thiếu lượng, không đo trễ hạn — trong khi trễ hạn là vi phạm phổ biến nhất của forward contract nông sản). Cửa sổ hợp lệ là [expectedDeliveryDate, expectedDeliveryDate + graceDays], không phải mốc cứng. graceDays để trong ContractTerms/MilestoneTerm (per-contract), không phải application.yml, vì độ nhạy thời gian khác nhau theo mặt hàng (cà phê khô để lâu, giao trễ vài ngày không sao; rau quả tươi trễ là hỏng) — cùng lý do forceMajeureReportWindowDays đã để per-contract.</w:t>
      </w:r>
    </w:p>
    <w:p>
      <w:pPr>
        <w:pStyle w:val="Normal"/>
        <w:pBdr>
          <w:top w:val="single" w:sz="2" w:space="6" w:color="D1D5DB"/>
          <w:left w:val="single" w:sz="12" w:space="10" w:color="B45454"/>
          <w:bottom w:val="single" w:sz="2" w:space="6" w:color="D1D5DB"/>
          <w:right w:val="single" w:sz="2" w:space="6" w:color="D1D5DB"/>
        </w:pBdr>
        <w:shd w:val="clear" w:color="auto" w:fill="FDF2F2"/>
        <w:spacing w:lineRule="auto" w:line="264" w:before="120" w:after="140"/>
        <w:ind w:start="60" w:end="60"/>
        <w:rPr/>
      </w:pPr>
      <w:r>
        <w:rPr>
          <w:rFonts w:eastAsia="Calibri" w:cs="Calibri"/>
          <w:b/>
          <w:bCs/>
          <w:color w:val="1F2A37"/>
          <w:sz w:val="20"/>
          <w:szCs w:val="20"/>
        </w:rPr>
        <w:t xml:space="preserve">Guardrail cho field negotiate tự do (mới, 08/07/2026). </w:t>
      </w:r>
      <w:r>
        <w:rPr>
          <w:rFonts w:eastAsia="Calibri" w:cs="Calibri"/>
          <w:color w:val="374151"/>
          <w:sz w:val="20"/>
          <w:szCs w:val="20"/>
        </w:rPr>
        <w:t>toleranceRate, shortfallPenaltyThreshold, buyerPenaltyRate/sellerPenaltyRate negotiate tự do per-contract nhưng trước bản này không validate range ở đâu. Buyer (bên mạnh hơn — luận điểm gốc của cả dự án là chống bất đối xứng quyền lực) hoàn toàn có thể ép shortfallPenaltyThreshold=0% (seller thiếu 1 gram cũng dính penalty) hoặc toleranceRate=0% (seller gánh 100% hao mòn ngay từ gram đầu) — thiết kế sinh ra để chống bất đối xứng quyền lực lại để hở đúng cơ chế đó. Chốt: validate range lúc sign() — shortfallPenaltyThreshold ∈ [3%,15%], toleranceRate ∈ [0%,10%], buyerPenaltyRate/sellerPenaltyRate ∈ [0%,30%].</w:t>
      </w:r>
    </w:p>
    <w:p>
      <w:pPr>
        <w:pStyle w:val="Heading3"/>
        <w:spacing w:before="240" w:after="80"/>
        <w:rPr/>
      </w:pPr>
      <w:bookmarkStart w:id="26" w:name="__RefHeading___Toc5538_AgriContract"/>
      <w:bookmarkEnd w:id="26"/>
      <w:r>
        <w:rPr>
          <w:rFonts w:eastAsia="Calibri" w:cs="Calibri" w:ascii="Calibri" w:hAnsi="Calibri"/>
          <w:b/>
          <w:bCs/>
          <w:color w:val="1F2A37"/>
          <w:sz w:val="22"/>
          <w:szCs w:val="22"/>
        </w:rPr>
        <w:t>2.2 State machine cấp hợp đồng</w:t>
      </w:r>
    </w:p>
    <w:tbl>
      <w:tblPr>
        <w:tblW w:w="9638" w:type="dxa"/>
        <w:jc w:val="start"/>
        <w:tblInd w:w="0" w:type="dxa"/>
        <w:tblLayout w:type="fixed"/>
        <w:tblCellMar>
          <w:top w:w="60" w:type="dxa"/>
          <w:start w:w="90" w:type="dxa"/>
          <w:bottom w:w="60" w:type="dxa"/>
          <w:end w:w="90" w:type="dxa"/>
        </w:tblCellMar>
      </w:tblPr>
      <w:tblGrid>
        <w:gridCol w:w="2399"/>
        <w:gridCol w:w="2601"/>
        <w:gridCol w:w="2199"/>
        <w:gridCol w:w="2438"/>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Từ trạng thái</w:t>
            </w:r>
          </w:p>
        </w:tc>
        <w:tc>
          <w:tcPr>
            <w:tcW w:w="26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Trigger</w:t>
            </w:r>
          </w:p>
        </w:tc>
        <w:tc>
          <w:tcPr>
            <w:tcW w:w="21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Sang trạng thái</w:t>
            </w:r>
          </w:p>
        </w:tc>
        <w:tc>
          <w:tcPr>
            <w:tcW w:w="24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Ghi chú</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OFFERED</w:t>
            </w:r>
          </w:p>
        </w:tc>
        <w:tc>
          <w:tcPr>
            <w:tcW w:w="2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Bên mua gửi/đàm phán điều khoản</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NEGOTIATING</w:t>
            </w:r>
          </w:p>
        </w:tc>
        <w:tc>
          <w:tcPr>
            <w:tcW w:w="2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Mọi thay đổi ghi audit trail</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NEGOTIATING</w:t>
            </w:r>
          </w:p>
        </w:tc>
        <w:tc>
          <w:tcPr>
            <w:tcW w:w="26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Đủ 2 chữ ký (VerifyOtpAndSign lần 2)</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SIGNED</w:t>
            </w:r>
          </w:p>
        </w:tc>
        <w:tc>
          <w:tcPr>
            <w:tcW w:w="2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ContractTerms đóng băng; sinh signedContentHash</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SIGNED</w:t>
            </w:r>
          </w:p>
        </w:tc>
        <w:tc>
          <w:tcPr>
            <w:tcW w:w="2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Nhận escrow.deposit_locked (buyerDepositRate + sellerDepositRate nếu có, cả 2 khoản đã khoá xong ở bank-service)</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ACTIVE</w:t>
            </w:r>
          </w:p>
        </w:tc>
        <w:tc>
          <w:tcPr>
            <w:tcW w:w="2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 milestone chuyển IN_PROGRESS</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SIGNED</w:t>
            </w:r>
          </w:p>
        </w:tc>
        <w:tc>
          <w:tcPr>
            <w:tcW w:w="26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Admin MarkActivationFailed sau khi hết retry; có leg đã LOCKED</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ACTIVATION_REFUND_PENDING</w:t>
            </w:r>
          </w:p>
        </w:tc>
        <w:tc>
          <w:tcPr>
            <w:tcW w:w="2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Phát refund cho từng leg đã khoá; không penalty/reputation</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ACTIVATION_REFUND_PENDING</w:t>
            </w:r>
          </w:p>
        </w:tc>
        <w:tc>
          <w:tcPr>
            <w:tcW w:w="2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Mọi bank.refund_completed đã xác nhận</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ACTIVATION_FAILED</w:t>
            </w:r>
          </w:p>
        </w:tc>
        <w:tc>
          <w:tcPr>
            <w:tcW w:w="2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Terminal invariant: tổng lock cấp hợp đồng = 0</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SIGNED</w:t>
            </w:r>
          </w:p>
        </w:tc>
        <w:tc>
          <w:tcPr>
            <w:tcW w:w="26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Admin MarkActivationFailed; không leg nào đã LOCKED</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ACTIVATION_FAILED</w:t>
            </w:r>
          </w:p>
        </w:tc>
        <w:tc>
          <w:tcPr>
            <w:tcW w:w="2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Kết thúc kỹ thuật, không rollback chữ ký</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ACTIVE</w:t>
            </w:r>
          </w:p>
        </w:tc>
        <w:tc>
          <w:tcPr>
            <w:tcW w:w="2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completeAllMilestones() — mọi milestone SETTLED</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SETTLED</w:t>
            </w:r>
          </w:p>
        </w:tc>
        <w:tc>
          <w:tcPr>
            <w:tcW w:w="2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Qua Local Outbox (§2.6); guard cho phép từ ACTIVE</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SIGNED / ACTIVE</w:t>
            </w:r>
          </w:p>
        </w:tc>
        <w:tc>
          <w:tcPr>
            <w:tcW w:w="26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cancel() (buyer hoặc seller)</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CANCELLED</w:t>
            </w:r>
          </w:p>
        </w:tc>
        <w:tc>
          <w:tcPr>
            <w:tcW w:w="2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Pro-rata phần chưa SETTLED (§2.4)</w:t>
            </w:r>
          </w:p>
        </w:tc>
      </w:tr>
    </w:tbl>
    <w:p>
      <w:pPr>
        <w:pStyle w:val="Normal"/>
        <w:spacing w:lineRule="auto" w:line="276" w:before="0" w:after="120"/>
        <w:jc w:val="both"/>
        <w:rPr/>
      </w:pPr>
      <w:r>
        <w:rPr>
          <w:rFonts w:eastAsia="Calibri" w:cs="Calibri"/>
          <w:b/>
          <w:bCs/>
          <w:i w:val="false"/>
          <w:iCs w:val="false"/>
          <w:color w:val="111827"/>
          <w:sz w:val="21"/>
          <w:szCs w:val="21"/>
        </w:rPr>
        <w:t xml:space="preserve">Điểm sửa quan trọng: </w:t>
      </w:r>
      <w:r>
        <w:rPr>
          <w:rFonts w:eastAsia="Calibri" w:cs="Calibri"/>
          <w:b w:val="false"/>
          <w:bCs w:val="false"/>
          <w:i w:val="false"/>
          <w:iCs w:val="false"/>
          <w:color w:val="111827"/>
          <w:sz w:val="21"/>
          <w:szCs w:val="21"/>
        </w:rPr>
        <w:t>guard của completeAllMilestones() phải cho phép chuyển SETTLED từ ACTIVE (không còn trạng thái DELIVERED của mô hình một-điểm-giao-hàng cũ). Các đường dead-path liên quan (confirmDelivery, sự kiện contract.delivered và consumer của nó) được loại bỏ khi hiện thực hoá.</w:t>
      </w:r>
    </w:p>
    <w:p>
      <w:pPr>
        <w:pStyle w:val="Normal"/>
        <w:spacing w:lineRule="auto" w:line="276" w:before="0" w:after="120"/>
        <w:jc w:val="both"/>
        <w:rPr/>
      </w:pPr>
      <w:r>
        <w:rPr>
          <w:rFonts w:eastAsia="Calibri" w:cs="Calibri"/>
          <w:b/>
          <w:bCs/>
          <w:i w:val="false"/>
          <w:iCs w:val="false"/>
          <w:color w:val="111827"/>
          <w:sz w:val="21"/>
          <w:szCs w:val="21"/>
        </w:rPr>
        <w:t xml:space="preserve">SIGNED ≠ mốc tiền, ACTIVE mới là mốc tiền: </w:t>
      </w:r>
      <w:r>
        <w:rPr>
          <w:rFonts w:eastAsia="Calibri" w:cs="Calibri"/>
          <w:b w:val="false"/>
          <w:bCs w:val="false"/>
          <w:i w:val="false"/>
          <w:iCs w:val="false"/>
          <w:color w:val="111827"/>
          <w:sz w:val="21"/>
          <w:szCs w:val="21"/>
        </w:rPr>
        <w:t>SIGNED được tạo khi đủ hai chữ ký hợp lệ và contract.signed publish ngay. ACTIVE chỉ đạt khi mọi leg cọc cần thiết đã bank.lock_completed và escrow.deposit_locked. Nếu một leg fail, escrow retry tối đa 3 lần theo backoff 5 phút/30 phút/2 giờ, giữ nguyên sourceEventId của leg. Hết retry publish escrow.deposit_lock_failed với trạng thái từng leg; Contract vẫn SIGNED. ADMIN chọn RetryDepositLock hoặc MarkActivationFailed. Nếu đã có partial lock, Contract vào ACTIVATION_REFUND_PENDING, refund từng leg đã khoá và chỉ sang ACTIVATION_FAILED sau mọi confirmation; refund fail thì đứng lại và alert. Không rollback chữ ký, không penalty/reputation vì đây là lỗi kích hoạt kỹ thuật. Analytics phải phân biệt contract.signed với hợp đồng đã vận hành thật.</w:t>
      </w:r>
    </w:p>
    <w:p>
      <w:pPr>
        <w:pStyle w:val="Heading3"/>
        <w:spacing w:before="240" w:after="80"/>
        <w:rPr/>
      </w:pPr>
      <w:bookmarkStart w:id="27" w:name="__RefHeading___Toc5540_AgriContract"/>
      <w:bookmarkEnd w:id="27"/>
      <w:r>
        <w:rPr>
          <w:rFonts w:eastAsia="Calibri" w:cs="Calibri" w:ascii="Calibri" w:hAnsi="Calibri"/>
          <w:b/>
          <w:bCs/>
          <w:color w:val="1F2A37"/>
          <w:sz w:val="22"/>
          <w:szCs w:val="22"/>
        </w:rPr>
        <w:t>2.3 State machine cấp milestone</w:t>
      </w:r>
    </w:p>
    <w:tbl>
      <w:tblPr>
        <w:tblW w:w="9638" w:type="dxa"/>
        <w:jc w:val="start"/>
        <w:tblInd w:w="0" w:type="dxa"/>
        <w:tblLayout w:type="fixed"/>
        <w:tblCellMar>
          <w:top w:w="60" w:type="dxa"/>
          <w:start w:w="90" w:type="dxa"/>
          <w:bottom w:w="60" w:type="dxa"/>
          <w:end w:w="90" w:type="dxa"/>
        </w:tblCellMar>
      </w:tblPr>
      <w:tblGrid>
        <w:gridCol w:w="2600"/>
        <w:gridCol w:w="2900"/>
        <w:gridCol w:w="2400"/>
        <w:gridCol w:w="1737"/>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Từ trạng thái</w:t>
            </w:r>
          </w:p>
        </w:tc>
        <w:tc>
          <w:tcPr>
            <w:tcW w:w="2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Trigger</w:t>
            </w:r>
          </w:p>
        </w:tc>
        <w:tc>
          <w:tcPr>
            <w:tcW w:w="2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Sang trạng thái</w:t>
            </w:r>
          </w:p>
        </w:tc>
        <w:tc>
          <w:tcPr>
            <w:tcW w:w="17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CREATED</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 chuyển ACTIVE</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IN_PROGRESS</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Chờ seller gom hàng</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IN_PROGRESS</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Quá expectedDeliveryDate + graceDays mà chưa SELLER_WEIGHED (mới, 08/07/2026)</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Xử như Delta 1 penalty nhánh 2, hoặc cancel pro-rata milestone</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Buyer trigger được nhánh seller-quá-hạn; buyer KHÔNG bị seize cọc (buyer không phải bên phá kèo). Seller còn cửa claim bất khả kháng trong forceMajeureReportWindowDays</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IN_PROGRESS</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cân + upload ảnh</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SELLER_WEIGHED</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Ghi sellerDeclaredWeight</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SELLER_WEIGHED</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Hết buyerReceiveWindowDays mà buyer chưa cân nhận (mới, 08/07/2026)</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 xml:space="preserve">— </w:t>
            </w:r>
            <w:r>
              <w:rPr>
                <w:rFonts w:eastAsia="Calibri" w:cs="Calibri"/>
                <w:b w:val="false"/>
                <w:bCs w:val="false"/>
                <w:color w:val="111827"/>
                <w:sz w:val="17"/>
                <w:szCs w:val="17"/>
              </w:rPr>
              <w:t>(không tự chuyển state)</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Notify buyer; im lặng tiếp → Admin/Level 1 quyết theo bằng chứng hiện có, KHÔNG auto-settle theo số seller tự khai</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SELLER_WEIGHED</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Vận chuyển, buyer cân lại + ảnh</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BUYER_RECEIVED</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Ghi buyerReceivedWeight</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BUYER_RECEIVED</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CONFIRM_CLEAN hoặc timeout buyerConfirmWindowDays</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SETTLED</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Pro-rata Delta 2, release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BUYER_RECEIVED</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FLAG_ISSUE</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AWAITING_SELLER_RESPONSE</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có sellerResponseWindowDays để phản hồi</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AWAITING_SELLER_RESPONSE</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 timeout (im lặng)</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SETTLED</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Theo số buyer báo</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AWAITING_SELLER_RESPONSE</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CONTESTED</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SETTLED (sau phán quyết)</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Qua DisputeRoutingService 3 cấp</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IN_PROGRESS / SELLER_WEIGHED</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 claim bất khả kháng (trong window)</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FORCE_MAJEURE_PENDING_REVIEW</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Kèm bằng chứng qua file-service</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FORCE_MAJEURE_PENDING_REVIEW</w:t>
            </w:r>
          </w:p>
        </w:tc>
        <w:tc>
          <w:tcPr>
            <w:tcW w:w="2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Admin APPROVE</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BUYER_RECEIVED (miễn penalty)</w:t>
            </w:r>
          </w:p>
        </w:tc>
        <w:tc>
          <w:tcPr>
            <w:tcW w:w="17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 có thể escalate Level 1.5</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FORCE_MAJEURE_PENDING_REVIEW</w:t>
            </w:r>
          </w:p>
        </w:tc>
        <w:tc>
          <w:tcPr>
            <w:tcW w:w="2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Admin REJECT</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Xử lý như Delta 1 penalty</w:t>
            </w:r>
          </w:p>
        </w:tc>
        <w:tc>
          <w:tcPr>
            <w:tcW w:w="17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 có thể escalate Level 1.5</w:t>
            </w:r>
          </w:p>
        </w:tc>
      </w:tr>
    </w:tbl>
    <w:p>
      <w:pPr>
        <w:pStyle w:val="Normal"/>
        <w:pBdr>
          <w:top w:val="single" w:sz="2" w:space="6" w:color="D1D5DB"/>
          <w:left w:val="single" w:sz="12" w:space="10" w:color="B45454"/>
          <w:bottom w:val="single" w:sz="2" w:space="6" w:color="D1D5DB"/>
          <w:right w:val="single" w:sz="2" w:space="6" w:color="D1D5DB"/>
        </w:pBdr>
        <w:shd w:val="clear" w:color="auto" w:fill="FDF2F2"/>
        <w:spacing w:lineRule="auto" w:line="264" w:before="120" w:after="140"/>
        <w:ind w:start="60" w:end="60"/>
        <w:rPr/>
      </w:pPr>
      <w:r>
        <w:rPr>
          <w:rFonts w:eastAsia="Calibri" w:cs="Calibri"/>
          <w:b/>
          <w:bCs/>
          <w:color w:val="1F2A37"/>
          <w:sz w:val="20"/>
          <w:szCs w:val="20"/>
        </w:rPr>
        <w:t xml:space="preserve">2 lỗ hổng timeout đã vá (08/07/2026). </w:t>
      </w:r>
      <w:r>
        <w:rPr>
          <w:rFonts w:eastAsia="Calibri" w:cs="Calibri"/>
          <w:color w:val="374151"/>
          <w:sz w:val="20"/>
          <w:szCs w:val="20"/>
        </w:rPr>
        <w:t>SELLER_WEIGHED không có timeout trước bản này — nếu hàng đã cân/gửi mà buyer không bao giờ cân lại/ghi nhận, milestone kẹt SELLER_WEIGHED vĩnh viễn, batchAmount khoá vĩnh viễn. Buyer chỉ cần không bấm gì ở bước nhận hàng là né sạch mọi timeout đã dựng — và vì batchAmount lock sớm (§UC-E2), lối thoát duy nhất trước đây là cancel(), khiến buyer bị seize cọc dù mình mới là bên gây kẹt (bất công ngược đúng chỗ luận điểm gốc "bảo vệ bên yếu" muốn tránh). Vá bằng buyerReceiveWindowDays (mặc định 2 ngày làm việc, application.yml — invariant kỹ thuật). Song song, IN_PROGRESS trước bản này cũng không có timeout nào cho seller giao trễ, vì MilestoneTerm chưa có mốc ngày — vá bằng expectedDeliveryDate/graceDays (§2.1) mới thêm.</w:t>
      </w:r>
    </w:p>
    <w:p>
      <w:pPr>
        <w:pStyle w:val="Normal"/>
        <w:spacing w:lineRule="auto" w:line="276" w:before="0" w:after="120"/>
        <w:jc w:val="both"/>
        <w:rPr/>
      </w:pPr>
      <w:r>
        <w:rPr>
          <w:rFonts w:eastAsia="Calibri" w:cs="Calibri"/>
          <w:b/>
          <w:bCs/>
          <w:i w:val="false"/>
          <w:iCs w:val="false"/>
          <w:color w:val="111827"/>
          <w:sz w:val="21"/>
          <w:szCs w:val="21"/>
        </w:rPr>
        <w:t xml:space="preserve">Quyền claim bất khả kháng </w:t>
      </w:r>
      <w:r>
        <w:rPr>
          <w:rFonts w:eastAsia="Calibri" w:cs="Calibri"/>
          <w:b w:val="false"/>
          <w:bCs w:val="false"/>
          <w:i w:val="false"/>
          <w:iCs w:val="false"/>
          <w:color w:val="111827"/>
          <w:sz w:val="21"/>
          <w:szCs w:val="21"/>
        </w:rPr>
        <w:t>không gắn cứng một bước — có thể chen ngang bất kỳ lúc nào trước khi milestone SETTLED, miễn còn trong forceMajeureReportWindowDays kể từ lúc seller biết sự kiện (không neo theo ngày giao).</w:t>
      </w:r>
    </w:p>
    <w:p>
      <w:pPr>
        <w:pStyle w:val="Normal"/>
        <w:spacing w:lineRule="auto" w:line="276" w:before="0" w:after="120"/>
        <w:jc w:val="both"/>
        <w:rPr/>
      </w:pPr>
      <w:r>
        <w:rPr>
          <w:rFonts w:eastAsia="Calibri" w:cs="Calibri"/>
          <w:b/>
          <w:bCs/>
          <w:i w:val="false"/>
          <w:iCs w:val="false"/>
          <w:color w:val="111827"/>
          <w:sz w:val="21"/>
          <w:szCs w:val="21"/>
        </w:rPr>
        <w:t xml:space="preserve">Provisional settlement khi CONTESTED escalate Level 2 (mới, 06/07/2026). </w:t>
      </w:r>
      <w:r>
        <w:rPr>
          <w:rFonts w:eastAsia="Calibri" w:cs="Calibri"/>
          <w:b w:val="false"/>
          <w:bCs w:val="false"/>
          <w:i w:val="false"/>
          <w:iCs w:val="false"/>
          <w:color w:val="111827"/>
          <w:sz w:val="21"/>
          <w:szCs w:val="21"/>
        </w:rPr>
        <w:t>Khi DisputeRoutingService route milestone CONTESTED sang LEVEL_2, platform commission tổ chức Level 2 (InitiateLevel2Inspection) và chờ report thật trong tối đa level2BufferWindowDays. Hết window mà report chưa CONFIRMED: platform commission thêm 1 giám định Level 1.5 làm phán quyết tạm thời, settle ngay (1 − level2SafetyBufferRate) của batchAmount cho seller theo số 1.5, giữ khoá phần còn lại trong escrow (không ghi debt — seller không có tài sản đối ứng để đòi). Mechanics đầy đủ 3 bước (Provisional/Reconcile/Terminal, chi tiết milestone-escrow-phase2-design.md §3.2): Bước 1 provisional release X15×(1−rate) cho seller; Bước 2 khi report Level 2 thật về, bù/refund phần chênh; Bước 3 hết terminal cutoff mà report không về thì phán quyết Level 1.5 thành chung thẩm. Hết thêm level2BufferTerminalDays (30 ngày — chốt, tính từ lúc level2BufferWindowDays hết) mà vẫn chưa có report CONFIRMED: phán quyết Level 1.5 tự động thành chung thẩm, release nốt buffer cho seller, đóng milestone.</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Đã chốt (13/07/2026): </w:t>
      </w:r>
      <w:r>
        <w:rPr>
          <w:rFonts w:eastAsia="Calibri" w:cs="Calibri"/>
          <w:b w:val="false"/>
          <w:bCs w:val="false"/>
          <w:i w:val="false"/>
          <w:iCs w:val="false"/>
          <w:color w:val="111827"/>
          <w:sz w:val="21"/>
          <w:szCs w:val="21"/>
        </w:rPr>
        <w:t>cả 3 số cấu hình chốt theo benchmark ngành — level2BufferWindowDays 10 ngày làm việc (neo benchmark lab test chất lượng chuẩn SCA: 5 ngày làm việc/mẫu + buffer lịch hẹn/vận chuyển mẫu); level2SafetyBufferRate 15% (mức trên dải cân nhắc, nghiêng bảo vệ buyer — bên gánh rủi ro nếu Level 2 lật); level2BufferTerminalDays 30 ngày (điểm dừng cứng chống kẹt buffer vô thời hạn). Cấu hình application.yml, tinh chỉnh khi có dữ liệu vận hành thật. Chi tiết đầy đủ ở milestone-escrow-phase2-design.md §3.2.</w:t>
      </w:r>
    </w:p>
    <w:p>
      <w:pPr>
        <w:pStyle w:val="Heading3"/>
        <w:spacing w:before="240" w:after="80"/>
        <w:rPr/>
      </w:pPr>
      <w:bookmarkStart w:id="28" w:name="__RefHeading___Toc5542_AgriContract"/>
      <w:bookmarkEnd w:id="28"/>
      <w:r>
        <w:rPr>
          <w:rFonts w:eastAsia="Calibri" w:cs="Calibri" w:ascii="Calibri" w:hAnsi="Calibri"/>
          <w:b/>
          <w:bCs/>
          <w:color w:val="1F2A37"/>
          <w:sz w:val="22"/>
          <w:szCs w:val="22"/>
        </w:rPr>
        <w:t>2.4 Quy tắc nghiệp vụ — Delta 1 và Delta 2</w:t>
      </w:r>
    </w:p>
    <w:tbl>
      <w:tblPr>
        <w:tblW w:w="9638" w:type="dxa"/>
        <w:jc w:val="start"/>
        <w:tblInd w:w="0" w:type="dxa"/>
        <w:tblLayout w:type="fixed"/>
        <w:tblCellMar>
          <w:top w:w="60" w:type="dxa"/>
          <w:start w:w="90" w:type="dxa"/>
          <w:bottom w:w="60" w:type="dxa"/>
          <w:end w:w="90" w:type="dxa"/>
        </w:tblCellMar>
      </w:tblPr>
      <w:tblGrid>
        <w:gridCol w:w="1499"/>
        <w:gridCol w:w="3400"/>
        <w:gridCol w:w="2400"/>
        <w:gridCol w:w="2338"/>
      </w:tblGrid>
      <w:tr>
        <w:trPr>
          <w:tblHeader w:val="true"/>
        </w:trPr>
        <w:tc>
          <w:tcPr>
            <w:tcW w:w="14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3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Delta 1 (thiếu so cam kết)</w:t>
            </w:r>
          </w:p>
        </w:tc>
        <w:tc>
          <w:tcPr>
            <w:tcW w:w="2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Delta 2 (hao mòn vận chuyển)</w:t>
            </w:r>
          </w:p>
        </w:tc>
        <w:tc>
          <w:tcPr>
            <w:tcW w:w="2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r>
      <w:tr>
        <w:trPr/>
        <w:tc>
          <w:tcPr>
            <w:tcW w:w="1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So sánh</w:t>
            </w:r>
          </w:p>
        </w:tc>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committedQuantity vs sellerDeclaredWeight</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sellerDeclaredWeight vs buyerReceivedWeight</w:t>
            </w:r>
          </w:p>
        </w:tc>
        <w:tc>
          <w:tcPr>
            <w:tcW w:w="2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tc>
          <w:tcPr>
            <w:tcW w:w="1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Bản chất</w:t>
            </w:r>
          </w:p>
        </w:tc>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 kiểm soát được (trước khi xe chạy)</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Ngoài kiểm soát 2 bên (trong vận chuyển)</w:t>
            </w:r>
          </w:p>
        </w:tc>
        <w:tc>
          <w:tcPr>
            <w:tcW w:w="2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r>
        <w:trPr/>
        <w:tc>
          <w:tcPr>
            <w:tcW w:w="1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Ai chịu</w:t>
            </w:r>
          </w:p>
        </w:tc>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(trừ khi bất khả kháng)</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Trong ngưỡng: buyer tự chịu. Vượt ngưỡng: chỉ phần vượt chia toleranceRate (mặc định 50/50) — sửa 08/07/2026</w:t>
            </w:r>
          </w:p>
        </w:tc>
        <w:tc>
          <w:tcPr>
            <w:tcW w:w="2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
          </w:p>
        </w:tc>
      </w:tr>
      <w:tr>
        <w:trPr/>
        <w:tc>
          <w:tcPr>
            <w:tcW w:w="1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Xử lý</w:t>
            </w:r>
          </w:p>
        </w:tc>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3 nhánh (dưới)</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Luôn pro-rata tự động</w:t>
            </w:r>
          </w:p>
        </w:tc>
        <w:tc>
          <w:tcPr>
            <w:tcW w:w="2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
          </w:p>
        </w:tc>
      </w:tr>
    </w:tbl>
    <w:p>
      <w:pPr>
        <w:pStyle w:val="Normal"/>
        <w:spacing w:lineRule="auto" w:line="276" w:before="0" w:after="120"/>
        <w:jc w:val="both"/>
        <w:rPr/>
      </w:pPr>
      <w:r>
        <w:rPr>
          <w:rFonts w:eastAsia="Calibri" w:cs="Calibri"/>
          <w:b/>
          <w:bCs/>
          <w:i w:val="false"/>
          <w:iCs w:val="false"/>
          <w:color w:val="111827"/>
          <w:sz w:val="21"/>
          <w:szCs w:val="21"/>
        </w:rPr>
        <w:t xml:space="preserve">Công thức Delta 2 (chốt 08/07/2026): </w:t>
      </w:r>
      <w:r>
        <w:rPr>
          <w:rFonts w:eastAsia="Calibri" w:cs="Calibri"/>
          <w:b w:val="false"/>
          <w:bCs w:val="false"/>
          <w:i w:val="false"/>
          <w:iCs w:val="false"/>
          <w:color w:val="111827"/>
          <w:sz w:val="21"/>
          <w:szCs w:val="21"/>
        </w:rPr>
        <w:t>gọi within = ngưỡng khối lượng theo toleranceRate. Nếu delta2 ≤ within (chưa vượt ngưỡng) → actualAmount = buyerReceivedWeight × agreedPrice như cơ chế cũ, không đổi gì — trong ngưỡng, buyer chấp nhận hao mòn là bình thường (đã ngầm chấp nhận lúc ký). Nếu delta2 &gt; within → chỉ phần VƯỢT ngưỡng (không phải toàn bộ delta2) mới chia theo toleranceRate, chia trên khối lượng (không phải tiền, vì agreedPrice cố định suốt hợp đồng nên 2 cách cho kết quả y hệt, nhưng khớp cách Delta 1 đã tính) — seller không gánh 100% phần bất thường, buyer chia sẻ trách nhiệm vì rủi ro vận chuyển ngoài kiểm soát cả hai. Sửa vì bản trước để 1 đường duy nhất — milestone.settled release theo buyerReceivedWeight, seller gánh 100% hao mòn — mâu thuẫn với chính nguyên tắc "chia theo toleranceRate" đã công bố. contract-service (có đủ ContractTerms) là nơi tính actualAmount cuối cùng, truyền số đã tính xuống escrow-service qua payload milestone.settled — escrow-service không tự tính lại tolerance split (xem UC-E3, §3.2).</w:t>
      </w:r>
    </w:p>
    <w:tbl>
      <w:tblPr>
        <w:tblW w:w="9638" w:type="dxa"/>
        <w:jc w:val="start"/>
        <w:tblInd w:w="0" w:type="dxa"/>
        <w:tblLayout w:type="fixed"/>
        <w:tblCellMar>
          <w:top w:w="60" w:type="dxa"/>
          <w:start w:w="90" w:type="dxa"/>
          <w:bottom w:w="60" w:type="dxa"/>
          <w:end w:w="90" w:type="dxa"/>
        </w:tblCellMar>
      </w:tblPr>
      <w:tblGrid>
        <w:gridCol w:w="1099"/>
        <w:gridCol w:w="4701"/>
        <w:gridCol w:w="3838"/>
      </w:tblGrid>
      <w:tr>
        <w:trPr>
          <w:tblHeader w:val="true"/>
        </w:trPr>
        <w:tc>
          <w:tcPr>
            <w:tcW w:w="10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Nhánh</w:t>
            </w:r>
          </w:p>
        </w:tc>
        <w:tc>
          <w:tcPr>
            <w:tcW w:w="47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Điều kiện (Delta 1)</w:t>
            </w:r>
          </w:p>
        </w:tc>
        <w:tc>
          <w:tcPr>
            <w:tcW w:w="38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1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1</w:t>
            </w:r>
          </w:p>
        </w:tc>
        <w:tc>
          <w:tcPr>
            <w:tcW w:w="47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Thiếu trong shortfallPenaltyThreshold</w:t>
            </w:r>
          </w:p>
        </w:tc>
        <w:tc>
          <w:tcPr>
            <w:tcW w:w="38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Pro-rata bình thường, không penalty</w:t>
            </w:r>
          </w:p>
        </w:tc>
      </w:tr>
      <w:tr>
        <w:trPr/>
        <w:tc>
          <w:tcPr>
            <w:tcW w:w="1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8"/>
                <w:szCs w:val="18"/>
              </w:rPr>
              <w:t>2</w:t>
            </w:r>
          </w:p>
        </w:tc>
        <w:tc>
          <w:tcPr>
            <w:tcW w:w="47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Thiếu vượt threshold, KHÔNG chứng minh được bất khả kháng</w:t>
            </w:r>
          </w:p>
        </w:tc>
        <w:tc>
          <w:tcPr>
            <w:tcW w:w="38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Áp sellerPenaltyRate — đúng bản chất phá vỡ hợp đồng</w:t>
            </w:r>
          </w:p>
        </w:tc>
      </w:tr>
      <w:tr>
        <w:trPr/>
        <w:tc>
          <w:tcPr>
            <w:tcW w:w="1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8"/>
                <w:szCs w:val="18"/>
              </w:rPr>
              <w:t>3</w:t>
            </w:r>
          </w:p>
        </w:tc>
        <w:tc>
          <w:tcPr>
            <w:tcW w:w="47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Thiếu (bất kỳ mức), chứng minh được bất khả kháng (Admin/Level 1.5 approve)</w:t>
            </w:r>
          </w:p>
        </w:tc>
        <w:tc>
          <w:tcPr>
            <w:tcW w:w="38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Pro-rata theo số thực giao, không penalty</w:t>
            </w:r>
          </w:p>
        </w:tc>
      </w:tr>
    </w:tbl>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BLDS 2015, Điều 156 &amp; 351. </w:t>
      </w:r>
      <w:r>
        <w:rPr>
          <w:rFonts w:eastAsia="Calibri" w:cs="Calibri"/>
          <w:color w:val="374151"/>
          <w:sz w:val="20"/>
          <w:szCs w:val="20"/>
        </w:rPr>
        <w:t>Bất khả kháng phải hội đủ 3 điều kiện: khách quan, không lường trước, không khắc phục được dù nỗ lực. Hệ quả: các bên tự chịu thiệt hại của mình, hợp đồng giảm xuống đúng số lượng thực giao — không ai bồi thường ai. Mất mùa/sâu bệnh thông thường không đạt ngưỡng.</w:t>
      </w:r>
    </w:p>
    <w:p>
      <w:pPr>
        <w:pStyle w:val="Heading3"/>
        <w:spacing w:before="240" w:after="80"/>
        <w:rPr/>
      </w:pPr>
      <w:bookmarkStart w:id="29" w:name="__RefHeading___Toc5544_AgriContract"/>
      <w:bookmarkEnd w:id="29"/>
      <w:r>
        <w:rPr>
          <w:rFonts w:eastAsia="Calibri" w:cs="Calibri" w:ascii="Calibri" w:hAnsi="Calibri"/>
          <w:b/>
          <w:bCs/>
          <w:color w:val="1F2A37"/>
          <w:sz w:val="22"/>
          <w:szCs w:val="22"/>
        </w:rPr>
        <w:t>2.5 Use case chính</w:t>
      </w:r>
    </w:p>
    <w:p>
      <w:pPr>
        <w:pStyle w:val="Normal"/>
        <w:spacing w:before="140" w:after="40"/>
        <w:rPr/>
      </w:pPr>
      <w:r>
        <w:rPr>
          <w:rFonts w:eastAsia="Calibri" w:cs="Calibri"/>
          <w:b/>
          <w:bCs/>
          <w:color w:val="1F2A37"/>
          <w:sz w:val="21"/>
          <w:szCs w:val="21"/>
        </w:rPr>
        <w:t>UC-C1 — Ký hợp đồng (2 bước: InitiateSign + VerifyOtpAndSign)</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BUYER và SELLER (mỗi bên thực hiện độc lập)</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 ở NEGOTIATING; tài khoản đã qua duyệt KYC; authorizationExpiresAt còn hiệu lực</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1) InitiateSign tính signedContentHash hiện tại, persist challenge {otpId, contractId, signerRole, userId, authTime, signedContentHash, HMAC-SHA256(OTP, serverPepper), expiry, attempts}; gọi sync OTP email với otpId + hash. 2) VerifyOtpAndSign load đúng otpId, bind JWT sub/contract/role/hash hiện tại, kiểm expiry/attempt/HMAC; tạo Signature từ challenge. Từ chữ ký đầu tiên đóng băng ContractTerms; chữ ký thứ hai phải cùng signedContentHash. Đủ BUYER+SELLER → SIGNED, publish notification.contract_anchor_requested và contract.signed(signedContentHash, deposit amounts) cho escrow/analytics/audit</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Ngoại lệ</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Thẩm quyền hết hạn/session cũ, otpId đã dùng/hết hạn/quá attempts, user-contract-role không khớp hoặc terms đổi sau khi phát OTP → REJECT; terms đã có chữ ký mà bị sửa → 409</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Hậu điều kiện</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Đủ 2 chữ ký → SIGNED; nếu mới 1 → chờ bên còn lại</w:t>
            </w:r>
          </w:p>
        </w:tc>
      </w:tr>
    </w:tbl>
    <w:p>
      <w:pPr>
        <w:pStyle w:val="Normal"/>
        <w:spacing w:before="140" w:after="40"/>
        <w:rPr/>
      </w:pPr>
      <w:r>
        <w:rPr>
          <w:rFonts w:eastAsia="Calibri" w:cs="Calibri"/>
          <w:b/>
          <w:bCs/>
          <w:color w:val="1F2A37"/>
          <w:sz w:val="21"/>
          <w:szCs w:val="21"/>
        </w:rPr>
        <w:t>UC-C2 — Seller cân hàng đợt</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 ở IN_PROGRESS</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Nhập sellerDeclaredWeight + upload ảnh (file-service) → milestone SELLER_WEIGHED → publish milestone.seller_weighed</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Hậu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Ghi sellerDeclaredWeight, sellerEvidenceFileId</w:t>
            </w:r>
          </w:p>
        </w:tc>
      </w:tr>
    </w:tbl>
    <w:p>
      <w:pPr>
        <w:pStyle w:val="Normal"/>
        <w:spacing w:before="140" w:after="40"/>
        <w:rPr/>
      </w:pPr>
      <w:r>
        <w:rPr>
          <w:rFonts w:eastAsia="Calibri" w:cs="Calibri"/>
          <w:b/>
          <w:bCs/>
          <w:color w:val="1F2A37"/>
          <w:sz w:val="21"/>
          <w:szCs w:val="21"/>
        </w:rPr>
        <w:t>UC-C3 — Buyer xác nhận / gắn cờ đợt</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BUYER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 ở BUYER_RECEIVED</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CONFIRM_CLEAN → tính pro-rata Delta 2 → milestone.settled (kèm lockedAmount, actualAmount). HOẶC FLAG_ISSUE → AWAITING_SELLER_RESPONSE → publish milestone.flagged</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Ngoại lệ (timeout)</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Buyer im lặng quá buyerConfirmWindowDays → tự xử lý như CONFIRM_CLEAN (bảo vệ seller đã giao hàng)</w:t>
            </w:r>
          </w:p>
        </w:tc>
      </w:tr>
    </w:tbl>
    <w:p>
      <w:pPr>
        <w:pStyle w:val="Normal"/>
        <w:spacing w:before="140" w:after="40"/>
        <w:rPr/>
      </w:pPr>
      <w:r>
        <w:rPr>
          <w:rFonts w:eastAsia="Calibri" w:cs="Calibri"/>
          <w:b/>
          <w:bCs/>
          <w:color w:val="1F2A37"/>
          <w:sz w:val="21"/>
          <w:szCs w:val="21"/>
        </w:rPr>
        <w:t>UC-C4 — Claim và xét bất khả kháng</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 (claim), ADMIN (xét)</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 chưa SETTLED; trong forceMajeureReportWindowDays kể từ lúc biết sự kiện</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 nộp bằng chứng (file-service) → FORCE_MAJEURE_PENDING_REVIEW → publish milestone.force_majeure_claimed. Admin APPROVE (miễn penalty, về BUYER_RECEIVED) hoặc REJECT (xử như Delta 1 penalty) → publish milestone.force_majeure_resolved</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Quyền phản đối</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Buyer contest APPROVE / seller contest REJECT → cả hai escalate Level 1.5 (không lên Level 2)</w:t>
            </w:r>
          </w:p>
        </w:tc>
      </w:tr>
    </w:tbl>
    <w:p>
      <w:pPr>
        <w:pStyle w:val="Normal"/>
        <w:spacing w:before="140" w:after="40"/>
        <w:rPr/>
      </w:pPr>
      <w:r>
        <w:rPr>
          <w:rFonts w:eastAsia="Calibri" w:cs="Calibri"/>
          <w:b/>
          <w:bCs/>
          <w:color w:val="1F2A37"/>
          <w:sz w:val="21"/>
          <w:szCs w:val="21"/>
        </w:rPr>
        <w:t>UC-C5 — Huỷ hợp đồng (pro-rata)</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BUYER hoặc 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 ở SIGNED/ACTIVE; áp cho milestone chưa SETTLED</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cancel() → Contract CANCELLED → publish contract.cancelled(initiatedBy). Mỗi milestone còn lại publish milestone.cancelled_with_penalty riêng. Seller huỷ: nếu có sellerDepositRate đã khoá → seize ngay, offset vào penalty debt (sellerPenaltyRate × giá trị còn lại − deposit đã seize); refund buyerDepositRate về buyer, khoá tài khoản seller. Buyer huỷ: seize buyerDepositRate (→ seller) + seize batchAmount đang khoá theo buyerPenaltyRate, refund sellerDepositRate về seller nếu có (seller không phải bên phá kèo), khoá tài khoản buyer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Hậu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 đã SETTLED giữ nguyên; penalty debt bất biến trong audit</w:t>
            </w:r>
          </w:p>
        </w:tc>
      </w:tr>
    </w:tbl>
    <w:p>
      <w:pPr>
        <w:pStyle w:val="Heading3"/>
        <w:spacing w:before="240" w:after="80"/>
        <w:rPr/>
      </w:pPr>
      <w:bookmarkStart w:id="30" w:name="__RefHeading___Toc5546_AgriContract"/>
      <w:bookmarkEnd w:id="30"/>
      <w:r>
        <w:rPr>
          <w:rFonts w:eastAsia="Calibri" w:cs="Calibri" w:ascii="Calibri" w:hAnsi="Calibri"/>
          <w:b/>
          <w:bCs/>
          <w:color w:val="1F2A37"/>
          <w:sz w:val="22"/>
          <w:szCs w:val="22"/>
        </w:rPr>
        <w:t>2.6 Cơ chế đồng bộ Milestone → Contract (Local Outbox)</w:t>
      </w:r>
    </w:p>
    <w:p>
      <w:pPr>
        <w:pStyle w:val="Normal"/>
        <w:spacing w:lineRule="auto" w:line="276" w:before="0" w:after="120"/>
        <w:jc w:val="both"/>
        <w:rPr/>
      </w:pPr>
      <w:r>
        <w:rPr>
          <w:rFonts w:eastAsia="Calibri" w:cs="Calibri"/>
          <w:b w:val="false"/>
          <w:bCs w:val="false"/>
          <w:i w:val="false"/>
          <w:iCs w:val="false"/>
          <w:color w:val="111827"/>
          <w:sz w:val="21"/>
          <w:szCs w:val="21"/>
        </w:rPr>
        <w:t>Khi milestone cuối quyết toán, Contract phải chuyển SETTLED. Không dùng Spring ApplicationEvent (nếu app crash sau khi milestone commit nhưng trước khi listener chạy, event bay mất — không retry — Contract kẹt vĩnh viễn ở ACTIVE, không exception nào báo). Thay bằng Local Outbox (local, không qua RabbitMQ, không network hop):</w:t>
      </w:r>
    </w:p>
    <w:p>
      <w:pPr>
        <w:pStyle w:val="ListParagraph"/>
        <w:numPr>
          <w:ilvl w:val="0"/>
          <w:numId w:val="5"/>
        </w:numPr>
        <w:spacing w:lineRule="auto" w:line="276" w:before="0" w:after="60"/>
        <w:rPr/>
      </w:pPr>
      <w:r>
        <w:rPr>
          <w:rFonts w:eastAsia="Calibri" w:cs="Calibri"/>
          <w:b w:val="false"/>
          <w:bCs w:val="false"/>
          <w:i w:val="false"/>
          <w:iCs w:val="false"/>
          <w:color w:val="111827"/>
          <w:sz w:val="21"/>
          <w:szCs w:val="21"/>
        </w:rPr>
        <w:t>Milestone.settle() insert một row milestone_sync_outbox trong CÙNG transaction với chính nó — atomic, không thể commit milestone mà thiếu outbox row.</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@Scheduled poller đọc row processed=false, chạy countByContractIdAndStatusNot(SETTLED)==0 cho contractId của row.</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Nếu true → gọi Contract.completeAllMilestones() trong transaction riêng của Contract.</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Đánh dấu processed=true dù kết quả check là gì — milestone thật sự cuối cùng sẽ có row riêng bắt được điều kiện ==0.</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Fail giữa chừng → retry_count += 1, row vẫn processed=false, lần chạy sau xử lý lại (at-least-once).</w:t>
      </w:r>
    </w:p>
    <w:p>
      <w:pPr>
        <w:pStyle w:val="Heading3"/>
        <w:spacing w:before="240" w:after="80"/>
        <w:rPr/>
      </w:pPr>
      <w:bookmarkStart w:id="31" w:name="__RefHeading___Toc5548_AgriContract"/>
      <w:bookmarkEnd w:id="31"/>
      <w:r>
        <w:rPr>
          <w:rFonts w:eastAsia="Calibri" w:cs="Calibri" w:ascii="Calibri" w:hAnsi="Calibri"/>
          <w:b/>
          <w:bCs/>
          <w:color w:val="1F2A37"/>
          <w:sz w:val="22"/>
          <w:szCs w:val="22"/>
        </w:rPr>
        <w:t>2.7 API endpoints</w:t>
      </w:r>
    </w:p>
    <w:tbl>
      <w:tblPr>
        <w:tblW w:w="9638" w:type="dxa"/>
        <w:jc w:val="start"/>
        <w:tblInd w:w="0" w:type="dxa"/>
        <w:tblLayout w:type="fixed"/>
        <w:tblCellMar>
          <w:top w:w="60" w:type="dxa"/>
          <w:start w:w="90" w:type="dxa"/>
          <w:bottom w:w="60" w:type="dxa"/>
          <w:end w:w="90" w:type="dxa"/>
        </w:tblCellMar>
      </w:tblPr>
      <w:tblGrid>
        <w:gridCol w:w="4700"/>
        <w:gridCol w:w="1399"/>
        <w:gridCol w:w="3539"/>
      </w:tblGrid>
      <w:tr>
        <w:trPr>
          <w:tblHeader w:val="true"/>
        </w:trPr>
        <w:tc>
          <w:tcPr>
            <w:tcW w:w="47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Endpoint</w:t>
            </w:r>
          </w:p>
        </w:tc>
        <w:tc>
          <w:tcPr>
            <w:tcW w:w="1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35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tả</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BUYER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Tạo offer từ listing</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PATCH /api/v1/contracts/{id}/terms</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BUYER/SELLER</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Đàm phán điều khoản (NEGOTIATING)</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/api/v1/contracts/{id}/sign/initiate</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BUYER/SELLER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InitiateSign — sinh &amp; gửi OTP</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/api/v1/contracts/{id}/sign/verify</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BUYER/SELLER</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VerifyOtpAndSign — tạo Signature</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/api/v1/contracts/{id}/milestones/{mid}/weigh</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Cân hàng đợt (UC-C2)</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/api/v1/contracts/{id}/milestones/{mid}/confirm</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BUYER</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CONFIRM_CLEAN (UC-C3)</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/api/v1/contracts/{id}/milestones/{mid}/flag</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BUYER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FLAG_ISSUE</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/api/v1/contracts/{id}/milestones/{mid}/respond</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Phản hồi flag / CONTESTED</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/api/v1/contracts/{id}/milestones/{mid}/force-majeure</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Claim bất khả kháng (UC-C4)</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/api/v1/contracts/{id}/milestones/{mid}/force-majeure/resolve</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ADMIN</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APPROVE/REJECT claim</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/api/v1/contracts/{id}/cancel</w:t>
            </w:r>
          </w:p>
        </w:tc>
        <w:tc>
          <w:tcPr>
            <w:tcW w:w="1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BUYER/SELLER</w:t>
            </w:r>
          </w:p>
        </w:tc>
        <w:tc>
          <w:tcPr>
            <w:tcW w:w="35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Huỷ pro-rata (UC-C5)</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GET /api/v1/contracts/{id}</w:t>
            </w:r>
          </w:p>
        </w:tc>
        <w:tc>
          <w:tcPr>
            <w:tcW w:w="1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các bên</w:t>
            </w:r>
          </w:p>
        </w:tc>
        <w:tc>
          <w:tcPr>
            <w:tcW w:w="35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Chi tiết hợp đồng + milestone</w:t>
            </w:r>
          </w:p>
        </w:tc>
      </w:tr>
    </w:tbl>
    <w:p>
      <w:pPr>
        <w:pStyle w:val="Heading3"/>
        <w:spacing w:before="240" w:after="80"/>
        <w:rPr/>
      </w:pPr>
      <w:bookmarkStart w:id="32" w:name="__RefHeading___Toc5550_AgriContract"/>
      <w:bookmarkEnd w:id="32"/>
      <w:r>
        <w:rPr>
          <w:rFonts w:eastAsia="Calibri" w:cs="Calibri" w:ascii="Calibri" w:hAnsi="Calibri"/>
          <w:b/>
          <w:bCs/>
          <w:color w:val="1F2A37"/>
          <w:sz w:val="22"/>
          <w:szCs w:val="22"/>
        </w:rPr>
        <w:t>2.8 Lược đồ dữ liệu (contract_db)</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contract (</w:t>
        <w:br/>
        <w:t xml:space="preserve">  contract_id         CHAR(36) PRIMARY KEY,</w:t>
        <w:br/>
        <w:t xml:space="preserve">  listing_id          CHAR(36) NOT NULL,          -- ref product-service (plain UUID)</w:t>
        <w:br/>
        <w:t xml:space="preserve">  buyer_id            CHAR(36) NOT NULL,          -- ref user-service</w:t>
        <w:br/>
        <w:t xml:space="preserve">  seller_id           CHAR(36) NOT NULL,          -- ref user-service</w:t>
        <w:br/>
        <w:t xml:space="preserve">  status              VARCHAR(28) NOT NULL,   -- OFFERED..ACTIVE/ACTIVATION_REFUND_PENDING/ACTIVATION_FAILED/SETTLED/CANCELLED</w:t>
        <w:br/>
        <w:t xml:space="preserve">  product_name        VARCHAR(255) NOT NULL,  -- snapshot bất biến</w:t>
        <w:br/>
        <w:t xml:space="preserve">  quantity            DECIMAL(15,2) NOT NULL, -- snapshot</w:t>
        <w:br/>
        <w:t xml:space="preserve">  agreed_price        DECIMAL(15,2) NOT NULL, -- snapshot (VND/kg)</w:t>
        <w:br/>
        <w:t xml:space="preserve">  total_amount        DECIMAL(15,2) NOT NULL,</w:t>
        <w:br/>
        <w:t xml:space="preserve">  signed_content_hash VARCHAR(64) NULL,       -- set lúc SIGNED</w:t>
        <w:br/>
        <w:t xml:space="preserve">  version             BIGINT NOT NULL DEFAULT 0,  -- optimistic lock</w:t>
        <w:br/>
        <w:t xml:space="preserve">  created_at          TIMESTAMP NOT NULL,</w:t>
        <w:br/>
        <w:t xml:space="preserve">  updated_at          TIMESTAMP NOT NULL</w:t>
        <w:br/>
        <w:t>);</w:t>
        <w:br/>
        <w:br/>
        <w:t>CREATE TABLE contract_terms (</w:t>
        <w:br/>
        <w:t xml:space="preserve">  contract_id                  CHAR(36) PRIMARY KEY REFERENCES contract(contract_id),</w:t>
        <w:br/>
        <w:t xml:space="preserve">  tolerance_rate               DECIMAL(5,4) NOT NULL,</w:t>
        <w:br/>
        <w:t xml:space="preserve">  shortfall_penalty_threshold  DECIMAL(5,4) NOT NULL DEFAULT 0.05,</w:t>
        <w:br/>
        <w:t xml:space="preserve">  buyer_penalty_rate           DECIMAL(5,4) NOT NULL,</w:t>
        <w:br/>
        <w:t xml:space="preserve">  seller_penalty_rate          DECIMAL(5,4) NOT NULL,</w:t>
        <w:br/>
        <w:t xml:space="preserve">  buyer_deposit_rate           DECIMAL(5,4) NOT NULL DEFAULT 0.05,</w:t>
        <w:br/>
        <w:t xml:space="preserve">  seller_deposit_rate          DECIMAL(5,4) NOT NULL DEFAULT 0,</w:t>
        <w:br/>
        <w:t xml:space="preserve">  dispute_floor_release_rate   DECIMAL(5,4) NOT NULL DEFAULT 0.50,</w:t>
        <w:br/>
        <w:t xml:space="preserve">  force_majeure_report_window_days INT NOT NULL DEFAULT 3</w:t>
        <w:br/>
        <w:t>);</w:t>
        <w:br/>
        <w:br/>
        <w:t>CREATE TABLE milestone_term (           -- lịch giao hàng bất biến (snapshot)</w:t>
        <w:br/>
        <w:t xml:space="preserve">  term_id             CHAR(36) PRIMARY KEY,</w:t>
        <w:br/>
        <w:t xml:space="preserve">  contract_id         CHAR(36) NOT NULL REFERENCES contract(contract_id),</w:t>
        <w:br/>
        <w:t xml:space="preserve">  milestone_index     INT NOT NULL,</w:t>
        <w:br/>
        <w:t xml:space="preserve">  committed_quantity  DECIMAL(15,2) NOT NULL,</w:t>
        <w:br/>
        <w:t xml:space="preserve">  batch_amount        DECIMAL(15,2) NOT NULL, -- committed_quantity × agreed_price</w:t>
        <w:br/>
        <w:t xml:space="preserve">  expected_delivery_date DATE NOT NULL,</w:t>
        <w:br/>
        <w:t xml:space="preserve">  grace_days          INT NOT NULL,</w:t>
        <w:br/>
        <w:t xml:space="preserve">  UNIQUE (contract_id, milestone_index)</w:t>
        <w:br/>
        <w:t>);</w:t>
        <w:br/>
        <w:br/>
        <w:t>CREATE TABLE milestone (                -- instance runtime</w:t>
        <w:br/>
        <w:t xml:space="preserve">  milestone_id           CHAR(36) PRIMARY KEY,</w:t>
        <w:br/>
        <w:t xml:space="preserve">  contract_id            CHAR(36) NOT NULL,</w:t>
        <w:br/>
        <w:t xml:space="preserve">  milestone_index        INT NOT NULL,</w:t>
        <w:br/>
        <w:t xml:space="preserve">  status                 VARCHAR(28) NOT NULL,  -- CREATED..SETTLED</w:t>
        <w:br/>
        <w:t xml:space="preserve">  seller_declared_weight DECIMAL(15,2) NULL,</w:t>
        <w:br/>
        <w:t xml:space="preserve">  seller_evidence_file_id CHAR(36) NULL,            -- ref file-service</w:t>
        <w:br/>
        <w:t xml:space="preserve">  buyer_received_weight  DECIMAL(15,2) NULL,</w:t>
        <w:br/>
        <w:t xml:space="preserve">  buyer_evidence_file_id CHAR(36) NULL,</w:t>
        <w:br/>
        <w:t xml:space="preserve">  force_majeure_claim_id CHAR(36) NULL,</w:t>
        <w:br/>
        <w:t xml:space="preserve">  version                BIGINT NOT NULL DEFAULT 0,</w:t>
        <w:br/>
        <w:t xml:space="preserve">  created_at             TIMESTAMP NOT NULL,</w:t>
        <w:br/>
        <w:t xml:space="preserve">  updated_at             TIMESTAMP NOT NULL</w:t>
        <w:br/>
        <w:t>);</w:t>
        <w:br/>
        <w:br/>
        <w:t>CREATE TABLE force_majeure_claim (</w:t>
        <w:br/>
        <w:t xml:space="preserve">  claim_id          CHAR(36) PRIMARY KEY,</w:t>
        <w:br/>
        <w:t xml:space="preserve">  milestone_id      CHAR(36) NOT NULL,</w:t>
        <w:br/>
        <w:t xml:space="preserve">  contract_id       CHAR(36) NOT NULL,</w:t>
        <w:br/>
        <w:t xml:space="preserve">  status            VARCHAR(20) NOT NULL,  -- PENDING_REVIEW/APPROVED/REJECTED/ESCALATED</w:t>
        <w:br/>
        <w:t xml:space="preserve">  evidence_file_id  CHAR(36) NOT NULL,</w:t>
        <w:br/>
        <w:t xml:space="preserve">  claimed_at        TIMESTAMP NOT NULL,</w:t>
        <w:br/>
        <w:t xml:space="preserve">  reviewed_by       CHAR(36) NULL,</w:t>
        <w:br/>
        <w:t xml:space="preserve">  reviewed_at       TIMESTAMP NULL</w:t>
        <w:br/>
        <w:t>);</w:t>
      </w:r>
    </w:p>
    <w:p>
      <w:pPr>
        <w:pStyle w:val="Normal"/>
        <w:spacing w:lineRule="auto" w:line="276" w:before="0" w:after="120"/>
        <w:jc w:val="both"/>
        <w:rPr/>
      </w:pPr>
      <w:r>
        <w:rPr>
          <w:rFonts w:eastAsia="Calibri" w:cs="Calibri"/>
          <w:b w:val="false"/>
          <w:bCs w:val="false"/>
          <w:i w:val="false"/>
          <w:iCs w:val="false"/>
          <w:color w:val="111827"/>
          <w:sz w:val="21"/>
          <w:szCs w:val="21"/>
        </w:rPr>
        <w:t>Chữ ký + OTP + outbox (cùng contract_db):</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signature (</w:t>
        <w:br/>
        <w:t xml:space="preserve">  signature_id        CHAR(36) PRIMARY KEY,</w:t>
        <w:br/>
        <w:t xml:space="preserve">  contract_id         CHAR(36) NOT NULL REFERENCES contract(contract_id),</w:t>
        <w:br/>
        <w:t xml:space="preserve">  signer_role         VARCHAR(10) NOT NULL,  -- BUYER | SELLER</w:t>
        <w:br/>
        <w:t xml:space="preserve">  signer_user_id      CHAR(36) NOT NULL,         -- = JWT sub</w:t>
        <w:br/>
        <w:t xml:space="preserve">  auth_time           TIMESTAMP NOT NULL,    -- = JWT auth_time (sau step-up)</w:t>
        <w:br/>
        <w:t xml:space="preserve">  signed_at           TIMESTAMP NOT NULL,</w:t>
        <w:br/>
        <w:t xml:space="preserve">  signed_content_hash VARCHAR(64) NOT NULL,</w:t>
        <w:br/>
        <w:t xml:space="preserve">  ip_address          VARCHAR(45),</w:t>
        <w:br/>
        <w:t xml:space="preserve">  UNIQUE (contract_id, signer_role)</w:t>
        <w:br/>
        <w:t>);</w:t>
        <w:br/>
        <w:br/>
        <w:t>CREATE TABLE signature_otp (</w:t>
        <w:br/>
        <w:t xml:space="preserve">  otp_id        CHAR(36) PRIMARY KEY,</w:t>
        <w:br/>
        <w:t xml:space="preserve">  contract_id   CHAR(36) NOT NULL REFERENCES contract(contract_id),</w:t>
        <w:br/>
        <w:t xml:space="preserve">  signer_role  VARCHAR(10) NOT NULL, -- BUYER|SELLER</w:t>
        <w:br/>
        <w:t xml:space="preserve">  user_id      CHAR(36) NOT NULL,</w:t>
        <w:br/>
        <w:t xml:space="preserve">  auth_time    TIMESTAMP(3) NOT NULL,</w:t>
        <w:br/>
        <w:t xml:space="preserve">  signed_content_hash VARCHAR(64) NOT NULL,</w:t>
        <w:br/>
        <w:t xml:space="preserve">  otp_hash     VARCHAR(64) NOT NULL, -- HMAC-SHA256(OTP, serverPepper), không plaintext</w:t>
        <w:br/>
        <w:t xml:space="preserve">  sent_at      TIMESTAMP(3) NOT NULL, expires_at TIMESTAMP(3) NOT NULL,</w:t>
        <w:br/>
        <w:t xml:space="preserve">  verified_at  TIMESTAMP(3) NULL, attempt_count INT NOT NULL DEFAULT 0</w:t>
        <w:br/>
        <w:t>);</w:t>
        <w:br/>
        <w:br/>
        <w:t>CREATE TABLE milestone_sync_outbox (    -- Local Outbox (§2.6)</w:t>
        <w:br/>
        <w:t xml:space="preserve">  outbox_id CHAR(36) PRIMARY KEY, milestone_id CHAR(36) NOT NULL, contract_id CHAR(36) NOT NULL,</w:t>
        <w:br/>
        <w:t xml:space="preserve">  processed BOOLEAN NOT NULL DEFAULT false, retry_count INT NOT NULL DEFAULT 0,</w:t>
        <w:br/>
        <w:t xml:space="preserve">  last_attempt_at TIMESTAMP NULL, created_at TIMESTAMP NOT NULL, processed_at TIMESTAMP NULL</w:t>
        <w:br/>
        <w:t>);</w:t>
        <w:br/>
        <w:br/>
        <w:t>CREATE TABLE contract_domain_events (   -- Transactional Outbox → RabbitMQ</w:t>
        <w:br/>
        <w:t xml:space="preserve">  event_id CHAR(36) PRIMARY KEY, aggregate_id CHAR(36) NOT NULL, routing_key VARCHAR(60) NOT NULL,</w:t>
        <w:br/>
        <w:t xml:space="preserve">  payload JSON NOT NULL, status VARCHAR(10) NOT NULL DEFAULT 'PENDING',</w:t>
        <w:br/>
        <w:t xml:space="preserve">  created_at TIMESTAMP NOT NULL, published_at TIMESTAMP NULL</w:t>
        <w:br/>
        <w:t>);</w:t>
      </w:r>
    </w:p>
    <w:p>
      <w:pPr>
        <w:pStyle w:val="Heading2"/>
        <w:pBdr>
          <w:bottom w:val="single" w:sz="6" w:space="6" w:color="D1D5DB"/>
        </w:pBdr>
        <w:spacing w:before="320" w:after="120"/>
        <w:rPr/>
      </w:pPr>
      <w:bookmarkStart w:id="33" w:name="__RefHeading___Toc5552_AgriContract"/>
      <w:bookmarkEnd w:id="33"/>
      <w:r>
        <w:rPr>
          <w:rFonts w:eastAsia="Calibri" w:cs="Calibri" w:ascii="Calibri" w:hAnsi="Calibri"/>
          <w:b/>
          <w:bCs/>
          <w:color w:val="1F2A37"/>
          <w:sz w:val="25"/>
          <w:szCs w:val="25"/>
        </w:rPr>
        <w:t>3. escrow-service</w:t>
      </w:r>
    </w:p>
    <w:p>
      <w:pPr>
        <w:pStyle w:val="Heading3"/>
        <w:spacing w:before="240" w:after="80"/>
        <w:rPr/>
      </w:pPr>
      <w:bookmarkStart w:id="34" w:name="__RefHeading___Toc5554_AgriContract"/>
      <w:bookmarkEnd w:id="34"/>
      <w:r>
        <w:rPr>
          <w:rFonts w:eastAsia="Calibri" w:cs="Calibri" w:ascii="Calibri" w:hAnsi="Calibri"/>
          <w:b/>
          <w:bCs/>
          <w:color w:val="1F2A37"/>
          <w:sz w:val="22"/>
          <w:szCs w:val="22"/>
        </w:rPr>
        <w:t>3.1 Trách nhiệm và mô hình miền</w:t>
      </w:r>
    </w:p>
    <w:p>
      <w:pPr>
        <w:pStyle w:val="Normal"/>
        <w:spacing w:lineRule="auto" w:line="276" w:before="0" w:after="120"/>
        <w:jc w:val="both"/>
        <w:rPr/>
      </w:pPr>
      <w:r>
        <w:rPr>
          <w:rFonts w:eastAsia="Calibri" w:cs="Calibri"/>
          <w:b w:val="false"/>
          <w:bCs w:val="false"/>
          <w:i w:val="false"/>
          <w:iCs w:val="false"/>
          <w:color w:val="111827"/>
          <w:sz w:val="21"/>
          <w:szCs w:val="21"/>
        </w:rPr>
        <w:t>escrow-service là actor duy nhất gọi bank-service. EscrowAccount (một per contract) và EscrowMilestone (một per milestone) CHỈ giữ state, không lưu con số tiền — số tiền thật là single source of truth ở ledger bank-service. Giữ thêm con số ở đây là dual-write.</w:t>
      </w:r>
    </w:p>
    <w:tbl>
      <w:tblPr>
        <w:tblW w:w="9638" w:type="dxa"/>
        <w:jc w:val="start"/>
        <w:tblInd w:w="0" w:type="dxa"/>
        <w:tblLayout w:type="fixed"/>
        <w:tblCellMar>
          <w:top w:w="60" w:type="dxa"/>
          <w:start w:w="90" w:type="dxa"/>
          <w:bottom w:w="60" w:type="dxa"/>
          <w:end w:w="90" w:type="dxa"/>
        </w:tblCellMar>
      </w:tblPr>
      <w:tblGrid>
        <w:gridCol w:w="2399"/>
        <w:gridCol w:w="2201"/>
        <w:gridCol w:w="5038"/>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Aggregate</w:t>
            </w:r>
          </w:p>
        </w:tc>
        <w:tc>
          <w:tcPr>
            <w:tcW w:w="2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Loại</w:t>
            </w:r>
          </w:p>
        </w:tc>
        <w:tc>
          <w:tcPr>
            <w:tcW w:w="50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Trạng thái quản lý</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EscrowAccount</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Aggregate root (per contract)</w:t>
            </w:r>
          </w:p>
        </w:tc>
        <w:tc>
          <w:tcPr>
            <w:tcW w:w="5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Trạng thái cọc cấp hợp đồng — 2 field độc lập: buyerDepositState (DEPOSIT_LOCKED/RELEASED/SEIZED) và sellerDepositState (mới, 06/07/2026, cùng 3 giá trị — chỉ có ý nghĩa khi sellerDepositRate &gt; 0)</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EscrowMilestone</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Entity (per milestone)</w:t>
            </w:r>
          </w:p>
        </w:tc>
        <w:tc>
          <w:tcPr>
            <w:tcW w:w="5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Trạng thái batch: LOCKED / PROVISIONALLY_RELEASED / RELEASED / REFUNDED_PARTIAL / PENALIZED; bufferAmount là snapshot phán quyết, không phải số dư</w:t>
            </w:r>
          </w:p>
        </w:tc>
      </w:tr>
    </w:tbl>
    <w:p>
      <w:pPr>
        <w:pStyle w:val="Heading3"/>
        <w:spacing w:before="240" w:after="80"/>
        <w:rPr/>
      </w:pPr>
      <w:bookmarkStart w:id="35" w:name="__RefHeading___Toc5556_AgriContract"/>
      <w:bookmarkEnd w:id="35"/>
      <w:r>
        <w:rPr>
          <w:rFonts w:eastAsia="Calibri" w:cs="Calibri" w:ascii="Calibri" w:hAnsi="Calibri"/>
          <w:b/>
          <w:bCs/>
          <w:color w:val="1F2A37"/>
          <w:sz w:val="22"/>
          <w:szCs w:val="22"/>
        </w:rPr>
        <w:t>3.2 Use case (event-driven)</w:t>
      </w:r>
    </w:p>
    <w:p>
      <w:pPr>
        <w:pStyle w:val="Normal"/>
        <w:spacing w:before="140" w:after="40"/>
        <w:rPr/>
      </w:pPr>
      <w:r>
        <w:rPr>
          <w:rFonts w:eastAsia="Calibri" w:cs="Calibri"/>
          <w:b/>
          <w:bCs/>
          <w:color w:val="1F2A37"/>
          <w:sz w:val="21"/>
          <w:szCs w:val="21"/>
        </w:rPr>
        <w:t>UC-E1 — Khoá cọc cấp hợp đồng khi SIGNED</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Trigger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Nhận contract.signed — payload mang sẵn buyerDepositAmount/sellerDepositAmount (đã tính = rate × totalAmount ở contract-service). escrow-service KHÔNG tự nhân rate×totalAmount: là event consumer, không Feign ngược lấy ContractTerms, nên payload phải mang amount đã tính</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Gửi bank.lock_requested(entryType=LOCK_BUYER_DEPOSIT, milestoneId=NULL, amount=buyerDepositAmount, sourceEventId) → đợi bank.lock_completed → set buyerDepositState=DEPOSIT_LOCKED. Nếu sellerDepositAmount&gt;0: gửi thêm 1 bank.lock_requested riêng (entryType=LOCK_SELLER_DEPOSIT, userId=sellerId, sourceEventId khác) → set sellerDepositState=DEPOSIT_LOCKED (sellerDepositAmount=0 → bỏ qua, không bắn thêm LedgerEntry). Cả 2 khoản cần khoá xong (chỉ buyer nếu sellerDepositAmount=0) → publish escrow.deposit_locked(contractId, buyerDepositState, sellerDepositState) — contract-service consume để chuyển ACTIVE; escrow-service tự dùng làm tín hiệu nối tiếp lock batchAmount milestone đầu tiên (UC-E2), không cần round-trip qua contract-service</w:t>
            </w:r>
          </w:p>
        </w:tc>
      </w:tr>
    </w:tbl>
    <w:p>
      <w:pPr>
        <w:pStyle w:val="Normal"/>
        <w:spacing w:before="140" w:after="40"/>
        <w:rPr/>
      </w:pPr>
      <w:r>
        <w:rPr>
          <w:rFonts w:eastAsia="Calibri" w:cs="Calibri"/>
          <w:b/>
          <w:bCs/>
          <w:color w:val="1F2A37"/>
          <w:sz w:val="21"/>
          <w:szCs w:val="21"/>
        </w:rPr>
        <w:t>UC-E2 — Khoá batchAmount đợt (lock sớm)</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Trigger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 ACTIVE (milestone đầu) hoặc milestone trước SETTLED</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bank.lock_requested(LOCK_MILESTONE, milestoneId, batchAmount, sourceEventId) → bank.lock_completed → EscrowMilestone LOCKED</w:t>
            </w:r>
          </w:p>
        </w:tc>
      </w:tr>
    </w:tbl>
    <w:p>
      <w:pPr>
        <w:pStyle w:val="Normal"/>
        <w:spacing w:before="140" w:after="40"/>
        <w:rPr/>
      </w:pPr>
      <w:r>
        <w:rPr>
          <w:rFonts w:eastAsia="Calibri" w:cs="Calibri"/>
          <w:b/>
          <w:bCs/>
          <w:color w:val="1F2A37"/>
          <w:sz w:val="21"/>
          <w:szCs w:val="21"/>
        </w:rPr>
        <w:t>UC-E3 — Quyết toán đợt (pro-rata Delta 1/2)</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Trigger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Nhận milestone.settled (mang lockedAmount, actualAmount)</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Tính diff = lockedAmount − actualAmount. Nếu diff&gt;0: bank.release_requested(RELEASE_TO_SELLER, actualAmount) + bank.refund_requested(REFUND_TO_BUYER, diff), 2 sourceEventId riêng. Nếu diff==0: chỉ release. → EscrowMilestone RELEASED</w:t>
            </w:r>
          </w:p>
        </w:tc>
      </w:tr>
    </w:tbl>
    <w:p>
      <w:pPr>
        <w:pStyle w:val="Normal"/>
        <w:spacing w:before="140" w:after="40"/>
        <w:rPr/>
      </w:pPr>
      <w:r>
        <w:rPr>
          <w:rFonts w:eastAsia="Calibri" w:cs="Calibri"/>
          <w:b/>
          <w:bCs/>
          <w:color w:val="1F2A37"/>
          <w:sz w:val="21"/>
          <w:szCs w:val="21"/>
        </w:rPr>
        <w:t>UC-E4 — Xử lý cọc lúc kết thúc/huỷ</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Trigger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contract.settled hoặc contract.cancelled(initiatedBy)</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contract.settled → refund buyerDepositRate về buyer (REFUND_TO_BUYER, milestoneId=NULL); nếu có sellerDepositRate đã khoá → release về seller (RELEASE_TO_SELLER). contract.cancelled SELLER → refund buyerDepositRate về buyer; nếu có sellerDepositRate đã khoá → seize (SEIZE_PENALTY), offset vào penalty debt (mới, 06/07/2026). contract.cancelled BUYER → seize buyerDepositRate chuyển seller (SEIZE_PENALTY); nếu có sellerDepositRate đã khoá → release về seller (seller không phải bên phá kèo, mới 06/07/2026). milestone.cancelled_with_penalty → seize batchAmount đang khoá nếu có</w:t>
            </w:r>
          </w:p>
        </w:tc>
      </w:tr>
    </w:tbl>
    <w:p>
      <w:pPr>
        <w:pStyle w:val="Normal"/>
        <w:spacing w:lineRule="auto" w:line="276" w:before="0" w:after="120"/>
        <w:jc w:val="both"/>
        <w:rPr/>
      </w:pPr>
      <w:r>
        <w:rPr>
          <w:rFonts w:eastAsia="Calibri" w:cs="Calibri"/>
          <w:b w:val="false"/>
          <w:bCs w:val="false"/>
          <w:i w:val="false"/>
          <w:iCs w:val="false"/>
          <w:color w:val="111827"/>
          <w:sz w:val="21"/>
          <w:szCs w:val="21"/>
        </w:rPr>
        <w:t>Toàn bộ đợi confirmation event mới đổi state. Với lock cọc kích hoạt, bank.lock_failed được retry per-leg tối đa 3 lần (5m/30m/2h), cùng sourceEventId; hết retry publish escrow.deposit_lock_failed. Với release/seize/refund, failure giữ state hiện tại, alert và retry idempotent; không tự coi là thành công.</w:t>
      </w:r>
    </w:p>
    <w:p>
      <w:pPr>
        <w:pStyle w:val="Heading3"/>
        <w:spacing w:before="240" w:after="80"/>
        <w:rPr/>
      </w:pPr>
      <w:bookmarkStart w:id="36" w:name="__RefHeading___Toc5558_AgriContract"/>
      <w:bookmarkEnd w:id="36"/>
      <w:r>
        <w:rPr>
          <w:rFonts w:eastAsia="Calibri" w:cs="Calibri" w:ascii="Calibri" w:hAnsi="Calibri"/>
          <w:b/>
          <w:bCs/>
          <w:color w:val="1F2A37"/>
          <w:sz w:val="22"/>
          <w:szCs w:val="22"/>
        </w:rPr>
        <w:t>3.3 API &amp; lược đồ dữ liệu (escrow_db)</w:t>
      </w:r>
    </w:p>
    <w:p>
      <w:pPr>
        <w:pStyle w:val="Normal"/>
        <w:spacing w:lineRule="auto" w:line="276" w:before="0" w:after="120"/>
        <w:jc w:val="both"/>
        <w:rPr/>
      </w:pPr>
      <w:r>
        <w:rPr>
          <w:rFonts w:eastAsia="Calibri" w:cs="Calibri"/>
          <w:b w:val="false"/>
          <w:bCs w:val="false"/>
          <w:i w:val="false"/>
          <w:iCs w:val="false"/>
          <w:color w:val="111827"/>
          <w:sz w:val="21"/>
          <w:szCs w:val="21"/>
        </w:rPr>
        <w:t>Giao tiếp chính qua event; REST chỉ để đọc trạng thái: GET /api/v1/escrow/accounts/{contractId} và .../milestones.</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escrow_account (</w:t>
        <w:br/>
        <w:t xml:space="preserve">  escrow_account_id CHAR(36) PRIMARY KEY,</w:t>
        <w:br/>
        <w:t xml:space="preserve">  contract_id       CHAR(36) NOT NULL UNIQUE,</w:t>
        <w:br/>
        <w:t xml:space="preserve">  deposit_status    VARCHAR(20) NOT NULL,  -- buyerDepositRate: DEPOSIT_LOCKED/RELEASED/SEIZED</w:t>
        <w:br/>
        <w:t xml:space="preserve">  seller_deposit_status VARCHAR(20) NULL,  -- sellerDepositRate (mới, 06/07/2026), NULL nếu rate=0 — cùng 3 giá trị</w:t>
        <w:br/>
        <w:t xml:space="preserve">  version           BIGINT NOT NULL DEFAULT 0,</w:t>
        <w:br/>
        <w:t xml:space="preserve">  created_at        TIMESTAMP NOT NULL</w:t>
        <w:br/>
        <w:t>);</w:t>
        <w:br/>
        <w:t>CREATE TABLE escrow_milestone (</w:t>
        <w:br/>
        <w:t xml:space="preserve">  escrow_milestone_id CHAR(36) PRIMARY KEY,</w:t>
        <w:br/>
        <w:t xml:space="preserve">  escrow_account_id   CHAR(36) NOT NULL REFERENCES escrow_account(escrow_account_id),</w:t>
        <w:br/>
        <w:t xml:space="preserve">  milestone_id        CHAR(36) NOT NULL,        -- ref contract-service (plain UUID)</w:t>
        <w:br/>
        <w:t xml:space="preserve">  milestone_index     INT NOT NULL,</w:t>
        <w:br/>
        <w:t xml:space="preserve">  status              VARCHAR(28) NOT NULL, -- LOCKED/PROVISIONALLY_RELEASED/RELEASED/REFUNDED_PARTIAL/PENALIZED</w:t>
        <w:br/>
        <w:t xml:space="preserve">  buffer_amount       DECIMAL(15,2) NULL, -- immutable decision snapshot, không phải balance</w:t>
        <w:br/>
        <w:t xml:space="preserve">  version             BIGINT NOT NULL DEFAULT 0</w:t>
        <w:br/>
        <w:t>);</w:t>
      </w:r>
    </w:p>
    <w:p>
      <w:pPr>
        <w:pStyle w:val="Heading2"/>
        <w:pBdr>
          <w:bottom w:val="single" w:sz="6" w:space="6" w:color="D1D5DB"/>
        </w:pBdr>
        <w:spacing w:before="320" w:after="120"/>
        <w:rPr/>
      </w:pPr>
      <w:bookmarkStart w:id="37" w:name="__RefHeading___Toc5560_AgriContract"/>
      <w:bookmarkEnd w:id="37"/>
      <w:r>
        <w:rPr>
          <w:rFonts w:eastAsia="Calibri" w:cs="Calibri" w:ascii="Calibri" w:hAnsi="Calibri"/>
          <w:b/>
          <w:bCs/>
          <w:color w:val="1F2A37"/>
          <w:sz w:val="25"/>
          <w:szCs w:val="25"/>
        </w:rPr>
        <w:t>4. bank-service</w:t>
      </w:r>
    </w:p>
    <w:p>
      <w:pPr>
        <w:pStyle w:val="Heading3"/>
        <w:spacing w:before="240" w:after="80"/>
        <w:rPr/>
      </w:pPr>
      <w:bookmarkStart w:id="38" w:name="__RefHeading___Toc5562_AgriContract"/>
      <w:bookmarkEnd w:id="38"/>
      <w:r>
        <w:rPr>
          <w:rFonts w:eastAsia="Calibri" w:cs="Calibri" w:ascii="Calibri" w:hAnsi="Calibri"/>
          <w:b/>
          <w:bCs/>
          <w:color w:val="1F2A37"/>
          <w:sz w:val="22"/>
          <w:szCs w:val="22"/>
        </w:rPr>
        <w:t>4.1 Trách nhiệm và mô hình ledger</w:t>
      </w:r>
    </w:p>
    <w:p>
      <w:pPr>
        <w:pStyle w:val="Normal"/>
        <w:spacing w:lineRule="auto" w:line="276" w:before="0" w:after="120"/>
        <w:jc w:val="both"/>
        <w:rPr/>
      </w:pPr>
      <w:r>
        <w:rPr>
          <w:rFonts w:eastAsia="Calibri" w:cs="Calibri"/>
          <w:b w:val="false"/>
          <w:bCs w:val="false"/>
          <w:i w:val="false"/>
          <w:iCs w:val="false"/>
          <w:color w:val="111827"/>
          <w:sz w:val="21"/>
          <w:szCs w:val="21"/>
        </w:rPr>
        <w:t>Giữ tiền hợp pháp (mock) — mô hình FBO/Omnibus: toàn bộ quyền sở hữu theo LedgerEntry append-only. Số dư derive bằng SUM; escrow-service là actor duy nhất phát lệnh tiền. DB principal runtime của bank-service chỉ INSERT + SELECT trên ledger_entry, không UPDATE/DELETE; mọi sửa sai bằng reversal entry có attribution.</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Nghị định 52/2024/NĐ-CP, Điều 8 Khoản 7. </w:t>
      </w:r>
      <w:r>
        <w:rPr>
          <w:rFonts w:eastAsia="Calibri" w:cs="Calibri"/>
          <w:color w:val="374151"/>
          <w:sz w:val="20"/>
          <w:szCs w:val="20"/>
        </w:rPr>
        <w:t>Ngân hàng (trong triển khai thật) giữ tiền, nền tảng chỉ ra lệnh — không thuộc phạm vi phải xin giấy phép trung gian thanh toán. Trong đồ án, bank-service là mock với interface event sạch để thay bằng tích hợp thật mà không đổi business logic escrow.</w:t>
      </w:r>
    </w:p>
    <w:p>
      <w:pPr>
        <w:pStyle w:val="Heading3"/>
        <w:spacing w:before="240" w:after="80"/>
        <w:rPr/>
      </w:pPr>
      <w:bookmarkStart w:id="39" w:name="__RefHeading___Toc5564_AgriContract"/>
      <w:bookmarkEnd w:id="39"/>
      <w:r>
        <w:rPr>
          <w:rFonts w:eastAsia="Calibri" w:cs="Calibri" w:ascii="Calibri" w:hAnsi="Calibri"/>
          <w:b/>
          <w:bCs/>
          <w:color w:val="1F2A37"/>
          <w:sz w:val="22"/>
          <w:szCs w:val="22"/>
        </w:rPr>
        <w:t>4.2 Idempotency và cặp lệnh–xác nhận</w:t>
      </w:r>
    </w:p>
    <w:p>
      <w:pPr>
        <w:pStyle w:val="Normal"/>
        <w:spacing w:lineRule="auto" w:line="276" w:before="0" w:after="120"/>
        <w:jc w:val="both"/>
        <w:rPr/>
      </w:pPr>
      <w:r>
        <w:rPr>
          <w:rFonts w:eastAsia="Calibri" w:cs="Calibri"/>
          <w:b w:val="false"/>
          <w:bCs w:val="false"/>
          <w:i w:val="false"/>
          <w:iCs w:val="false"/>
          <w:color w:val="111827"/>
          <w:sz w:val="21"/>
          <w:szCs w:val="21"/>
        </w:rPr>
        <w:t>RabbitMQ at-least-once → bank có thể nhận cùng một bank.lock_requested nhiều lần. Idempotency key = sourceEventId (ID của outbox message escrow gửi sang), UNIQUE trên ledger_entry — không dùng compound business key vì một (contractId, milestoneId) trải qua nhiều entryType theo thời gian, không unique per message.</w:t>
      </w:r>
    </w:p>
    <w:p>
      <w:pPr>
        <w:pStyle w:val="Normal"/>
        <w:spacing w:lineRule="auto" w:line="276" w:before="0" w:after="120"/>
        <w:jc w:val="both"/>
        <w:rPr/>
      </w:pPr>
      <w:r>
        <w:rPr>
          <w:rFonts w:eastAsia="Calibri" w:cs="Calibri"/>
          <w:b/>
          <w:bCs/>
          <w:i w:val="false"/>
          <w:iCs w:val="false"/>
          <w:color w:val="111827"/>
          <w:sz w:val="21"/>
          <w:szCs w:val="21"/>
        </w:rPr>
        <w:t xml:space="preserve">Xử lý trùng: </w:t>
      </w:r>
      <w:r>
        <w:rPr>
          <w:rFonts w:eastAsia="Calibri" w:cs="Calibri"/>
          <w:b w:val="false"/>
          <w:bCs w:val="false"/>
          <w:i w:val="false"/>
          <w:iCs w:val="false"/>
          <w:color w:val="111827"/>
          <w:sz w:val="21"/>
          <w:szCs w:val="21"/>
        </w:rPr>
        <w:t>nhận sourceEventId đã tồn tại → KHÔNG insert lại, nhưng VẪN re-publish confirmation tương ứng (không silent-drop). Vì lý do gửi lại có thể là confirmation lần trước bị mất trên đường về; silent-drop khiến escrow treo chờ mãi.</w:t>
      </w:r>
    </w:p>
    <w:tbl>
      <w:tblPr>
        <w:tblW w:w="9638" w:type="dxa"/>
        <w:jc w:val="start"/>
        <w:tblInd w:w="0" w:type="dxa"/>
        <w:tblLayout w:type="fixed"/>
        <w:tblCellMar>
          <w:top w:w="60" w:type="dxa"/>
          <w:start w:w="90" w:type="dxa"/>
          <w:bottom w:w="60" w:type="dxa"/>
          <w:end w:w="90" w:type="dxa"/>
        </w:tblCellMar>
      </w:tblPr>
      <w:tblGrid>
        <w:gridCol w:w="3400"/>
        <w:gridCol w:w="3099"/>
        <w:gridCol w:w="3139"/>
      </w:tblGrid>
      <w:tr>
        <w:trPr>
          <w:tblHeader w:val="true"/>
        </w:trPr>
        <w:tc>
          <w:tcPr>
            <w:tcW w:w="3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Lệnh (escrow → bank)</w:t>
            </w:r>
          </w:p>
        </w:tc>
        <w:tc>
          <w:tcPr>
            <w:tcW w:w="30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Xác nhận (bank → escrow)</w:t>
            </w:r>
          </w:p>
        </w:tc>
        <w:tc>
          <w:tcPr>
            <w:tcW w:w="31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Ledger entryType</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bank.lock_requested</w:t>
            </w:r>
          </w:p>
        </w:tc>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bank.lock_completed / _failed</w:t>
            </w:r>
          </w:p>
        </w:tc>
        <w:tc>
          <w:tcPr>
            <w:tcW w:w="31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LOCK_BUYER_DEPOSIT / LOCK_SELLER_DEPOSIT / LOCK_MILESTONE</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bank.release_requested</w:t>
            </w:r>
          </w:p>
        </w:tc>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bank.release_completed / _failed</w:t>
            </w:r>
          </w:p>
        </w:tc>
        <w:tc>
          <w:tcPr>
            <w:tcW w:w="31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RELEASE_TO_SELLER</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bank.seize_requested</w:t>
            </w:r>
          </w:p>
        </w:tc>
        <w:tc>
          <w:tcPr>
            <w:tcW w:w="30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bank.seize_completed / _failed</w:t>
            </w:r>
          </w:p>
        </w:tc>
        <w:tc>
          <w:tcPr>
            <w:tcW w:w="31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SEIZE_PENALTY</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bank.refund_requested</w:t>
            </w:r>
          </w:p>
        </w:tc>
        <w:tc>
          <w:tcPr>
            <w:tcW w:w="30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bank.refund_completed / _failed</w:t>
            </w:r>
          </w:p>
        </w:tc>
        <w:tc>
          <w:tcPr>
            <w:tcW w:w="31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REFUND_TO_BUYER</w:t>
            </w:r>
          </w:p>
        </w:tc>
      </w:tr>
    </w:tbl>
    <w:p>
      <w:pPr>
        <w:pStyle w:val="Heading3"/>
        <w:spacing w:before="240" w:after="80"/>
        <w:rPr/>
      </w:pPr>
      <w:bookmarkStart w:id="40" w:name="__RefHeading___Toc5566_AgriContract"/>
      <w:bookmarkEnd w:id="40"/>
      <w:r>
        <w:rPr>
          <w:rFonts w:eastAsia="Calibri" w:cs="Calibri" w:ascii="Calibri" w:hAnsi="Calibri"/>
          <w:b/>
          <w:bCs/>
          <w:color w:val="1F2A37"/>
          <w:sz w:val="22"/>
          <w:szCs w:val="22"/>
        </w:rPr>
        <w:t>4.3 Lược đồ dữ liệu (bank_db)</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ledger_entry (</w:t>
        <w:br/>
        <w:t xml:space="preserve">  entry_id        CHAR(36) PRIMARY KEY,</w:t>
        <w:br/>
        <w:t xml:space="preserve">  source_event_id CHAR(36) NOT NULL UNIQUE,   -- idempotency key (§4.2)</w:t>
        <w:br/>
        <w:t xml:space="preserve">  contract_id     CHAR(36) NOT NULL,</w:t>
        <w:br/>
        <w:t xml:space="preserve">  milestone_id    CHAR(36) NULL,              -- NULL = buyerDepositRate (cấp contract)</w:t>
        <w:br/>
        <w:t xml:space="preserve">  user_id         CHAR(36) NOT NULL,</w:t>
        <w:br/>
        <w:t xml:space="preserve">  entry_type      VARCHAR(24) NOT NULL,   -- LOCK_BUYER_DEPOSIT|LOCK_SELLER_DEPOSIT|LOCK_MILESTONE</w:t>
        <w:br/>
        <w:t xml:space="preserve">                                          -- |RELEASE_TO_SELLER|SEIZE_PENALTY|REFUND_TO_BUYER</w:t>
        <w:br/>
        <w:t xml:space="preserve">  amount          DECIMAL(15,2) NOT NULL,</w:t>
        <w:br/>
        <w:t xml:space="preserve">  created_at      TIMESTAMP NOT NULL DEFAULT now()</w:t>
        <w:br/>
        <w:t>);</w:t>
        <w:br/>
        <w:t>CREATE INDEX idx_ledger_contract ON ledger_entry(contract_id, milestone_id);</w:t>
        <w:br/>
        <w:t>CREATE INDEX idx_ledger_user ON ledger_entry(user_id);</w:t>
        <w:br/>
        <w:t>-- DB principal: INSERT + SELECT only; không UPDATE/DELETE ledger_entry.</w:t>
        <w:br/>
        <w:t>-- Không có bảng 'account': số dư = SUM(amount) lọc theo tiêu chí, tính lúc cần.</w:t>
      </w:r>
    </w:p>
    <w:p>
      <w:pPr>
        <w:pStyle w:val="Normal"/>
        <w:spacing w:lineRule="auto" w:line="276" w:before="0" w:after="120"/>
        <w:jc w:val="both"/>
        <w:rPr/>
      </w:pPr>
      <w:r>
        <w:rPr>
          <w:rFonts w:eastAsia="Calibri" w:cs="Calibri"/>
          <w:b/>
          <w:bCs/>
          <w:i w:val="false"/>
          <w:iCs w:val="false"/>
          <w:color w:val="111827"/>
          <w:sz w:val="21"/>
          <w:szCs w:val="21"/>
        </w:rPr>
        <w:t xml:space="preserve">Ghi chú tách 2 loại cọc (08/07/2026): </w:t>
      </w:r>
      <w:r>
        <w:rPr>
          <w:rFonts w:eastAsia="Calibri" w:cs="Calibri"/>
          <w:b w:val="false"/>
          <w:bCs w:val="false"/>
          <w:i w:val="false"/>
          <w:iCs w:val="false"/>
          <w:color w:val="111827"/>
          <w:sz w:val="21"/>
          <w:szCs w:val="21"/>
        </w:rPr>
        <w:t>buyerDepositRate dùng LOCK_BUYER_DEPOSIT, sellerDepositRate (optional) dùng LOCK_SELLER_DEPOSIT — 2 entryType riêng để ledger phân biệt được nguồn cọc lúc release/seize/refund, thay vì gộp chung LOCK_DEPOSIT.</w:t>
      </w:r>
    </w:p>
    <w:p>
      <w:pPr>
        <w:pStyle w:val="Heading3"/>
        <w:spacing w:before="240" w:after="80"/>
        <w:rPr/>
      </w:pPr>
      <w:bookmarkStart w:id="41" w:name="__RefHeading___Toc5568_AgriContract"/>
      <w:bookmarkEnd w:id="41"/>
      <w:r>
        <w:rPr>
          <w:rFonts w:eastAsia="Calibri" w:cs="Calibri" w:ascii="Calibri" w:hAnsi="Calibri"/>
          <w:b/>
          <w:bCs/>
          <w:color w:val="1F2A37"/>
          <w:sz w:val="22"/>
          <w:szCs w:val="22"/>
        </w:rPr>
        <w:t>4.4 bank.large_transaction_flagged — báo cáo giao dịch giá trị lớn, không hold</w:t>
      </w:r>
    </w:p>
    <w:p>
      <w:pPr>
        <w:pStyle w:val="Normal"/>
        <w:spacing w:lineRule="auto" w:line="276" w:before="0" w:after="120"/>
        <w:jc w:val="both"/>
        <w:rPr/>
      </w:pPr>
      <w:r>
        <w:rPr>
          <w:rFonts w:eastAsia="Calibri" w:cs="Calibri"/>
          <w:b w:val="false"/>
          <w:bCs w:val="false"/>
          <w:i w:val="false"/>
          <w:iCs w:val="false"/>
          <w:color w:val="111827"/>
          <w:sz w:val="21"/>
          <w:szCs w:val="21"/>
        </w:rPr>
        <w:t>LedgerEntry nào ≥ 500.000.000 VNĐ (ngưỡng giao dịch chuyển tiền điện tử trong nước, Điều 9 Thông tư 27/2025/TT-NHNN) → publish bank.large_transaction_flagged ngay khi ghi entry, cùng transaction, KHÔNG hold. Nghĩa vụ báo cáo giao dịch giá trị lớn thuộc tổ chức tài chính giữ tiền, không phải platform số hoá hợp đồng — nên bank-service chỉ ghi nhận + tạo audit trail, không đóng băng giao dịch. Consumer: reputation-service (composite fraud score), audit-service.</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Thông tư 27/2025/TT-NHNN, Điều 9 (hiệu lực 01/11/2025). </w:t>
      </w:r>
      <w:r>
        <w:rPr>
          <w:rFonts w:eastAsia="Calibri" w:cs="Calibri"/>
          <w:color w:val="374151"/>
          <w:sz w:val="20"/>
          <w:szCs w:val="20"/>
        </w:rPr>
        <w:t>Ngưỡng 500 triệu áp cho giao dịch chuyển tiền điện tử trong nước (đúng loại operation lock/release/refund của ledger), khác ngưỡng 400 triệu cho giao dịch giá trị lớn bằng tiền mặt (Quyết định 11/2023/QĐ-TTg). Ngân hàng thật cho giao dịch chạy rồi báo cáo Cục Phòng, chống rửa tiền trước 16 giờ ngày làm việc tiếp theo — không đóng băng theo ngưỡng.</w:t>
      </w:r>
    </w:p>
    <w:p>
      <w:pPr>
        <w:pStyle w:val="Normal"/>
        <w:spacing w:lineRule="auto" w:line="276" w:before="0" w:after="120"/>
        <w:jc w:val="both"/>
        <w:rPr/>
      </w:pPr>
      <w:r>
        <w:rPr>
          <w:rFonts w:eastAsia="Calibri" w:cs="Calibri"/>
          <w:b w:val="false"/>
          <w:bCs w:val="false"/>
          <w:i w:val="false"/>
          <w:iCs w:val="false"/>
          <w:color w:val="111827"/>
          <w:sz w:val="21"/>
          <w:szCs w:val="21"/>
        </w:rPr>
        <w:t>Structuring là nghĩa vụ riêng: analytics-service nhìn cửa sổ nhiều hợp đồng và publish analytics.structuring_pattern_detected; bank-service tạo SuspiciousTransactionReport append-only, publish bank.suspicious_report_created cho audit-service với sourceType STRUCTURING_REPORT. Không hold giao dịch, không lộ signal/report cho subject để tránh tipping-off.</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suspicious_transaction_report (</w:t>
        <w:br/>
        <w:t xml:space="preserve">  report_id CHAR(36) PRIMARY KEY, buyer_id CHAR(36) NOT NULL, seller_id CHAR(36) NOT NULL,</w:t>
        <w:br/>
        <w:t xml:space="preserve">  contract_ids JSON NOT NULL, near_threshold_count INT NOT NULL,</w:t>
        <w:br/>
        <w:t xml:space="preserve">  window_start TIMESTAMP(3) NOT NULL, window_end TIMESTAMP(3) NOT NULL,</w:t>
        <w:br/>
        <w:t xml:space="preserve">  report_hash VARCHAR(64) NOT NULL, created_at TIMESTAMP(3) NOT NULL</w:t>
        <w:br/>
        <w:t>); -- append-only; DB principal không UPDATE/DELETE</w:t>
      </w:r>
    </w:p>
    <w:p>
      <w:pPr>
        <w:pStyle w:val="Heading3"/>
        <w:spacing w:before="240" w:after="80"/>
        <w:rPr/>
      </w:pPr>
      <w:bookmarkStart w:id="42" w:name="__RefHeading___Toc5570_AgriContract"/>
      <w:bookmarkEnd w:id="42"/>
      <w:r>
        <w:rPr>
          <w:rFonts w:eastAsia="Calibri" w:cs="Calibri" w:ascii="Calibri" w:hAnsi="Calibri"/>
          <w:b/>
          <w:bCs/>
          <w:color w:val="1F2A37"/>
          <w:sz w:val="22"/>
          <w:szCs w:val="22"/>
        </w:rPr>
        <w:t>4.5 Emergency Lock — Zero-Trust Kill Switch cho External Verifier</w:t>
      </w:r>
    </w:p>
    <w:p>
      <w:pPr>
        <w:pStyle w:val="Normal"/>
        <w:spacing w:lineRule="auto" w:line="276" w:before="0" w:after="120"/>
        <w:jc w:val="both"/>
        <w:rPr/>
      </w:pPr>
      <w:r>
        <w:rPr>
          <w:rFonts w:eastAsia="Calibri" w:cs="Calibri"/>
          <w:b w:val="false"/>
          <w:bCs w:val="false"/>
          <w:i w:val="false"/>
          <w:iCs w:val="false"/>
          <w:color w:val="111827"/>
          <w:sz w:val="21"/>
          <w:szCs w:val="21"/>
        </w:rPr>
        <w:t>Thu hẹp lỗ hổng trusted-operator (audit-service §4, phần dưới): cho tổ chức vận hành platform (External Verifier / Software Buyer — VICOFA/VRA/doanh nghiệp bất kỳ, không cột cứng 1 tên) một đường độc lập để đóng băng toàn hệ thống khi phát hiện tampering, không phụ thuộc job chạy trong platform.</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Gate 1 chốt chặn: </w:t>
      </w:r>
      <w:r>
        <w:rPr>
          <w:rFonts w:eastAsia="Calibri" w:cs="Calibri"/>
          <w:b w:val="false"/>
          <w:bCs w:val="false"/>
          <w:i w:val="false"/>
          <w:iCs w:val="false"/>
          <w:color w:val="111827"/>
          <w:sz w:val="21"/>
          <w:szCs w:val="21"/>
        </w:rPr>
        <w:t>vì escrow-service là actor duy nhất gọi bank-service, chỉ cần check system_lock (status=ACTIVE) trước mọi bank.*_requested — có lock thì reject, publish bank.*_failed; không service nào khác cần biết về freeze.</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Chữ ký bất đối xứng: </w:t>
      </w:r>
      <w:r>
        <w:rPr>
          <w:rFonts w:eastAsia="Calibri" w:cs="Calibri"/>
          <w:b w:val="false"/>
          <w:bCs w:val="false"/>
          <w:i w:val="false"/>
          <w:iCs w:val="false"/>
          <w:color w:val="111827"/>
          <w:sz w:val="21"/>
          <w:szCs w:val="21"/>
        </w:rPr>
        <w:t>POST /security/emergency-lock và /emergency-unlock KHÔNG dùng API key/JWT (Admin chui DB/env lấy được secret đối xứng) — dùng RSA/ECDSA: External Verifier giữ private key, platform chỉ giữ public key. Payload gồm timestamp + nonce nằm trong chuỗi ký, chống replay.</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Freeze tách khỏi notify: </w:t>
      </w:r>
      <w:r>
        <w:rPr>
          <w:rFonts w:eastAsia="Calibri" w:cs="Calibri"/>
          <w:b w:val="false"/>
          <w:bCs w:val="false"/>
          <w:i w:val="false"/>
          <w:iCs w:val="false"/>
          <w:color w:val="111827"/>
          <w:sz w:val="21"/>
          <w:szCs w:val="21"/>
        </w:rPr>
        <w:t>freeze tự động toàn cục; buyer/seller KHÔNG được tự động báo cho tới khi Admin khoanh vùng xong (giữ audit-service §5.3). Unlock mirror lock — cần chữ ký External Verifier, không ngoại lệ Admin.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Root-of-trust: </w:t>
      </w:r>
      <w:r>
        <w:rPr>
          <w:rFonts w:eastAsia="Calibri" w:cs="Calibri"/>
          <w:b w:val="false"/>
          <w:bCs w:val="false"/>
          <w:i w:val="false"/>
          <w:iCs w:val="false"/>
          <w:color w:val="111827"/>
          <w:sz w:val="21"/>
          <w:szCs w:val="21"/>
        </w:rPr>
        <w:t>public key baked deploy-time (ngoài tầm Admin runtime); mỗi lần rotation là 1 event EXTERNAL_VERIFIER_KEY_REGISTERED anchor vào hash chain + email fingerprint cho External Verifier; rotation phải ký bởi key cũ.</w:t>
      </w:r>
    </w:p>
    <w:p>
      <w:pPr>
        <w:pStyle w:val="Normal"/>
        <w:spacing w:lineRule="auto" w:line="276" w:before="0" w:after="120"/>
        <w:jc w:val="both"/>
        <w:rPr/>
      </w:pPr>
      <w:r>
        <w:rPr>
          <w:rFonts w:eastAsia="Calibri" w:cs="Calibri"/>
          <w:b/>
          <w:bCs/>
          <w:i w:val="false"/>
          <w:iCs w:val="false"/>
          <w:color w:val="111827"/>
          <w:sz w:val="21"/>
          <w:szCs w:val="21"/>
        </w:rPr>
        <w:t xml:space="preserve">wallet_snapshot — scaling path, không build ở scope hiện tại: </w:t>
      </w:r>
      <w:r>
        <w:rPr>
          <w:rFonts w:eastAsia="Calibri" w:cs="Calibri"/>
          <w:b w:val="false"/>
          <w:bCs w:val="false"/>
          <w:i w:val="false"/>
          <w:iCs w:val="false"/>
          <w:color w:val="111827"/>
          <w:sz w:val="21"/>
          <w:szCs w:val="21"/>
        </w:rPr>
        <w:t>ở quy mô đồ án (vài nghìn entry) SUM có index chạy dưới 50ms; snapshot chốt sổ định kỳ (cutoff theo entry_id, single-writer, derived) chỉ ghi nhận là hướng scale khi lên hàng triệu giao dịch, không thực thi.</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system_lock (</w:t>
        <w:br/>
        <w:t xml:space="preserve">  lock_id         CHAR(36) PRIMARY KEY,</w:t>
        <w:br/>
        <w:t xml:space="preserve">  status          VARCHAR(20) NOT NULL,   -- ACTIVE | RELEASED</w:t>
        <w:br/>
        <w:t xml:space="preserve">  verifier_org_id CHAR(36) NOT NULL,          -- External Verifier (generic, không hardcode tên)</w:t>
        <w:br/>
        <w:t xml:space="preserve">  reason          TEXT, triggered_at TIMESTAMP NOT NULL, released_at TIMESTAMP NULL</w:t>
        <w:br/>
        <w:t>);</w:t>
        <w:br/>
        <w:t>CREATE TABLE used_nonce (nonce VARCHAR(64) PRIMARY KEY, seen_at TIMESTAMP NOT NULL);</w:t>
      </w:r>
    </w:p>
    <w:p>
      <w:pPr>
        <w:pStyle w:val="Heading3"/>
        <w:spacing w:before="240" w:after="80"/>
        <w:rPr/>
      </w:pPr>
      <w:bookmarkStart w:id="43" w:name="__RefHeading___Toc5572_AgriContract"/>
      <w:bookmarkEnd w:id="43"/>
      <w:r>
        <w:rPr>
          <w:rFonts w:eastAsia="Calibri" w:cs="Calibri" w:ascii="Calibri" w:hAnsi="Calibri"/>
          <w:b/>
          <w:bCs/>
          <w:color w:val="1F2A37"/>
          <w:sz w:val="22"/>
          <w:szCs w:val="22"/>
        </w:rPr>
        <w:t>4.6 Ledger ↔ audit reconciliation và statement export</w:t>
      </w:r>
    </w:p>
    <w:p>
      <w:pPr>
        <w:pStyle w:val="Normal"/>
        <w:spacing w:lineRule="auto" w:line="276" w:before="0" w:after="120"/>
        <w:jc w:val="both"/>
        <w:rPr/>
      </w:pPr>
      <w:r>
        <w:rPr>
          <w:rFonts w:eastAsia="Calibri" w:cs="Calibri"/>
          <w:b w:val="false"/>
          <w:bCs w:val="false"/>
          <w:i w:val="false"/>
          <w:iCs w:val="false"/>
          <w:color w:val="111827"/>
          <w:sz w:val="21"/>
          <w:szCs w:val="21"/>
        </w:rPr>
        <w:t>LedgerAuditReconciliationJob chạy hằng ngày sau cửa sổ anchor, đọc audit_record qua internal read-only API và so RELEASE/SEIZE theo milestone với settledAmount/seizedAmount đã anchor. Mismatch chỉ publish notification.reconciliation_mismatch_requested cho ADMIN + metric; tuyệt đối không auto-fix và không block dòng tiền. Audit-service unavailable cũng alert vận hành.</w:t>
      </w:r>
    </w:p>
    <w:p>
      <w:pPr>
        <w:pStyle w:val="Normal"/>
        <w:spacing w:lineRule="auto" w:line="276" w:before="0" w:after="120"/>
        <w:jc w:val="both"/>
        <w:rPr/>
      </w:pPr>
      <w:r>
        <w:rPr>
          <w:rFonts w:eastAsia="Calibri" w:cs="Calibri"/>
          <w:b w:val="false"/>
          <w:bCs w:val="false"/>
          <w:i w:val="false"/>
          <w:iCs w:val="false"/>
          <w:color w:val="111827"/>
          <w:sz w:val="21"/>
          <w:szCs w:val="21"/>
        </w:rPr>
        <w:t>Buyer/Seller tải CSV/PDF qua GET /api/v1/escrows/statements?from&amp;to ở escrow-service; service kiểm participant ownership rồi gọi GET /internal/v1/bank/ledger?participantId&amp;from&amp;to. Bank vẫn không có external route. Bảng kê phản ánh ledger và chỉ là chứng từ giao dịch nền tảng, không phải hoá đơn hay dịch vụ kế toán.</w:t>
      </w:r>
    </w:p>
    <w:p>
      <w:pPr>
        <w:pStyle w:val="Heading2"/>
        <w:pBdr>
          <w:bottom w:val="single" w:sz="6" w:space="6" w:color="D1D5DB"/>
        </w:pBdr>
        <w:spacing w:before="320" w:after="120"/>
        <w:rPr/>
      </w:pPr>
      <w:bookmarkStart w:id="44" w:name="__RefHeading___Toc5574_AgriContract"/>
      <w:bookmarkEnd w:id="44"/>
      <w:r>
        <w:rPr>
          <w:rFonts w:eastAsia="Calibri" w:cs="Calibri" w:ascii="Calibri" w:hAnsi="Calibri"/>
          <w:b/>
          <w:bCs/>
          <w:color w:val="1F2A37"/>
          <w:sz w:val="25"/>
          <w:szCs w:val="25"/>
        </w:rPr>
        <w:t>5. Luồng trình tự xuyên dịch vụ</w:t>
      </w:r>
    </w:p>
    <w:p>
      <w:pPr>
        <w:pStyle w:val="Heading3"/>
        <w:spacing w:before="240" w:after="80"/>
        <w:rPr/>
      </w:pPr>
      <w:bookmarkStart w:id="45" w:name="__RefHeading___Toc5576_AgriContract"/>
      <w:bookmarkEnd w:id="45"/>
      <w:r>
        <w:rPr>
          <w:rFonts w:eastAsia="Calibri" w:cs="Calibri" w:ascii="Calibri" w:hAnsi="Calibri"/>
          <w:b/>
          <w:bCs/>
          <w:color w:val="1F2A37"/>
          <w:sz w:val="22"/>
          <w:szCs w:val="22"/>
        </w:rPr>
        <w:t>5.1 Ký hợp đồng và kích hoạt</w:t>
      </w:r>
    </w:p>
    <w:tbl>
      <w:tblPr>
        <w:tblW w:w="9638" w:type="dxa"/>
        <w:jc w:val="start"/>
        <w:tblInd w:w="0" w:type="dxa"/>
        <w:tblLayout w:type="fixed"/>
        <w:tblCellMar>
          <w:top w:w="60" w:type="dxa"/>
          <w:start w:w="90" w:type="dxa"/>
          <w:bottom w:w="60" w:type="dxa"/>
          <w:end w:w="90" w:type="dxa"/>
        </w:tblCellMar>
      </w:tblPr>
      <w:tblGrid>
        <w:gridCol w:w="699"/>
        <w:gridCol w:w="2400"/>
        <w:gridCol w:w="3501"/>
        <w:gridCol w:w="3037"/>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5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0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Bên ký (UI)</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Bấm "Ký" → step-up re-auth (prompt=login)</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auth_time cập nhật mới</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InitiateSign: kiểm authorizationExpiresAt + session freshness; sinh OTP hash</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INSERT signature_otp</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 → notification (internal sync)</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/internal/v1/notifications/otp-email; OTP + signedContentHash; requestId=otpId</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Provider accepted → mới trả 'đã gửi'; lỗi không retry nền</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VerifyOtpAndSign: khớp OTP → INSERT signature</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Tạo Signature của bên đó</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5</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Đủ 2 chữ ký cùng hash → SIGNED; publish contract.signed(signedContentHash) + anchor request</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audit-service ingest event; email giữ cùng sourceHash</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6</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 bank</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bank.lock_requested (LOCK_BUYER_DEPOSIT, + LOCK_SELLER_DEPOSIT nếu sellerDepositAmount&gt;0) → bank.lock_completed</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Ledger LOCK_BUYER_DEPOSIT/LOCK_SELLER_DEPOSIT; DEPOSIT_LOCKED</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7</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Cả 2 khoản cọc cần khoá đã confirm xong → publish escrow.deposit_locked</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 consume để chuyển ACTIVE</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8</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Nhận escrow.deposit_locked → Contract ACTIVE</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 milestone → IN_PROGRESS</w:t>
            </w:r>
          </w:p>
        </w:tc>
      </w:tr>
    </w:tbl>
    <w:p>
      <w:pPr>
        <w:pStyle w:val="Normal"/>
        <w:spacing w:lineRule="auto" w:line="276" w:before="0" w:after="120"/>
        <w:jc w:val="both"/>
        <w:rPr/>
      </w:pPr>
      <w:r>
        <w:rPr>
          <w:rFonts w:eastAsia="Calibri" w:cs="Calibri"/>
          <w:b w:val="false"/>
          <w:bCs w:val="false"/>
          <w:i w:val="false"/>
          <w:iCs w:val="false"/>
          <w:color w:val="111827"/>
          <w:sz w:val="21"/>
          <w:szCs w:val="21"/>
        </w:rPr>
        <w:t>Nếu khoá cọc fail: retry per-leg 3 lần; hết retry → escrow.deposit_lock_failed. RetryDepositLock tiếp tục leg còn thiếu. MarkActivationFailed refund mọi leg đã khoá, Contract qua ACTIVATION_REFUND_PENDING và chỉ terminal ACTIVATION_FAILED khi toàn bộ refund confirm; failure đứng lại + alert, tổng lock terminal phải bằng 0.</w:t>
      </w:r>
    </w:p>
    <w:p>
      <w:pPr>
        <w:pStyle w:val="Heading3"/>
        <w:spacing w:before="240" w:after="80"/>
        <w:rPr/>
      </w:pPr>
      <w:bookmarkStart w:id="46" w:name="__RefHeading___Toc5578_AgriContract"/>
      <w:bookmarkEnd w:id="46"/>
      <w:r>
        <w:rPr>
          <w:rFonts w:eastAsia="Calibri" w:cs="Calibri" w:ascii="Calibri" w:hAnsi="Calibri"/>
          <w:b/>
          <w:bCs/>
          <w:color w:val="1F2A37"/>
          <w:sz w:val="22"/>
          <w:szCs w:val="22"/>
        </w:rPr>
        <w:t>5.2 Quyết toán một milestone</w:t>
      </w:r>
    </w:p>
    <w:tbl>
      <w:tblPr>
        <w:tblW w:w="9638" w:type="dxa"/>
        <w:jc w:val="start"/>
        <w:tblInd w:w="0" w:type="dxa"/>
        <w:tblLayout w:type="fixed"/>
        <w:tblCellMar>
          <w:top w:w="60" w:type="dxa"/>
          <w:start w:w="90" w:type="dxa"/>
          <w:bottom w:w="60" w:type="dxa"/>
          <w:end w:w="90" w:type="dxa"/>
        </w:tblCellMar>
      </w:tblPr>
      <w:tblGrid>
        <w:gridCol w:w="699"/>
        <w:gridCol w:w="2400"/>
        <w:gridCol w:w="3501"/>
        <w:gridCol w:w="3037"/>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5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0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 bank</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Lock batchAmount sớm (LOCK_MILESTONE)</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EscrowMilestone LOCKED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Cân + ảnh → milestone.seller_weighed</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SELLER_WEIGHED; file lưu evidence</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Cân lại + ảnh → CONFIRM_CLEAN → milestone.settled(lockedAmount, actualAmount)</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Tính pro-rata Delta 2</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diff = locked − actual; nếu &gt;0 bắn RELEASE + REFUND, nếu =0 chỉ RELEASE</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2 sourceEventId riêng</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5</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Ghi RELEASE_TO_SELLER (+ REFUND_TO_BUYER) → confirmation</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Ledger cập nhật; EscrowMilestone RELEASED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6</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 SETTLED → Local Outbox → completeAllMilestones khi mọi milestone xong</w:t>
            </w:r>
          </w:p>
        </w:tc>
        <w:tc>
          <w:tcPr>
            <w:tcW w:w="3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 SETTLED → contract.settled</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7</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 bank</w:t>
            </w:r>
          </w:p>
        </w:tc>
        <w:tc>
          <w:tcPr>
            <w:tcW w:w="3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contract.settled → REFUND_TO_BUYER (buyerDepositRate)</w:t>
            </w:r>
          </w:p>
        </w:tc>
        <w:tc>
          <w:tcPr>
            <w:tcW w:w="3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Hoàn cọc; reputation nhận input tích cực</w:t>
            </w:r>
          </w:p>
        </w:tc>
      </w:tr>
    </w:tbl>
    <w:p>
      <w:pPr>
        <w:pStyle w:val="Heading3"/>
        <w:spacing w:before="240" w:after="80"/>
        <w:rPr/>
      </w:pPr>
      <w:bookmarkStart w:id="47" w:name="__RefHeading___Toc5580_AgriContract"/>
      <w:bookmarkEnd w:id="47"/>
      <w:r>
        <w:rPr>
          <w:rFonts w:eastAsia="Calibri" w:cs="Calibri" w:ascii="Calibri" w:hAnsi="Calibri"/>
          <w:b/>
          <w:bCs/>
          <w:color w:val="1F2A37"/>
          <w:sz w:val="22"/>
          <w:szCs w:val="22"/>
        </w:rPr>
        <w:t>5.3 Huỷ hợp đồng</w:t>
      </w:r>
    </w:p>
    <w:tbl>
      <w:tblPr>
        <w:tblW w:w="9638" w:type="dxa"/>
        <w:jc w:val="start"/>
        <w:tblInd w:w="0" w:type="dxa"/>
        <w:tblLayout w:type="fixed"/>
        <w:tblCellMar>
          <w:top w:w="60" w:type="dxa"/>
          <w:start w:w="90" w:type="dxa"/>
          <w:bottom w:w="60" w:type="dxa"/>
          <w:end w:w="90" w:type="dxa"/>
        </w:tblCellMar>
      </w:tblPr>
      <w:tblGrid>
        <w:gridCol w:w="699"/>
        <w:gridCol w:w="2201"/>
        <w:gridCol w:w="3400"/>
        <w:gridCol w:w="3337"/>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3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BUYER/SELLER</w:t>
            </w:r>
          </w:p>
        </w:tc>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cancel() → Contract CANCELLED → contract.cancelled(initiatedBy)</w:t>
            </w:r>
          </w:p>
        </w:tc>
        <w:tc>
          <w:tcPr>
            <w:tcW w:w="33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Chỉ tác động milestone chưa SETTLED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2a</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 bank (SELLER huỷ)</w:t>
            </w:r>
          </w:p>
        </w:tc>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REFUND_TO_BUYER (cọc); contract-service ghi penalty debt vào audit</w:t>
            </w:r>
          </w:p>
        </w:tc>
        <w:tc>
          <w:tcPr>
            <w:tcW w:w="33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Cọc về buyer; khoá tài khoản seller</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2b</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 bank (BUYER huỷ)</w:t>
            </w:r>
          </w:p>
        </w:tc>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SEIZE_PENALTY (cọc → seller) + seize batchAmount đang khoá</w:t>
            </w:r>
          </w:p>
        </w:tc>
        <w:tc>
          <w:tcPr>
            <w:tcW w:w="33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Khoá tài khoản buyer</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Mỗi milestone còn lại → milestone.cancelled_with_penalty</w:t>
            </w:r>
          </w:p>
        </w:tc>
        <w:tc>
          <w:tcPr>
            <w:tcW w:w="33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reputation tính lockDurationDays</w:t>
            </w:r>
          </w:p>
        </w:tc>
      </w:tr>
    </w:tbl>
    <w:p>
      <w:pPr>
        <w:pStyle w:val="Heading2"/>
        <w:pBdr>
          <w:bottom w:val="single" w:sz="6" w:space="6" w:color="D1D5DB"/>
        </w:pBdr>
        <w:spacing w:before="320" w:after="120"/>
        <w:rPr/>
      </w:pPr>
      <w:bookmarkStart w:id="48" w:name="__RefHeading___Toc5582_AgriContract"/>
      <w:bookmarkEnd w:id="48"/>
      <w:r>
        <w:rPr>
          <w:rFonts w:eastAsia="Calibri" w:cs="Calibri" w:ascii="Calibri" w:hAnsi="Calibri"/>
          <w:b/>
          <w:bCs/>
          <w:color w:val="1F2A37"/>
          <w:sz w:val="25"/>
          <w:szCs w:val="25"/>
        </w:rPr>
        <w:t>6. Cấu hình: application.yml vs ContractTerms</w:t>
      </w:r>
    </w:p>
    <w:p>
      <w:pPr>
        <w:pStyle w:val="Normal"/>
        <w:spacing w:lineRule="auto" w:line="276" w:before="0" w:after="120"/>
        <w:jc w:val="both"/>
        <w:rPr/>
      </w:pPr>
      <w:r>
        <w:rPr>
          <w:rFonts w:eastAsia="Calibri" w:cs="Calibri"/>
          <w:b w:val="false"/>
          <w:bCs w:val="false"/>
          <w:i w:val="false"/>
          <w:iCs w:val="false"/>
          <w:color w:val="111827"/>
          <w:sz w:val="21"/>
          <w:szCs w:val="21"/>
        </w:rPr>
        <w:t>Nguyên tắc: invariant kỹ thuật (không có lý do hợp đồng khác nhau cần khác nhau) đặt ở application.yml; tham số đàm phán theo hợp đồng đặt ở ContractTerms.</w:t>
      </w:r>
    </w:p>
    <w:tbl>
      <w:tblPr>
        <w:tblW w:w="9638" w:type="dxa"/>
        <w:jc w:val="start"/>
        <w:tblInd w:w="0" w:type="dxa"/>
        <w:tblLayout w:type="fixed"/>
        <w:tblCellMar>
          <w:top w:w="60" w:type="dxa"/>
          <w:start w:w="90" w:type="dxa"/>
          <w:bottom w:w="60" w:type="dxa"/>
          <w:end w:w="90" w:type="dxa"/>
        </w:tblCellMar>
      </w:tblPr>
      <w:tblGrid>
        <w:gridCol w:w="4200"/>
        <w:gridCol w:w="2100"/>
        <w:gridCol w:w="3338"/>
      </w:tblGrid>
      <w:tr>
        <w:trPr>
          <w:tblHeader w:val="true"/>
        </w:trPr>
        <w:tc>
          <w:tcPr>
            <w:tcW w:w="4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Tham số</w:t>
            </w:r>
          </w:p>
        </w:tc>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Nơi lưu</w:t>
            </w:r>
          </w:p>
        </w:tc>
        <w:tc>
          <w:tcPr>
            <w:tcW w:w="3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Giá trị / lý do</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signatureAuthMaxAgeSeconds</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300s — session freshness lúc ký</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otpLength / otpExpirySeconds / otpMaxAttempts</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6 / 300s / 5 — invariant OTP</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otpMaxResendPerHour / otpResendCooldownSeconds</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5 / 60s — chống spam</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depositLockRetryMaxAttempts / backoff</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3 lần; 5 phút / 30 phút / 2 giờ — cùng sourceEventId mỗi leg</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disputeOptOutWindowDays</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Mặc định 2 ngày làm việc — im lặng dùng mức sàn</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buyerConfirmWindowDays / sellerResponseWindowDays</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2 ngày làm việc — đối xứng</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Escalation cap bất khả kháng = Level 1.5</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Invariant — sai chuyên môn nếu lên Level 2</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Ngưỡng giá trị/loại hàng kích hoạt cấp dispute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Per-deployment config</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milestoneSchedule</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Đàm phán số đợt và tỷ lệ từng đợt</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shortfallPenaltyThreshold / toleranceRate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Mặc định 5% / 50-50 (phần vượt ngưỡng); negotiate được. Guardrail (mới, 08/07/2026): validate range lúc sign() — shortfallPenaltyThreshold ∈ [3%,15%], toleranceRate ∈ [0%,10%]</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buyerPenaltyRate / sellerPenaltyRate</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Đàm phán theo hợp đồng. Guardrail (mới, 08/07/2026): validate range [0%,30%] lúc sign()</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buyerDepositRate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Mặc định 5% totalAmount</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sellerDepositRate (mới, 06/07/2026)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Optional, mặc định 0 — đàm phán per-contract, thay quyết định "bỏ hẳn" trước đây</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disputeFloorReleaseRate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Mặc định 50%; guardrail [50%, 1-level2SafetyBufferRate]</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forceMajeureReportWindowDays</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ContractTerms</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Mặc định 3 ngày; khác theo mặt hàng</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expectedDeliveryDate (mới, 08/07/2026)</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ContractTerms/MilestoneTerm</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Snapshot bất biến lúc sign() — mốc neo timeout giao hàng, per-milestone</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graceDays (mới, 08/07/2026)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ContractTerms/MilestoneTerm</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Số ngày ân hạn sau expectedDeliveryDate — per-contract vì độ nhạy khác theo mặt hàng, cùng lý do forceMajeureReportWindowDays</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buyerReceiveWindowDays (mới, 08/07/2026)</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Mặc định 2 ngày làm việc — vá lỗ hổng SELLER_WEIGHED không timeout (§2.3). Invariant kỹ thuật, không khác theo hợp đồng</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zeroProgressMultiplier (mới, 08/07/2026)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1.5x — nhân vào công thức lockDurationDays (reputation-service, Phần 3 §3.1) khi cancel lúc 0 milestone nào từng SETTLED; 1.0x mọi trường hợp khác</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level2BufferWindowDays (chốt 13/07/2026)</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10 ngày làm việc — chốt, neo theo benchmark lab test chất lượng chuẩn SCA (5 ngày làm việc/mẫu) + buffer lịch hẹn/vận chuyển mẫu; tinh chỉnh khi có dữ liệu vận hành thật</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level2SafetyBufferRate (chốt 13/07/2026)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15% batchAmount — chốt, mức trên dải cân nhắc, nghiêng bảo vệ buyer (bên gánh rủi ro nếu Level 2 lật); tinh chỉnh khi có variance vận hành thật</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level2BufferTerminalDays (chốt 13/07/2026)</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application.yml</w:t>
            </w:r>
          </w:p>
        </w:tc>
        <w:tc>
          <w:tcPr>
            <w:tcW w:w="3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30 ngày — chốt, điểm dừng cứng: hết hạn thì phán quyết Level 1.5 tự động thành chung thẩm</w:t>
            </w:r>
          </w:p>
        </w:tc>
      </w:tr>
    </w:tbl>
    <w:p>
      <w:pPr>
        <w:pStyle w:val="Heading2"/>
        <w:pBdr>
          <w:bottom w:val="single" w:sz="6" w:space="6" w:color="D1D5DB"/>
        </w:pBdr>
        <w:spacing w:before="320" w:after="120"/>
        <w:rPr/>
      </w:pPr>
      <w:bookmarkStart w:id="49" w:name="__RefHeading___Toc5584_AgriContract"/>
      <w:bookmarkEnd w:id="49"/>
      <w:r>
        <w:rPr>
          <w:rFonts w:eastAsia="Calibri" w:cs="Calibri" w:ascii="Calibri" w:hAnsi="Calibri"/>
          <w:b/>
          <w:bCs/>
          <w:color w:val="1F2A37"/>
          <w:sz w:val="25"/>
          <w:szCs w:val="25"/>
        </w:rPr>
        <w:t>7. Trạng thái đóng &amp; giới hạn đã biết</w:t>
      </w:r>
    </w:p>
    <w:p>
      <w:pPr>
        <w:pStyle w:val="Normal"/>
        <w:spacing w:lineRule="auto" w:line="276" w:before="0" w:after="120"/>
        <w:jc w:val="both"/>
        <w:rPr/>
      </w:pPr>
      <w:r>
        <w:rPr>
          <w:rFonts w:eastAsia="Calibri" w:cs="Calibri"/>
          <w:b w:val="false"/>
          <w:bCs w:val="false"/>
          <w:i w:val="false"/>
          <w:iCs w:val="false"/>
          <w:color w:val="111827"/>
          <w:sz w:val="21"/>
          <w:szCs w:val="21"/>
        </w:rPr>
        <w:t>Đánh dấu rõ trạng thái từng mục — phần lớn đã đóng; phần cần xác nhận nghiệp vụ với đối tác thật ghi là giới hạn đã biết: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Event contract.cancelled </w:t>
      </w:r>
      <w:r>
        <w:rPr>
          <w:rFonts w:eastAsia="Calibri" w:cs="Calibri"/>
          <w:b w:val="false"/>
          <w:bCs w:val="false"/>
          <w:i w:val="false"/>
          <w:iCs w:val="false"/>
          <w:color w:val="111827"/>
          <w:sz w:val="21"/>
          <w:szCs w:val="21"/>
        </w:rPr>
        <w:t>là phát hiện mới khi rà lại luồng tiền cấp hợp đồng (buyerDepositRate không thuộc milestone nào nên cần event cấp Contract riêng). Logic khớp với UC-C5, nhưng cần xác nhận nghiệp vụ trước khi coi là chốt cứng.</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Checklist KYC theo loại hình doanh nghiệp buyer </w:t>
      </w:r>
      <w:r>
        <w:rPr>
          <w:rFonts w:eastAsia="Calibri" w:cs="Calibri"/>
          <w:b w:val="false"/>
          <w:bCs w:val="false"/>
          <w:i w:val="false"/>
          <w:iCs w:val="false"/>
          <w:color w:val="111827"/>
          <w:sz w:val="21"/>
          <w:szCs w:val="21"/>
        </w:rPr>
        <w:t>(TNHH, cổ phần, hộ kinh doanh…) — Signature design mới chốt nguyên tắc đối xứng buyer/seller (BLDS 142), chưa chốt danh mục giấy tờ cụ thể.</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Payload event mang commodity — đã đóng hoàn toàn (08/07/2026). </w:t>
      </w:r>
      <w:r>
        <w:rPr>
          <w:rFonts w:eastAsia="Calibri" w:cs="Calibri"/>
          <w:b w:val="false"/>
          <w:bCs w:val="false"/>
          <w:i w:val="false"/>
          <w:iCs w:val="false"/>
          <w:color w:val="111827"/>
          <w:sz w:val="21"/>
          <w:szCs w:val="21"/>
        </w:rPr>
        <w:t>contract.signed mang {contractId, commodity, buyerId, sellerId, totalAmount, buyerDepositAmount, sellerDepositAmount, signedAt} — commodity là enum cứng COFFEE/RICE/RUBBER/CASHEW, luôn non-null: contract-service đọc Category.commodity của category gắn với sản phẩm, không có bảng mapping riêng và không có case NULL (category chỉ dùng được khi APPROVED, approve() bắt buộc gán commodity). Cơ chế 2 tầng Category/commodity chốt ở product-service (owner); analytics-service dùng event này populate dim_contract mà không cần Feign ngược (chi tiết Phần 5 §4).</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Ghi chú. </w:t>
      </w:r>
      <w:r>
        <w:rPr>
          <w:rFonts w:eastAsia="Calibri" w:cs="Calibri"/>
          <w:color w:val="374151"/>
          <w:sz w:val="20"/>
          <w:szCs w:val="20"/>
        </w:rPr>
        <w:t>WebAuthn/chữ ký số CA là hướng nâng cấp sole-control mạnh hơn nhưng KHÔNG đổi tier pháp lý (cần chứng thư từ CA được cấp phép); ghi nhận out-of-scope, không thiết kế trong phần này.</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Provisional settlement Level 2 (06/07/2026, chốt 13/07/2026). </w:t>
      </w:r>
      <w:r>
        <w:rPr>
          <w:rFonts w:eastAsia="Calibri" w:cs="Calibri"/>
          <w:b w:val="false"/>
          <w:bCs w:val="false"/>
          <w:i w:val="false"/>
          <w:iCs w:val="false"/>
          <w:color w:val="111827"/>
          <w:sz w:val="21"/>
          <w:szCs w:val="21"/>
        </w:rPr>
        <w:t>Cả 3 số cấu hình đã chốt: level2BufferWindowDays 10 ngày làm việc (benchmark lab test SCA), level2SafetyBufferRate 15%, level2BufferTerminalDays 30 ngày — application.yml, tinh chỉnh khi có dữ liệu vận hành thật. Cơ chế terminal cutoff đã đóng câu hỏi "buffer xử lý sao nếu report không bao giờ về".</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sellerDepositRate optional — đã đóng (chốt 13/07/2026). </w:t>
      </w:r>
      <w:r>
        <w:rPr>
          <w:rFonts w:eastAsia="Calibri" w:cs="Calibri"/>
          <w:b w:val="false"/>
          <w:bCs w:val="false"/>
          <w:i w:val="false"/>
          <w:iCs w:val="false"/>
          <w:color w:val="111827"/>
          <w:sz w:val="21"/>
          <w:szCs w:val="21"/>
        </w:rPr>
        <w:t>Thay quyết định bỏ hẳn trước đây — cọc seller thành optional, đàm phán per-contract (mặc định 0, giữ nguyên hiện trạng cho ai không cần). Case cancel-ở-0-milestone khi sellerDepositRate=0: chốt ÁP DỤNG lockDurationDays nặng hơn qua zeroProgressMultiplier 1.5x (ký xong bỏ ngay là tín hiệu hành vi xấu nhất) — công thức và baseline do reputation-service sở hữu (Phần 3 §4), chi tiết milestone-escrow-phase2-design.md §6.1.</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50" w:name="__RefHeading___Toc5586_AgriContract"/>
      <w:bookmarkEnd w:id="50"/>
      <w:r>
        <w:rPr>
          <w:rFonts w:eastAsia="Calibri" w:cs="Calibri" w:ascii="Calibri" w:hAnsi="Calibri"/>
          <w:b/>
          <w:bCs/>
          <w:color w:val="1F2A37"/>
          <w:sz w:val="40"/>
          <w:szCs w:val="40"/>
        </w:rPr>
        <w:t>Phần 3 — Cụm giám định &amp; tin cậy: inspection-service · reputation-service · audit-service</w:t>
      </w:r>
    </w:p>
    <w:p>
      <w:pPr>
        <w:pStyle w:val="Normal"/>
        <w:spacing w:before="0" w:after="0"/>
        <w:rPr/>
      </w:pPr>
      <w:r>
        <w:rPr/>
      </w:r>
      <w:r>
        <w:br w:type="page"/>
      </w:r>
    </w:p>
    <w:p>
      <w:pPr>
        <w:pStyle w:val="Heading2"/>
        <w:pBdr>
          <w:bottom w:val="single" w:sz="6" w:space="6" w:color="D1D5DB"/>
        </w:pBdr>
        <w:spacing w:before="0" w:after="120"/>
        <w:rPr/>
      </w:pPr>
      <w:bookmarkStart w:id="51" w:name="__RefHeading___Toc5588_AgriContract"/>
      <w:bookmarkEnd w:id="51"/>
      <w:r>
        <w:rPr>
          <w:rFonts w:eastAsia="Calibri" w:cs="Calibri" w:ascii="Calibri" w:hAnsi="Calibri"/>
          <w:b/>
          <w:bCs/>
          <w:color w:val="1F2A37"/>
          <w:sz w:val="25"/>
          <w:szCs w:val="25"/>
        </w:rPr>
        <w:t>1. Phạm vi phần 3</w:t>
      </w:r>
    </w:p>
    <w:p>
      <w:pPr>
        <w:pStyle w:val="Normal"/>
        <w:spacing w:lineRule="auto" w:line="276" w:before="0" w:after="120"/>
        <w:jc w:val="both"/>
        <w:rPr/>
      </w:pPr>
      <w:r>
        <w:rPr>
          <w:rFonts w:eastAsia="Calibri" w:cs="Calibri"/>
          <w:b w:val="false"/>
          <w:bCs w:val="false"/>
          <w:i w:val="false"/>
          <w:iCs w:val="false"/>
          <w:color w:val="111827"/>
          <w:sz w:val="21"/>
          <w:szCs w:val="21"/>
        </w:rPr>
        <w:t>Phần 3 đặc tả cụm giám định và tin cậy — ba dịch vụ tạo ra và bảo vệ bằng chứng phục vụ giải quyết tranh chấp, cưỡng chế hành vi, và tuân thủ pháp lý: inspection-service (giám định độc lập 3 cấp), reputation-service (khoá tài khoản + uy tín + tham chiếu tín dụng), audit-service (chuỗi hash bất biến, neo Bitcoin, xuất gói bằng chứng hỗ trợ DDS/EUDR).</w:t>
      </w:r>
    </w:p>
    <w:p>
      <w:pPr>
        <w:pStyle w:val="Normal"/>
        <w:spacing w:lineRule="auto" w:line="276" w:before="0" w:after="120"/>
        <w:jc w:val="both"/>
        <w:rPr/>
      </w:pPr>
      <w:r>
        <w:rPr>
          <w:rFonts w:eastAsia="Calibri" w:cs="Calibri"/>
          <w:b w:val="false"/>
          <w:bCs w:val="false"/>
          <w:i w:val="false"/>
          <w:iCs w:val="false"/>
          <w:color w:val="111827"/>
          <w:sz w:val="21"/>
          <w:szCs w:val="21"/>
        </w:rPr>
        <w:t>Cụm này gắn vào cụm lõi (Phần 2) qua sự kiện: nhận milestone/contract event, và trả lại quyết định (khoá, phán quyết giám định) mà cụm lõi thực thi. Tuân theo chuẩn dùng chung ở Phần 1.</w:t>
      </w:r>
    </w:p>
    <w:tbl>
      <w:tblPr>
        <w:tblW w:w="9638" w:type="dxa"/>
        <w:jc w:val="start"/>
        <w:tblInd w:w="0" w:type="dxa"/>
        <w:tblLayout w:type="fixed"/>
        <w:tblCellMar>
          <w:top w:w="60" w:type="dxa"/>
          <w:start w:w="90" w:type="dxa"/>
          <w:bottom w:w="60" w:type="dxa"/>
          <w:end w:w="90" w:type="dxa"/>
        </w:tblCellMar>
      </w:tblPr>
      <w:tblGrid>
        <w:gridCol w:w="2299"/>
        <w:gridCol w:w="7338"/>
      </w:tblGrid>
      <w:tr>
        <w:trPr>
          <w:tblHeader w:val="true"/>
        </w:trPr>
        <w:tc>
          <w:tcPr>
            <w:tcW w:w="22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w:t>
            </w:r>
          </w:p>
        </w:tc>
        <w:tc>
          <w:tcPr>
            <w:tcW w:w="7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Sở hữu</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inspection-service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Giám định Level 1.5 &amp; Level 2; evidence record bất biến với reportHash; commission tổ chức Level 2. KHÔNG ra phán quyết cuối (Admin thực thi theo report)</w:t>
            </w:r>
          </w:p>
        </w:tc>
      </w:tr>
      <w:tr>
        <w:trPr/>
        <w:tc>
          <w:tcPr>
            <w:tcW w:w="22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reputation-service</w:t>
            </w:r>
          </w:p>
        </w:tc>
        <w:tc>
          <w:tcPr>
            <w:tcW w:w="7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Sổ khoá bất biến (nguồn quyết định lockout); điểm uy tín (view sống); tham chiếu tín dụng; giám sát AML. KHÔNG enforce khoá (user-service enforce)</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audit-service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Chuỗi hash append-only do audit-service ghi duy nhất; dual global/per-subject chain; neo Bitcoin qua audit_anchor; xuất gói bằng chứng hỗ trợ DDS/EUDR. KHÔNG tạo dữ liệu nghiệp vụ gốc</w:t>
            </w:r>
          </w:p>
        </w:tc>
      </w:tr>
    </w:tbl>
    <w:p>
      <w:pPr>
        <w:pStyle w:val="Heading2"/>
        <w:pBdr>
          <w:bottom w:val="single" w:sz="6" w:space="6" w:color="D1D5DB"/>
        </w:pBdr>
        <w:spacing w:before="320" w:after="120"/>
        <w:rPr/>
      </w:pPr>
      <w:bookmarkStart w:id="52" w:name="__RefHeading___Toc5590_AgriContract"/>
      <w:bookmarkEnd w:id="52"/>
      <w:r>
        <w:rPr>
          <w:rFonts w:eastAsia="Calibri" w:cs="Calibri" w:ascii="Calibri" w:hAnsi="Calibri"/>
          <w:b/>
          <w:bCs/>
          <w:color w:val="1F2A37"/>
          <w:sz w:val="25"/>
          <w:szCs w:val="25"/>
        </w:rPr>
        <w:t>2. inspection-service</w:t>
      </w:r>
    </w:p>
    <w:p>
      <w:pPr>
        <w:pStyle w:val="Normal"/>
        <w:spacing w:lineRule="auto" w:line="276" w:before="0" w:after="120"/>
        <w:jc w:val="both"/>
        <w:rPr/>
      </w:pPr>
      <w:r>
        <w:rPr>
          <w:rFonts w:eastAsia="Calibri" w:cs="Calibri"/>
          <w:b w:val="false"/>
          <w:bCs w:val="false"/>
          <w:i w:val="false"/>
          <w:iCs w:val="false"/>
          <w:color w:val="111827"/>
          <w:sz w:val="21"/>
          <w:szCs w:val="21"/>
        </w:rPr>
        <w:t>Nguyên tắc gốc: Level 1.5 và Level 2 KHÔNG phải hai mức độ nghiêm trọng của cùng một thứ — chúng là hai mô hình định danh hoàn toàn khác nhau, không dùng chung. Level 1 (Admin nội bộ) dùng account Admin sẵn có, không cần thiết kế riêng.</w:t>
      </w:r>
    </w:p>
    <w:tbl>
      <w:tblPr>
        <w:tblW w:w="9638" w:type="dxa"/>
        <w:jc w:val="start"/>
        <w:tblInd w:w="0" w:type="dxa"/>
        <w:tblLayout w:type="fixed"/>
        <w:tblCellMar>
          <w:top w:w="60" w:type="dxa"/>
          <w:start w:w="90" w:type="dxa"/>
          <w:bottom w:w="60" w:type="dxa"/>
          <w:end w:w="90" w:type="dxa"/>
        </w:tblCellMar>
      </w:tblPr>
      <w:tblGrid>
        <w:gridCol w:w="1599"/>
        <w:gridCol w:w="4000"/>
        <w:gridCol w:w="4039"/>
      </w:tblGrid>
      <w:tr>
        <w:trPr>
          <w:tblHeader w:val="true"/>
        </w:trPr>
        <w:tc>
          <w:tcPr>
            <w:tcW w:w="15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Cấp</w:t>
            </w:r>
          </w:p>
        </w:tc>
        <w:tc>
          <w:tcPr>
            <w:tcW w:w="40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hình định danh</w:t>
            </w:r>
          </w:p>
        </w:tc>
        <w:tc>
          <w:tcPr>
            <w:tcW w:w="40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Cơ chế xác thực bằng chứng</w:t>
            </w:r>
          </w:p>
        </w:tc>
      </w:tr>
      <w:tr>
        <w:trPr/>
        <w:tc>
          <w:tcPr>
            <w:tcW w:w="15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Level 1.5</w:t>
            </w:r>
          </w:p>
        </w:tc>
        <w:tc>
          <w:tcPr>
            <w:tcW w:w="4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Actor thật trên nền tảng — account, login, JWT; dùng chung cơ chế identity nhưng bảng inspector_signature riêng trong inspection_db</w:t>
            </w:r>
          </w:p>
        </w:tc>
        <w:tc>
          <w:tcPr>
            <w:tcW w:w="40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Step-up + RBAC; reportHash bind signerUserId; UNIQUE(reportId), không ghi contract_db</w:t>
            </w:r>
          </w:p>
        </w:tc>
      </w:tr>
      <w:tr>
        <w:trPr/>
        <w:tc>
          <w:tcPr>
            <w:tcW w:w="15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Level 2</w:t>
            </w:r>
          </w:p>
        </w:tc>
        <w:tc>
          <w:tcPr>
            <w:tcW w:w="4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KHÔNG login, KHÔNG account (SGS/Bureau Veritas — uy tín accreditation tự thân đủ)</w:t>
            </w:r>
          </w:p>
        </w:tc>
        <w:tc>
          <w:tcPr>
            <w:tcW w:w="40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Auto-intake qua hòm thư nền tảng + Admin CONFIRMED; nền tảng chỉ bảo vệ tính toàn vẹn file sau khi nhận</w:t>
            </w:r>
          </w:p>
        </w:tc>
      </w:tr>
    </w:tbl>
    <w:p>
      <w:pPr>
        <w:pStyle w:val="Heading3"/>
        <w:spacing w:before="240" w:after="80"/>
        <w:rPr/>
      </w:pPr>
      <w:bookmarkStart w:id="53" w:name="__RefHeading___Toc5592_AgriContract"/>
      <w:bookmarkEnd w:id="53"/>
      <w:r>
        <w:rPr>
          <w:rFonts w:eastAsia="Calibri" w:cs="Calibri" w:ascii="Calibri" w:hAnsi="Calibri"/>
          <w:b/>
          <w:bCs/>
          <w:color w:val="1F2A37"/>
          <w:sz w:val="22"/>
          <w:szCs w:val="22"/>
        </w:rPr>
        <w:t>2.1 Level 1.5 — Giám định tích hợp nền tảng</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Định danh: </w:t>
      </w:r>
      <w:r>
        <w:rPr>
          <w:rFonts w:eastAsia="Calibri" w:cs="Calibri"/>
          <w:b w:val="false"/>
          <w:bCs w:val="false"/>
          <w:i w:val="false"/>
          <w:iCs w:val="false"/>
          <w:color w:val="111827"/>
          <w:sz w:val="21"/>
          <w:szCs w:val="21"/>
        </w:rPr>
        <w:t>bảng signature của contract_db giữ thuần BUYER/SELLER. inspection-service tự sở hữu inspector_signature trong inspection_db, UNIQUE(reportId), bind signerUserId/authTime/reportHash/ipAddress. Đây là cùng cơ chế identity, không phải dùng chung bảng; database-per-service cấm inspection-service ghi chéo contract_db.</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KYC-gate: </w:t>
      </w:r>
      <w:r>
        <w:rPr>
          <w:rFonts w:eastAsia="Calibri" w:cs="Calibri"/>
          <w:b w:val="false"/>
          <w:bCs w:val="false"/>
          <w:i w:val="false"/>
          <w:iCs w:val="false"/>
          <w:color w:val="111827"/>
          <w:sz w:val="21"/>
          <w:szCs w:val="21"/>
        </w:rPr>
        <w:t>cùng cơ chế gate lúc đăng ký fail-closed như buyer/seller, nhưng nội dung khác — xác minh chứng chỉ/giấy phép hoạt động kiểm định thương mại (không phải thẩm quyền đại diện). authorizationExpiresAt tái dùng nguyên (giấy phép kiểm định cũng có hạn).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Session freshness riêng: </w:t>
      </w:r>
      <w:r>
        <w:rPr>
          <w:rFonts w:eastAsia="Calibri" w:cs="Calibri"/>
          <w:b w:val="false"/>
          <w:bCs w:val="false"/>
          <w:i w:val="false"/>
          <w:iCs w:val="false"/>
          <w:color w:val="111827"/>
          <w:sz w:val="21"/>
          <w:szCs w:val="21"/>
        </w:rPr>
        <w:t>inspectionAuthMaxAgeSeconds = 1800s (30 phút), KHÔNG dùng chung 300s của buyer/seller — INSPECTOR kiểm tra thực địa xong mới nộp report, khoảng cách step-up→submit dài hơn tự nhiên.</w:t>
      </w:r>
    </w:p>
    <w:p>
      <w:pPr>
        <w:pStyle w:val="Heading3"/>
        <w:spacing w:before="240" w:after="80"/>
        <w:rPr/>
      </w:pPr>
      <w:bookmarkStart w:id="54" w:name="__RefHeading___Toc5594_AgriContract"/>
      <w:bookmarkEnd w:id="54"/>
      <w:r>
        <w:rPr>
          <w:rFonts w:eastAsia="Calibri" w:cs="Calibri" w:ascii="Calibri" w:hAnsi="Calibri"/>
          <w:b/>
          <w:bCs/>
          <w:color w:val="1F2A37"/>
          <w:sz w:val="22"/>
          <w:szCs w:val="22"/>
        </w:rPr>
        <w:t>2.2 Level 2 — Giám định bên ngoài</w:t>
      </w:r>
    </w:p>
    <w:p>
      <w:pPr>
        <w:pStyle w:val="Normal"/>
        <w:spacing w:lineRule="auto" w:line="276" w:before="0" w:after="120"/>
        <w:jc w:val="both"/>
        <w:rPr/>
      </w:pPr>
      <w:r>
        <w:rPr>
          <w:rFonts w:eastAsia="Calibri" w:cs="Calibri"/>
          <w:b w:val="false"/>
          <w:bCs w:val="false"/>
          <w:i w:val="false"/>
          <w:iCs w:val="false"/>
          <w:color w:val="111827"/>
          <w:sz w:val="21"/>
          <w:szCs w:val="21"/>
        </w:rPr>
        <w:t>Tổ chức Level 2 được đàm phán vào ContractTerms (field level2InspectorOrg, free text, snapshot bất biến lúc sign) — không hardcode danh sách. Đàm phán lúc ký (khi hai bên còn thiện chí), không phải lúc dispute xảy ra (đúng lúc khó đồng thuận nhất — tạo deadlock ngay tại bước cần giải quyết deadlock). Bắt buộc điền chỉ khi hợp đồng nằm trong ngưỡng có thể escalate Level 2; hợp đồng cap cứng Level 1.5 thì để NULL.</w:t>
      </w:r>
    </w:p>
    <w:p>
      <w:pPr>
        <w:pStyle w:val="Normal"/>
        <w:spacing w:lineRule="auto" w:line="276" w:before="0" w:after="120"/>
        <w:jc w:val="both"/>
        <w:rPr/>
      </w:pPr>
      <w:r>
        <w:rPr>
          <w:rFonts w:eastAsia="Calibri" w:cs="Calibri"/>
          <w:b/>
          <w:bCs/>
          <w:i w:val="false"/>
          <w:iCs w:val="false"/>
          <w:color w:val="111827"/>
          <w:sz w:val="21"/>
          <w:szCs w:val="21"/>
        </w:rPr>
        <w:t xml:space="preserve">Allowlist 3 nhóm </w:t>
      </w:r>
      <w:r>
        <w:rPr>
          <w:rFonts w:eastAsia="Calibri" w:cs="Calibri"/>
          <w:b w:val="false"/>
          <w:bCs w:val="false"/>
          <w:i w:val="false"/>
          <w:iCs w:val="false"/>
          <w:color w:val="111827"/>
          <w:sz w:val="21"/>
          <w:szCs w:val="21"/>
        </w:rPr>
        <w:t>(chống hai bên thông đồng tự chọn tổ chức dễ dãi):</w:t>
      </w:r>
    </w:p>
    <w:tbl>
      <w:tblPr>
        <w:tblW w:w="9638" w:type="dxa"/>
        <w:jc w:val="start"/>
        <w:tblInd w:w="0" w:type="dxa"/>
        <w:tblLayout w:type="fixed"/>
        <w:tblCellMar>
          <w:top w:w="60" w:type="dxa"/>
          <w:start w:w="90" w:type="dxa"/>
          <w:bottom w:w="60" w:type="dxa"/>
          <w:end w:w="90" w:type="dxa"/>
        </w:tblCellMar>
      </w:tblPr>
      <w:tblGrid>
        <w:gridCol w:w="2399"/>
        <w:gridCol w:w="4201"/>
        <w:gridCol w:w="3038"/>
      </w:tblGrid>
      <w:tr>
        <w:trPr>
          <w:tblHeader w:val="true"/>
        </w:trPr>
        <w:tc>
          <w:tcPr>
            <w:tcW w:w="2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Nhóm (orgVerificationType)</w:t>
            </w:r>
          </w:p>
        </w:tc>
        <w:tc>
          <w:tcPr>
            <w:tcW w:w="4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Cơ chế xác nhận</w:t>
            </w:r>
          </w:p>
        </w:tc>
        <w:tc>
          <w:tcPr>
            <w:tcW w:w="30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Lưu trữ</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HARDCODED_MAJOR</w:t>
            </w:r>
          </w:p>
        </w:tc>
        <w:tc>
          <w:tcPr>
            <w:tcW w:w="4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Tổ chức quốc tế lớn đã biết (SGS, Bureau Veritas) — verify một lần khi thêm vào bảng</w:t>
            </w:r>
          </w:p>
        </w:tc>
        <w:tc>
          <w:tcPr>
            <w:tcW w:w="3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Bảng level2_inspector_allowlist (Admin quản lý, không cần deploy)</w:t>
            </w:r>
          </w:p>
        </w:tc>
      </w:tr>
      <w:tr>
        <w:trPr/>
        <w:tc>
          <w:tcPr>
            <w:tcW w:w="2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BOA_VERIFIED</w:t>
            </w:r>
          </w:p>
        </w:tc>
        <w:tc>
          <w:tcPr>
            <w:tcW w:w="4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Trong nước — verify qua số chứng nhận công nhận BoA-VIAS (boa.gov.vn)</w:t>
            </w:r>
          </w:p>
        </w:tc>
        <w:tc>
          <w:tcPr>
            <w:tcW w:w="3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Cùng bảng, sau verify lần đầu</w:t>
            </w:r>
          </w:p>
        </w:tc>
      </w:tr>
      <w:tr>
        <w:trPr/>
        <w:tc>
          <w:tcPr>
            <w:tcW w:w="2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ADMIN_AD_HOC</w:t>
            </w:r>
          </w:p>
        </w:tc>
        <w:tc>
          <w:tcPr>
            <w:tcW w:w="4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Lạ — Admin tra accreditation certificate number theo chuỗi ILAC → national body → registry</w:t>
            </w:r>
          </w:p>
        </w:tc>
        <w:tc>
          <w:tcPr>
            <w:tcW w:w="3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PRIVATE — không ghi vào danh sách dùng chung (né bài toán dọn danh sách khi tổ chức mất accreditation)</w:t>
            </w:r>
          </w:p>
        </w:tc>
      </w:tr>
    </w:tbl>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Confident-wrong vs honest-fail. </w:t>
      </w:r>
      <w:r>
        <w:rPr>
          <w:rFonts w:eastAsia="Calibri" w:cs="Calibri"/>
          <w:color w:val="374151"/>
          <w:sz w:val="20"/>
          <w:szCs w:val="20"/>
        </w:rPr>
        <w:t>Các quyết định best-effort (parse case ID từ email, match commission) KHÔNG tự gán — chỉ gợi ý cho Admin xác nhận. Auto-match sai tạo ra confident-wrong (hệ thống tự tin gắn nhầm hợp đồng), nằm im tới đúng lúc dispute cần dùng report mới lộ — nguy hiểm hơn honest-fail (không match được, để PENDING_REVIEW chờ người xử lý).</w:t>
      </w:r>
    </w:p>
    <w:p>
      <w:pPr>
        <w:pStyle w:val="Normal"/>
        <w:spacing w:lineRule="auto" w:line="276" w:before="0" w:after="120"/>
        <w:jc w:val="both"/>
        <w:rPr/>
      </w:pPr>
      <w:r>
        <w:rPr>
          <w:rFonts w:eastAsia="Calibri" w:cs="Calibri"/>
          <w:b/>
          <w:bCs/>
          <w:i w:val="false"/>
          <w:iCs w:val="false"/>
          <w:color w:val="111827"/>
          <w:sz w:val="21"/>
          <w:szCs w:val="21"/>
        </w:rPr>
        <w:t xml:space="preserve">Nguồn tra accreditation (08/07/2026): </w:t>
      </w:r>
      <w:r>
        <w:rPr>
          <w:rFonts w:eastAsia="Calibri" w:cs="Calibri"/>
          <w:b w:val="false"/>
          <w:bCs w:val="false"/>
          <w:i w:val="false"/>
          <w:iCs w:val="false"/>
          <w:color w:val="111827"/>
          <w:sz w:val="21"/>
          <w:szCs w:val="21"/>
        </w:rPr>
        <w:t>Admin verify tổ chức Level 2 qua ba nguồn tra online xác định — BoA-VIAS (boa.gov.vn, scheme Inspection Bodies theo ISO/IEC 17020), IAF CertSearch (iafcertsearch.org, database validate chứng nhận toàn cầu), và ILAC Signatory Search (ilac.org/signatory-search). Không còn là hộp đen “chưa biết tra ở đâu”; tự động hoá full qua REST API là enhancement (chưa xác nhận BoA có API JSON export danh sách VIAS).</w:t>
      </w:r>
    </w:p>
    <w:p>
      <w:pPr>
        <w:pStyle w:val="Heading3"/>
        <w:spacing w:before="240" w:after="80"/>
        <w:rPr/>
      </w:pPr>
      <w:bookmarkStart w:id="55" w:name="__RefHeading___Toc5596_AgriContract"/>
      <w:bookmarkEnd w:id="55"/>
      <w:r>
        <w:rPr>
          <w:rFonts w:eastAsia="Calibri" w:cs="Calibri" w:ascii="Calibri" w:hAnsi="Calibri"/>
          <w:b/>
          <w:bCs/>
          <w:color w:val="1F2A37"/>
          <w:sz w:val="22"/>
          <w:szCs w:val="22"/>
        </w:rPr>
        <w:t>2.3 Use case chính</w:t>
      </w:r>
    </w:p>
    <w:p>
      <w:pPr>
        <w:pStyle w:val="Normal"/>
        <w:spacing w:before="140" w:after="40"/>
        <w:rPr/>
      </w:pPr>
      <w:r>
        <w:rPr>
          <w:rFonts w:eastAsia="Calibri" w:cs="Calibri"/>
          <w:b/>
          <w:bCs/>
          <w:color w:val="1F2A37"/>
          <w:sz w:val="21"/>
          <w:szCs w:val="21"/>
        </w:rPr>
        <w:t>UC-I1 — Level 1.5 nộp inspection report</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INSPECTOR (Level 1.5, đã KYC + login)</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Milestone CONTESTED, DisputeRoutingService route = LEVEL_1_5; session freshness ≤ 1800s</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Nộp report + file đã READY → tính reportHash → INSERT inspection_report + inspector_signature trong inspection_db → publish inspection.report_confirmed(tier=LEVEL_1_5, reportHash); audit-service là writer duy nhất của AuditRecord → contract-service verify hash, advance milestone theo phán quyết</w:t>
            </w:r>
          </w:p>
        </w:tc>
      </w:tr>
    </w:tbl>
    <w:p>
      <w:pPr>
        <w:pStyle w:val="Normal"/>
        <w:spacing w:before="140" w:after="40"/>
        <w:rPr/>
      </w:pPr>
      <w:r>
        <w:rPr>
          <w:rFonts w:eastAsia="Calibri" w:cs="Calibri"/>
          <w:b/>
          <w:bCs/>
          <w:color w:val="1F2A37"/>
          <w:sz w:val="21"/>
          <w:szCs w:val="21"/>
        </w:rPr>
        <w:t>UC-I2 — Commission tổ chức Level 2</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ADMIN</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Trigger</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DisputeRoutingService route = LEVEL_2</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Validate state cho phép escalate Level 2; đọc level2InspectorOrg (NULL → REJECT); nếu nhóm BOA_VERIFIED/ADMIN_AD_HOC bắt Admin nhập verificationReference; INSERT level2_inspection_commission(status=REQUESTED); publish inspection.level2_commissioned cho audit-service; gửi mail tới org kèm buyer, seller và intake@</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Ranh giới</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Chỉ tạo YÊU CẦU, không tạo sự đồng ý — org có nhận job hay không là quan hệ thương mại thật ngoài hệ thống</w:t>
            </w:r>
          </w:p>
        </w:tc>
      </w:tr>
    </w:tbl>
    <w:p>
      <w:pPr>
        <w:pStyle w:val="Normal"/>
        <w:spacing w:before="140" w:after="40"/>
        <w:rPr/>
      </w:pPr>
      <w:r>
        <w:rPr>
          <w:rFonts w:eastAsia="Calibri" w:cs="Calibri"/>
          <w:b/>
          <w:bCs/>
          <w:color w:val="1F2A37"/>
          <w:sz w:val="21"/>
          <w:szCs w:val="21"/>
        </w:rPr>
        <w:t>UC-I3 — Xác nhận case ID (join key)</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Hệ thống (parse best-effort) → ADMIN (xác nhận)</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Consume file.email_notice từ IMAP adapter của file-service, parse best-effort case ID và match sender domain ↔ commission REQUESTED → chỉ gợi ý. OPERATOR/ADMIN ConfirmCommissionCaseId → CASE_ID_CONFIRMED</w:t>
            </w:r>
          </w:p>
        </w:tc>
      </w:tr>
    </w:tbl>
    <w:p>
      <w:pPr>
        <w:pStyle w:val="Normal"/>
        <w:spacing w:before="140" w:after="40"/>
        <w:rPr/>
      </w:pPr>
      <w:r>
        <w:rPr>
          <w:rFonts w:eastAsia="Calibri" w:cs="Calibri"/>
          <w:b/>
          <w:bCs/>
          <w:color w:val="1F2A37"/>
          <w:sz w:val="21"/>
          <w:szCs w:val="21"/>
        </w:rPr>
        <w:t>UC-I4 — Tiếp nhận report Level 2 cuối + review</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Hệ thống (ingest) → ADMIN (review)</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Consume file.ready từ IMAP/file-service: storageHash đã tính trước khi người dùng chạm, lookup case ID → commission; tính reportHash và INSERT inspection_report(PENDING_REVIEW, AUTO_EMAIL, spfDkimResult), chưa vào audit. ReviewPendingExternalReport (OPERATOR/ADMIN, không nhận file): APPROVE → CONFIRMED + publish inspection.report_confirmed(tier=LEVEL_2); REJECT → REJECTED</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Fallback</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SubmitExternalInspectionReport (OPERATOR/ADMIN uỷ quyền StoreOnBehalfOf, ingestion_source=ADMIN_MANUAL) khi org gửi ngoài intake@ hoặc IMAP adapter lỗi</w:t>
            </w:r>
          </w:p>
        </w:tc>
      </w:tr>
    </w:tbl>
    <w:p>
      <w:pPr>
        <w:pStyle w:val="Normal"/>
        <w:spacing w:lineRule="auto" w:line="276" w:before="0" w:after="120"/>
        <w:jc w:val="both"/>
        <w:rPr/>
      </w:pPr>
      <w:r>
        <w:rPr>
          <w:rFonts w:eastAsia="Calibri" w:cs="Calibri"/>
          <w:b/>
          <w:bCs/>
          <w:i w:val="false"/>
          <w:iCs w:val="false"/>
          <w:color w:val="111827"/>
          <w:sz w:val="21"/>
          <w:szCs w:val="21"/>
        </w:rPr>
        <w:t xml:space="preserve">Hash đóng băng trước khi có người chạm: </w:t>
      </w:r>
      <w:r>
        <w:rPr>
          <w:rFonts w:eastAsia="Calibri" w:cs="Calibri"/>
          <w:b w:val="false"/>
          <w:bCs w:val="false"/>
          <w:i w:val="false"/>
          <w:iCs w:val="false"/>
          <w:color w:val="111827"/>
          <w:sz w:val="21"/>
          <w:szCs w:val="21"/>
        </w:rPr>
        <w:t>reportHash tính ngay lúc ingest (trước cả Admin), publish vào audit dời sang lúc CONFIRMED — tránh mail rác/gắn nhầm lọt vào audit trail bất biến trước khi có người xác nhận. Endpoint review không nhận tham số file → Admin về mặt kỹ thuật không thể thay file qua đường này.</w:t>
      </w:r>
    </w:p>
    <w:p>
      <w:pPr>
        <w:pStyle w:val="Heading3"/>
        <w:spacing w:before="240" w:after="80"/>
        <w:rPr/>
      </w:pPr>
      <w:bookmarkStart w:id="56" w:name="__RefHeading___Toc5598_AgriContract"/>
      <w:bookmarkEnd w:id="56"/>
      <w:r>
        <w:rPr>
          <w:rFonts w:eastAsia="Calibri" w:cs="Calibri" w:ascii="Calibri" w:hAnsi="Calibri"/>
          <w:b/>
          <w:bCs/>
          <w:color w:val="1F2A37"/>
          <w:sz w:val="22"/>
          <w:szCs w:val="22"/>
        </w:rPr>
        <w:t>2.4 API &amp; lược đồ dữ liệu</w:t>
      </w:r>
    </w:p>
    <w:tbl>
      <w:tblPr>
        <w:tblW w:w="9638" w:type="dxa"/>
        <w:jc w:val="start"/>
        <w:tblInd w:w="0" w:type="dxa"/>
        <w:tblLayout w:type="fixed"/>
        <w:tblCellMar>
          <w:top w:w="60" w:type="dxa"/>
          <w:start w:w="90" w:type="dxa"/>
          <w:bottom w:w="60" w:type="dxa"/>
          <w:end w:w="90" w:type="dxa"/>
        </w:tblCellMar>
      </w:tblPr>
      <w:tblGrid>
        <w:gridCol w:w="4899"/>
        <w:gridCol w:w="1301"/>
        <w:gridCol w:w="3438"/>
      </w:tblGrid>
      <w:tr>
        <w:trPr>
          <w:tblHeader w:val="true"/>
        </w:trPr>
        <w:tc>
          <w:tcPr>
            <w:tcW w:w="48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Endpoint</w:t>
            </w:r>
          </w:p>
        </w:tc>
        <w:tc>
          <w:tcPr>
            <w:tcW w:w="13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34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tả</w:t>
            </w:r>
          </w:p>
        </w:tc>
      </w:tr>
      <w:tr>
        <w:trPr/>
        <w:tc>
          <w:tcPr>
            <w:tcW w:w="4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/api/v1/inspections/level1-5/reports</w:t>
            </w:r>
          </w:p>
        </w:tc>
        <w:tc>
          <w:tcPr>
            <w:tcW w:w="1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INSPECTOR</w:t>
            </w:r>
          </w:p>
        </w:tc>
        <w:tc>
          <w:tcPr>
            <w:tcW w:w="3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Nộp report Level 1.5 (UC-I1)</w:t>
            </w:r>
          </w:p>
        </w:tc>
      </w:tr>
      <w:tr>
        <w:trPr/>
        <w:tc>
          <w:tcPr>
            <w:tcW w:w="48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/api/v1/inspections/level2/commissions</w:t>
            </w:r>
          </w:p>
        </w:tc>
        <w:tc>
          <w:tcPr>
            <w:tcW w:w="1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ADMIN/OPERATOR</w:t>
            </w:r>
          </w:p>
        </w:tc>
        <w:tc>
          <w:tcPr>
            <w:tcW w:w="3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Commission org Level 2 (UC-I2)</w:t>
            </w:r>
          </w:p>
        </w:tc>
      </w:tr>
      <w:tr>
        <w:trPr/>
        <w:tc>
          <w:tcPr>
            <w:tcW w:w="4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/api/v1/inspections/level2/commissions/{id}/case-id</w:t>
            </w:r>
          </w:p>
        </w:tc>
        <w:tc>
          <w:tcPr>
            <w:tcW w:w="1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ADMIN/OPERATOR</w:t>
            </w:r>
          </w:p>
        </w:tc>
        <w:tc>
          <w:tcPr>
            <w:tcW w:w="3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Xác nhận case ID (UC-I3)</w:t>
            </w:r>
          </w:p>
        </w:tc>
      </w:tr>
      <w:tr>
        <w:trPr/>
        <w:tc>
          <w:tcPr>
            <w:tcW w:w="48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/api/v1/inspections/level2/reports/{id}/review</w:t>
            </w:r>
          </w:p>
        </w:tc>
        <w:tc>
          <w:tcPr>
            <w:tcW w:w="1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ADMIN/OPERATOR</w:t>
            </w:r>
          </w:p>
        </w:tc>
        <w:tc>
          <w:tcPr>
            <w:tcW w:w="34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Review report auto-intake (UC-I4)</w:t>
            </w:r>
          </w:p>
        </w:tc>
      </w:tr>
      <w:tr>
        <w:trPr/>
        <w:tc>
          <w:tcPr>
            <w:tcW w:w="48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file.email_notice / file.ready từ IMAP file-service</w:t>
            </w:r>
          </w:p>
        </w:tc>
        <w:tc>
          <w:tcPr>
            <w:tcW w:w="1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hệ thống</w:t>
            </w:r>
          </w:p>
        </w:tc>
        <w:tc>
          <w:tcPr>
            <w:tcW w:w="34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Nhận ack không attachment và report Level 2 đã scan</w:t>
            </w:r>
          </w:p>
        </w:tc>
      </w:tr>
    </w:tbl>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 contract_db signature giữ nguyên BUYER|SELLER; không cross-service write</w:t>
        <w:br/>
        <w:t>ALTER TABLE contract_terms ADD COLUMN level2_inspector_org VARCHAR(255) NULL;</w:t>
        <w:br/>
        <w:br/>
        <w:t>-- inspection_db</w:t>
        <w:br/>
        <w:t>CREATE TABLE inspection_report (</w:t>
        <w:br/>
        <w:t xml:space="preserve">  report_id            CHAR(36) PRIMARY KEY,</w:t>
        <w:br/>
        <w:t xml:space="preserve">  contract_id          CHAR(36) NULL,            -- denormalized; NULL nếu chưa match commission</w:t>
        <w:br/>
        <w:t xml:space="preserve">  milestone_id         CHAR(36) NULL,</w:t>
        <w:br/>
        <w:t xml:space="preserve">  tier                 VARCHAR(10) NOT NULL, -- LEVEL_1_5 | LEVEL_2</w:t>
        <w:br/>
        <w:t xml:space="preserve">  commission_id        CHAR(36) NULL,            -- Level 2 only</w:t>
        <w:br/>
        <w:t xml:space="preserve">  inspector_user_id    CHAR(36) NULL,            -- Level 1.5 only (= signer_user_id)</w:t>
        <w:br/>
        <w:t xml:space="preserve">  report_file_id       CHAR(36) NOT NULL,        -- ref file-service</w:t>
        <w:br/>
        <w:t xml:space="preserve">  report_hash          VARCHAR(64) NOT NULL,</w:t>
        <w:br/>
        <w:t xml:space="preserve">  status               VARCHAR(15) NOT NULL, -- SUBMITTED|PENDING_REVIEW|CONFIRMED|REJECTED</w:t>
        <w:br/>
        <w:t xml:space="preserve">  ingestion_source     VARCHAR(15) NOT NULL, -- PLATFORM_ACTOR|AUTO_EMAIL|ADMIN_MANUAL</w:t>
        <w:br/>
        <w:t xml:space="preserve">  spf_dkim_result      VARCHAR(20) NULL,</w:t>
        <w:br/>
        <w:t xml:space="preserve">  external_verification_status VARCHAR(20) NULL,</w:t>
        <w:br/>
        <w:t xml:space="preserve">  confirmed_by_admin_id CHAR(36) NULL,</w:t>
        <w:br/>
        <w:t xml:space="preserve">  created_at           TIMESTAMP NOT NULL, confirmed_at TIMESTAMP NULL</w:t>
        <w:br/>
        <w:t>);</w:t>
        <w:br/>
        <w:br/>
        <w:t>CREATE TABLE inspector_signature (</w:t>
        <w:br/>
        <w:t xml:space="preserve">  signature_id CHAR(36) PRIMARY KEY,</w:t>
        <w:br/>
        <w:t xml:space="preserve">  report_id CHAR(36) NOT NULL UNIQUE REFERENCES inspection_report(report_id),</w:t>
        <w:br/>
        <w:t xml:space="preserve">  contract_id CHAR(36) NOT NULL, signer_user_id CHAR(36) NOT NULL,</w:t>
        <w:br/>
        <w:t xml:space="preserve">  auth_time TIMESTAMP(3) NOT NULL, signed_at TIMESTAMP(3) NOT NULL,</w:t>
        <w:br/>
        <w:t xml:space="preserve">  report_hash VARCHAR(64) NOT NULL, ip_address VARCHAR(45) NULL</w:t>
        <w:br/>
        <w:t>);</w:t>
        <w:br/>
        <w:br/>
        <w:t>CREATE TABLE level2_inspection_commission (</w:t>
        <w:br/>
        <w:t xml:space="preserve">  commission_id        CHAR(36) PRIMARY KEY,</w:t>
        <w:br/>
        <w:t xml:space="preserve">  contract_id          CHAR(36) NOT NULL,        -- FK thường, KHÔNG unique</w:t>
        <w:br/>
        <w:t xml:space="preserve">  org                  VARCHAR(255) NOT NULL,</w:t>
        <w:br/>
        <w:t xml:space="preserve">  intake_case_id       VARCHAR(255) NULL,</w:t>
        <w:br/>
        <w:t xml:space="preserve">  status               VARCHAR(20) NOT NULL, -- REQUESTED | CASE_ID_CONFIRMED</w:t>
        <w:br/>
        <w:t xml:space="preserve">  org_verification_type VARCHAR(15) NOT NULL,-- HARDCODED_MAJOR|BOA_VERIFIED|ADMIN_AD_HOC</w:t>
        <w:br/>
        <w:t xml:space="preserve">  verification_reference VARCHAR(100) NULL,</w:t>
        <w:br/>
        <w:t xml:space="preserve">  verified_by_actor_id CHAR(36) NULL, verified_at TIMESTAMP(3) NULL,</w:t>
        <w:br/>
        <w:t xml:space="preserve">  requested_at         TIMESTAMP NOT NULL, case_id_confirmed_at TIMESTAMP NULL,</w:t>
        <w:br/>
        <w:t xml:space="preserve">  UNIQUE (org, intake_case_id)</w:t>
        <w:br/>
        <w:t>);</w:t>
        <w:br/>
        <w:br/>
        <w:t>CREATE TABLE level2_inspector_allowlist (</w:t>
        <w:br/>
        <w:t xml:space="preserve">  org_name VARCHAR(255) PRIMARY KEY, org_verification_type VARCHAR(15) NOT NULL,</w:t>
        <w:br/>
        <w:t xml:space="preserve">  accreditation_ref VARCHAR(100) NULL, added_by_actor_id CHAR(36) NOT NULL, added_at TIMESTAMP(3) NOT NULL</w:t>
        <w:br/>
        <w:t>);</w:t>
      </w:r>
    </w:p>
    <w:p>
      <w:pPr>
        <w:pStyle w:val="Heading2"/>
        <w:pBdr>
          <w:bottom w:val="single" w:sz="6" w:space="6" w:color="D1D5DB"/>
        </w:pBdr>
        <w:spacing w:before="320" w:after="120"/>
        <w:rPr/>
      </w:pPr>
      <w:bookmarkStart w:id="57" w:name="__RefHeading___Toc5600_AgriContract"/>
      <w:bookmarkEnd w:id="57"/>
      <w:r>
        <w:rPr>
          <w:rFonts w:eastAsia="Calibri" w:cs="Calibri" w:ascii="Calibri" w:hAnsi="Calibri"/>
          <w:b/>
          <w:bCs/>
          <w:color w:val="1F2A37"/>
          <w:sz w:val="25"/>
          <w:szCs w:val="25"/>
        </w:rPr>
        <w:t>3. reputation-service</w:t>
      </w:r>
    </w:p>
    <w:p>
      <w:pPr>
        <w:pStyle w:val="Normal"/>
        <w:spacing w:lineRule="auto" w:line="276" w:before="0" w:after="120"/>
        <w:jc w:val="both"/>
        <w:rPr/>
      </w:pPr>
      <w:r>
        <w:rPr>
          <w:rFonts w:eastAsia="Calibri" w:cs="Calibri"/>
          <w:b w:val="false"/>
          <w:bCs w:val="false"/>
          <w:i w:val="false"/>
          <w:iCs w:val="false"/>
          <w:color w:val="111827"/>
          <w:sz w:val="21"/>
          <w:szCs w:val="21"/>
        </w:rPr>
        <w:t>Dịch vụ gánh ba vai trò khác bản chất — KHÔNG gộp chung logic dù cùng một dịch vụ:</w:t>
      </w:r>
    </w:p>
    <w:tbl>
      <w:tblPr>
        <w:tblW w:w="9638" w:type="dxa"/>
        <w:jc w:val="start"/>
        <w:tblInd w:w="0" w:type="dxa"/>
        <w:tblLayout w:type="fixed"/>
        <w:tblCellMar>
          <w:top w:w="60" w:type="dxa"/>
          <w:start w:w="90" w:type="dxa"/>
          <w:bottom w:w="60" w:type="dxa"/>
          <w:end w:w="90" w:type="dxa"/>
        </w:tblCellMar>
      </w:tblPr>
      <w:tblGrid>
        <w:gridCol w:w="2600"/>
        <w:gridCol w:w="7037"/>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70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Bản chất dữ liệu</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Sổ khoá (lock ledger)</w:t>
            </w:r>
          </w:p>
        </w:tc>
        <w:tc>
          <w:tcPr>
            <w:tcW w:w="7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Bất biến, insert-only — bằng chứng pháp lý, nguồn quyết định lockout. là evidence ledger sở hữu quyết định, không phải projection chỉ-đọc</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Điểm uy tín (reputation score)</w:t>
            </w:r>
          </w:p>
        </w:tc>
        <w:tc>
          <w:tcPr>
            <w:tcW w:w="7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View sống, tính lại được từ lock_entry + contract.settled — phục vụ đánh giá đối tác hai chiều</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Tham chiếu tín dụng (credit reference)</w:t>
            </w:r>
          </w:p>
        </w:tc>
        <w:tc>
          <w:tcPr>
            <w:tcW w:w="7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Export cho bên thứ ba (VARI) — bổ trợ, consent-based</w:t>
            </w:r>
          </w:p>
        </w:tc>
      </w:tr>
    </w:tbl>
    <w:p>
      <w:pPr>
        <w:pStyle w:val="Heading3"/>
        <w:spacing w:before="240" w:after="80"/>
        <w:rPr/>
      </w:pPr>
      <w:bookmarkStart w:id="58" w:name="__RefHeading___Toc5602_AgriContract"/>
      <w:bookmarkEnd w:id="58"/>
      <w:r>
        <w:rPr>
          <w:rFonts w:eastAsia="Calibri" w:cs="Calibri" w:ascii="Calibri" w:hAnsi="Calibri"/>
          <w:b/>
          <w:bCs/>
          <w:color w:val="1F2A37"/>
          <w:sz w:val="22"/>
          <w:szCs w:val="22"/>
        </w:rPr>
        <w:t>3.1 Sổ khoá và công thức lockDurationDays</w:t>
      </w:r>
    </w:p>
    <w:p>
      <w:pPr>
        <w:pStyle w:val="Normal"/>
        <w:spacing w:lineRule="auto" w:line="276" w:before="0" w:after="120"/>
        <w:jc w:val="both"/>
        <w:rPr/>
      </w:pPr>
      <w:r>
        <w:rPr>
          <w:rFonts w:eastAsia="Calibri" w:cs="Calibri"/>
          <w:b w:val="false"/>
          <w:bCs w:val="false"/>
          <w:i w:val="false"/>
          <w:iCs w:val="false"/>
          <w:color w:val="111827"/>
          <w:sz w:val="21"/>
          <w:szCs w:val="21"/>
        </w:rPr>
        <w:t>lock_entry là evidence ledger bất biến: lockDurationDays và đủ bốn multiplier được snapshot lúc tính, không có status/unlockReason mutable. EXPIRED được derive theo thời gian; UNLOCKED_EARLY được derive từ lock_override_event append-only. Effective lock của user là MAX(lockedUntil) trên entry chưa hết hạn và chưa override.</w:t>
      </w:r>
    </w:p>
    <w:p>
      <w:pPr>
        <w:pStyle w:val="Normal"/>
        <w:spacing w:lineRule="auto" w:line="276" w:before="0" w:after="120"/>
        <w:jc w:val="center"/>
        <w:rPr/>
      </w:pPr>
      <w:r>
        <w:rPr>
          <w:rFonts w:eastAsia="Calibri" w:cs="Calibri"/>
          <w:b/>
          <w:bCs/>
          <w:i w:val="false"/>
          <w:iCs w:val="false"/>
          <w:color w:val="374151"/>
          <w:sz w:val="21"/>
          <w:szCs w:val="21"/>
        </w:rPr>
        <w:t>lockDurationDays = baseDays × repeatOffenseMultiplier × trackRecordMultiplier × zeroProgressMultiplier</w:t>
      </w:r>
    </w:p>
    <w:tbl>
      <w:tblPr>
        <w:tblW w:w="9638" w:type="dxa"/>
        <w:jc w:val="start"/>
        <w:tblInd w:w="0" w:type="dxa"/>
        <w:tblLayout w:type="fixed"/>
        <w:tblCellMar>
          <w:top w:w="60" w:type="dxa"/>
          <w:start w:w="90" w:type="dxa"/>
          <w:bottom w:w="60" w:type="dxa"/>
          <w:end w:w="90" w:type="dxa"/>
        </w:tblCellMar>
      </w:tblPr>
      <w:tblGrid>
        <w:gridCol w:w="3000"/>
        <w:gridCol w:w="2199"/>
        <w:gridCol w:w="4439"/>
      </w:tblGrid>
      <w:tr>
        <w:trPr>
          <w:tblHeader w:val="true"/>
        </w:trPr>
        <w:tc>
          <w:tcPr>
            <w:tcW w:w="30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Multiplier</w:t>
            </w:r>
          </w:p>
        </w:tc>
        <w:tc>
          <w:tcPr>
            <w:tcW w:w="21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Giá trị</w:t>
            </w:r>
          </w:p>
        </w:tc>
        <w:tc>
          <w:tcPr>
            <w:tcW w:w="44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Điều kiện</w:t>
            </w:r>
          </w:p>
        </w:tc>
      </w:tr>
      <w:tr>
        <w:trPr/>
        <w:tc>
          <w:tcPr>
            <w:tcW w:w="3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baseDays</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30</w:t>
            </w:r>
          </w:p>
        </w:tc>
        <w:tc>
          <w:tcPr>
            <w:tcW w:w="44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Cố định</w:t>
            </w:r>
          </w:p>
        </w:tc>
      </w:tr>
      <w:tr>
        <w:trPr/>
        <w:tc>
          <w:tcPr>
            <w:tcW w:w="3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repeatOffenseMultiplier</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1x / 2x / 3x</w:t>
            </w:r>
          </w:p>
        </w:tc>
        <w:tc>
          <w:tcPr>
            <w:tcW w:w="44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Lần vi phạm thứ mấy trong 24 tháng gần nhất (CÓ time window — khoảng cách dài giữa 2 vi phạm mang ý nghĩa: đã sửa hành vi)</w:t>
            </w:r>
          </w:p>
        </w:tc>
      </w:tr>
      <w:tr>
        <w:trPr/>
        <w:tc>
          <w:tcPr>
            <w:tcW w:w="3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trackRecordMultiplier</w:t>
            </w:r>
          </w:p>
        </w:tc>
        <w:tc>
          <w:tcPr>
            <w:tcW w:w="21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0.7x / 1.0x / 1.3x</w:t>
            </w:r>
          </w:p>
        </w:tc>
        <w:tc>
          <w:tcPr>
            <w:tcW w:w="44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Dưới 5 hợp đồng hoàn thành: 1.0x. Từ 5 trở lên: 0.7x nếu ≥90% sạch, 1.0x nếu 70–90%, 1.3x nếu &lt;70%. KHÔNG time window (mùa vụ tạo khoảng trống tự nhiên, không phải dấu hiệu bất thường)</w:t>
            </w:r>
          </w:p>
        </w:tc>
      </w:tr>
      <w:tr>
        <w:trPr/>
        <w:tc>
          <w:tcPr>
            <w:tcW w:w="3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zeroProgressMultiplier (mới, 08/07/2026)</w:t>
            </w:r>
          </w:p>
        </w:tc>
        <w:tc>
          <w:tcPr>
            <w:tcW w:w="21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1.5x / 1.0x</w:t>
            </w:r>
          </w:p>
        </w:tc>
        <w:tc>
          <w:tcPr>
            <w:tcW w:w="44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1.5x khi cancel lúc 0 milestone nào từng SETTLED (ký xong bỏ ngay — tín hiệu xấu nhất có thể có, khác hẳn cancel giữa chừng do mâu thuẫn phát sinh); 1.0x mọi trường hợp còn lại. Cũng là lớp ma sát kỹ thuật cho rủi ro disintermediation (2 bên quen nhau qua platform rồi rủ nhau cancel-ở-milestone-đầu để tự giao dịch tay ngoài né phí) — không chặn tuyệt đối được, nhưng tăng chi phí lockout cho đúng pattern đáng nghi nhất</w:t>
            </w:r>
          </w:p>
        </w:tc>
      </w:tr>
    </w:tbl>
    <w:p>
      <w:pPr>
        <w:pStyle w:val="Normal"/>
        <w:spacing w:lineRule="auto" w:line="276" w:before="0" w:after="120"/>
        <w:jc w:val="both"/>
        <w:rPr/>
      </w:pPr>
      <w:r>
        <w:rPr>
          <w:rFonts w:eastAsia="Calibri" w:cs="Calibri"/>
          <w:b w:val="false"/>
          <w:bCs w:val="false"/>
          <w:i w:val="false"/>
          <w:iCs w:val="false"/>
          <w:color w:val="111827"/>
          <w:sz w:val="21"/>
          <w:szCs w:val="21"/>
        </w:rPr>
        <w:t>Tách bạch: penalty debt phản ánh thiệt hại tài chính (tính riêng ở contract-service theo rate × giá trị), lockDurationDays phản ánh mức độ hành vi tái phạm — hai câu hỏi khác nhau, không dùng chung một biến. Mở khoá qua ba đường (đường nào tới trước): bên kia tự báo đã giải quyết; bên vi phạm nộp kết quả ràng buộc để Admin verify; hết thời hạn cố định. Penalty debt + lịch sử vi phạm không bao giờ xoá.</w:t>
      </w:r>
    </w:p>
    <w:p>
      <w:pPr>
        <w:pStyle w:val="Normal"/>
        <w:spacing w:lineRule="auto" w:line="276" w:before="0" w:after="120"/>
        <w:jc w:val="both"/>
        <w:rPr/>
      </w:pPr>
      <w:r>
        <w:rPr>
          <w:rFonts w:eastAsia="Calibri" w:cs="Calibri"/>
          <w:b/>
          <w:bCs/>
          <w:i w:val="false"/>
          <w:iCs w:val="false"/>
          <w:color w:val="111827"/>
          <w:sz w:val="21"/>
          <w:szCs w:val="21"/>
        </w:rPr>
        <w:t xml:space="preserve">Insert-only enforce ở tầng DB permission: </w:t>
      </w:r>
      <w:r>
        <w:rPr>
          <w:rFonts w:eastAsia="Calibri" w:cs="Calibri"/>
          <w:b w:val="false"/>
          <w:bCs w:val="false"/>
          <w:i w:val="false"/>
          <w:iCs w:val="false"/>
          <w:color w:val="111827"/>
          <w:sz w:val="21"/>
          <w:szCs w:val="21"/>
        </w:rPr>
        <w:t>DB user chỉ có INSERT + SELECT trên lock_entry, không UPDATE/DELETE. "Không bao giờ xoá" là lời hứa yếu nếu chỉ dựa vào code không gọi hàm xoá — chặn ở DB permission thì bug code cũng không phá được. Cùng nguyên tắc audit-service.</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Luật Thương mại 2005, Điều 302. </w:t>
      </w:r>
      <w:r>
        <w:rPr>
          <w:rFonts w:eastAsia="Calibri" w:cs="Calibri"/>
          <w:color w:val="374151"/>
          <w:sz w:val="20"/>
          <w:szCs w:val="20"/>
        </w:rPr>
        <w:t>penalty debt ghi vào lock ledger bất biến là căn cứ bồi thường thiệt hại nếu bên bị vi phạm truy đòi qua VIAC/toà. Nền tảng không tự thu hộ được — đây là bằng chứng, không phải cơ chế cưỡng chế thu tiền.</w:t>
      </w:r>
    </w:p>
    <w:p>
      <w:pPr>
        <w:pStyle w:val="Heading3"/>
        <w:spacing w:before="240" w:after="80"/>
        <w:rPr/>
      </w:pPr>
      <w:bookmarkStart w:id="59" w:name="__RefHeading___Toc5604_AgriContract"/>
      <w:bookmarkEnd w:id="59"/>
      <w:r>
        <w:rPr>
          <w:rFonts w:eastAsia="Calibri" w:cs="Calibri" w:ascii="Calibri" w:hAnsi="Calibri"/>
          <w:b/>
          <w:bCs/>
          <w:color w:val="1F2A37"/>
          <w:sz w:val="22"/>
          <w:szCs w:val="22"/>
        </w:rPr>
        <w:t>3.2 Cưỡng chế khoá (2 tầng)</w:t>
      </w:r>
    </w:p>
    <w:p>
      <w:pPr>
        <w:pStyle w:val="Normal"/>
        <w:spacing w:lineRule="auto" w:line="276" w:before="0" w:after="120"/>
        <w:jc w:val="both"/>
        <w:rPr/>
      </w:pPr>
      <w:r>
        <w:rPr>
          <w:rFonts w:eastAsia="Calibri" w:cs="Calibri"/>
          <w:b w:val="false"/>
          <w:bCs w:val="false"/>
          <w:i w:val="false"/>
          <w:iCs w:val="false"/>
          <w:color w:val="111827"/>
          <w:sz w:val="21"/>
          <w:szCs w:val="21"/>
        </w:rPr>
        <w:t>Không thể chặn ở Gateway/Keycloak — Keycloak chỉ cấp JWT (identity + role), không biết business lock state. Check nằm ở đúng use case tạo nghĩa vụ mới:</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CreateListing / tạo offer (product-service): </w:t>
      </w:r>
      <w:r>
        <w:rPr>
          <w:rFonts w:eastAsia="Calibri" w:cs="Calibri"/>
          <w:b w:val="false"/>
          <w:bCs w:val="false"/>
          <w:i w:val="false"/>
          <w:iCs w:val="false"/>
          <w:color w:val="111827"/>
          <w:sz w:val="21"/>
          <w:szCs w:val="21"/>
        </w:rPr>
        <w:t>fail-closed qua user-service; dependency unavailable/response không xác định → 503, không tạo listing/offer.</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sign() (contract-service): </w:t>
      </w:r>
      <w:r>
        <w:rPr>
          <w:rFonts w:eastAsia="Calibri" w:cs="Calibri"/>
          <w:b w:val="false"/>
          <w:bCs w:val="false"/>
          <w:i w:val="false"/>
          <w:iCs w:val="false"/>
          <w:color w:val="111827"/>
          <w:sz w:val="21"/>
          <w:szCs w:val="21"/>
        </w:rPr>
        <w:t>fail-closed, bắt buộc. UserServiceClient kiểm verification, authorization và lockedUntil; @CircuitBreaker fallback throw có kiểm soát. user-service unavailable/response không xác định → reject, không fallback anonymous.</w:t>
      </w:r>
    </w:p>
    <w:p>
      <w:pPr>
        <w:pStyle w:val="Normal"/>
        <w:spacing w:lineRule="auto" w:line="276" w:before="0" w:after="120"/>
        <w:jc w:val="both"/>
        <w:rPr/>
      </w:pPr>
      <w:r>
        <w:rPr>
          <w:rFonts w:eastAsia="Calibri" w:cs="Calibri"/>
          <w:b w:val="false"/>
          <w:bCs w:val="false"/>
          <w:i w:val="false"/>
          <w:iCs w:val="false"/>
          <w:color w:val="111827"/>
          <w:sz w:val="21"/>
          <w:szCs w:val="21"/>
        </w:rPr>
        <w:t>Hai tầng không thừa nhau. reputation-service publish reputation.locked/unlocked kèm lockRevision tăng dần per user, effectiveLockedUntil và occurredAt; user-service chỉ nhận revision mới hơn lastLockRevision. Khi có nhiều lock chồng nhau, unlock một entry không được clear mù toàn bộ projection.</w:t>
      </w:r>
    </w:p>
    <w:p>
      <w:pPr>
        <w:pStyle w:val="Heading3"/>
        <w:spacing w:before="240" w:after="80"/>
        <w:rPr/>
      </w:pPr>
      <w:bookmarkStart w:id="60" w:name="__RefHeading___Toc5606_AgriContract"/>
      <w:bookmarkEnd w:id="60"/>
      <w:r>
        <w:rPr>
          <w:rFonts w:eastAsia="Calibri" w:cs="Calibri" w:ascii="Calibri" w:hAnsi="Calibri"/>
          <w:b/>
          <w:bCs/>
          <w:color w:val="1F2A37"/>
          <w:sz w:val="22"/>
          <w:szCs w:val="22"/>
        </w:rPr>
        <w:t>3.3 Tham chiếu tín dụng &amp; AML</w:t>
      </w:r>
    </w:p>
    <w:p>
      <w:pPr>
        <w:pStyle w:val="Normal"/>
        <w:spacing w:lineRule="auto" w:line="276" w:before="0" w:after="120"/>
        <w:jc w:val="both"/>
        <w:rPr/>
      </w:pPr>
      <w:r>
        <w:rPr>
          <w:rFonts w:eastAsia="Calibri" w:cs="Calibri"/>
          <w:b w:val="false"/>
          <w:bCs w:val="false"/>
          <w:i w:val="false"/>
          <w:iCs w:val="false"/>
          <w:color w:val="111827"/>
          <w:sz w:val="21"/>
          <w:szCs w:val="21"/>
        </w:rPr>
        <w:t>Credit export định vị là reputation attestation, không phải nguồn chấm điểm tín dụng chính (reputation ≠ cash-flow data). Hướng đối tác: VARI (xếp hạng tín nhiệm DN nông nghiệp) — đóng vai đọc dữ liệu nền tảng rồi đưa cho ngân hàng. Chỉ chạy khi seller chủ động yêu cầu (consent rõ ràng), gate theo counterparty diversity (chỉ giao dịch 1-2 đối tác dù đủ 5+ hợp đồng sạch cũng không đủ điều kiện — giảm động cơ tạo hợp đồng giả).</w:t>
      </w:r>
    </w:p>
    <w:p>
      <w:pPr>
        <w:pStyle w:val="Normal"/>
        <w:spacing w:lineRule="auto" w:line="276" w:before="0" w:after="120"/>
        <w:jc w:val="both"/>
        <w:rPr/>
      </w:pPr>
      <w:r>
        <w:rPr>
          <w:rFonts w:eastAsia="Calibri" w:cs="Calibri"/>
          <w:b/>
          <w:bCs/>
          <w:i w:val="false"/>
          <w:iCs w:val="false"/>
          <w:color w:val="111827"/>
          <w:sz w:val="21"/>
          <w:szCs w:val="21"/>
        </w:rPr>
        <w:t xml:space="preserve">Chống rửa tiền (AML): </w:t>
      </w:r>
      <w:r>
        <w:rPr>
          <w:rFonts w:eastAsia="Calibri" w:cs="Calibri"/>
          <w:b w:val="false"/>
          <w:bCs w:val="false"/>
          <w:i w:val="false"/>
          <w:iCs w:val="false"/>
          <w:color w:val="111827"/>
          <w:sz w:val="21"/>
          <w:szCs w:val="21"/>
        </w:rPr>
        <w:t>giao dịch thông đồng (hai bên hợp tác, không ai dispute) không bao giờ chạm INSPECTOR — lỗ hổng cấu trúc mà credit export làm nặng thêm. Biện pháp: composite fraud score (không dựa một signal đơn) kết hợp tín hiệu luật định (structuring, đột biến doanh số) + tín hiệu nông sản (counterparty concentration, zero-variance pattern — cân seller khớp tuyệt đối cân buyer lặp lại nhiều lần là bất thường vì nông sản luôn hao hụt), tính theo cặp buyer-seller. Vượt ngưỡng → CONFIRM_CLEAN hold giao dịch KẾ TIẾP của cặp đó (không hồi tố). Admin trigger inspection đột xuất nhưng KHÔNG tự chọn tổ chức (random từ danh sách đã vet); chi phí do nền tảng chịu.</w:t>
      </w:r>
    </w:p>
    <w:p>
      <w:pPr>
        <w:pStyle w:val="Normal"/>
        <w:spacing w:lineRule="auto" w:line="276" w:before="0" w:after="120"/>
        <w:jc w:val="both"/>
        <w:rPr/>
      </w:pPr>
      <w:r>
        <w:rPr>
          <w:rFonts w:eastAsia="Calibri" w:cs="Calibri"/>
          <w:b/>
          <w:bCs/>
          <w:i w:val="false"/>
          <w:iCs w:val="false"/>
          <w:color w:val="111827"/>
          <w:sz w:val="21"/>
          <w:szCs w:val="21"/>
        </w:rPr>
        <w:t xml:space="preserve">Cập nhật (06/07/2026) — tách 2 nhóm tín hiệu: </w:t>
      </w:r>
      <w:r>
        <w:rPr>
          <w:rFonts w:eastAsia="Calibri" w:cs="Calibri"/>
          <w:b w:val="false"/>
          <w:bCs w:val="false"/>
          <w:i w:val="false"/>
          <w:iCs w:val="false"/>
          <w:color w:val="111827"/>
          <w:sz w:val="21"/>
          <w:szCs w:val="21"/>
        </w:rPr>
        <w:t>"đột biến doanh số" (tín hiệu tương đối) cần baseline lịch sử của chính account — account mới không có gì để so, nên không sửa được bằng đổi threshold. Thêm nhóm tín hiệu TUYỆT ĐỐI song song: ngưỡng chuyển khoản 500 triệu đồng (Thông tư 27/2025/TT-NHNN) trigger CONFIRM_CLEAN hold NGAY trên chính giao dịch, kể cả giao dịch đầu tiên của account mới — đóng đúng gap "one-shot fraud" (tài khoản giả, 1 hợp đồng khủng, rút rồi bỏ) mà nhóm tương đối chỉ bắt được từ giao dịch thứ 2. Không đóng toàn bộ — one-shot fraud dưới 500 triệu vẫn còn nguyên gap cũ.</w:t>
      </w:r>
    </w:p>
    <w:p>
      <w:pPr>
        <w:pStyle w:val="Normal"/>
        <w:pBdr>
          <w:top w:val="single" w:sz="2" w:space="6" w:color="D1D5DB"/>
          <w:left w:val="single" w:sz="12" w:space="10" w:color="B45454"/>
          <w:bottom w:val="single" w:sz="2" w:space="6" w:color="D1D5DB"/>
          <w:right w:val="single" w:sz="2" w:space="6" w:color="D1D5DB"/>
        </w:pBdr>
        <w:shd w:val="clear" w:color="auto" w:fill="FDF2F2"/>
        <w:spacing w:lineRule="auto" w:line="264" w:before="120" w:after="140"/>
        <w:ind w:start="60" w:end="60"/>
        <w:rPr/>
      </w:pPr>
      <w:r>
        <w:rPr>
          <w:rFonts w:eastAsia="Calibri" w:cs="Calibri"/>
          <w:b/>
          <w:bCs/>
          <w:color w:val="1F2A37"/>
          <w:sz w:val="20"/>
          <w:szCs w:val="20"/>
        </w:rPr>
        <w:t xml:space="preserve">Sửa (08/07/2026) — ngưỡng tuyệt đối một mình không còn đủ để hold, phải đi kèm ≥1 tín hiệu hành vi khác. </w:t>
      </w:r>
      <w:r>
        <w:rPr>
          <w:rFonts w:eastAsia="Calibri" w:cs="Calibri"/>
          <w:color w:val="374151"/>
          <w:sz w:val="20"/>
          <w:szCs w:val="20"/>
        </w:rPr>
        <w:t>Bản 06/07/2026 để giá trị tuyệt đối tự nó trigger CONFIRM_CLEAN hold, không điều kiện gì thêm. Vấn đề phát hiện khi đối chiếu ví dụ hợp đồng thật (100-1000 tấn cà phê, tương đương 13,5-135 tỷ VNĐ theo giá Robusta thị trường ~92.000-97.000đ/kg) — gần như 100% hợp đồng thật của platform vượt xa 500 triệu chỉ vì khối lượng thương mại lớn, không liên quan gì tới hành vi khả nghi. Hold cứng theo giá trị đơn thuần sẽ khiến phần lớn giao dịch điển hình bị treo chờ Admin duyệt — giết chết đúng selling point lõi "escrow tự thực thi, release tự động, không ai can thiệp", biến Admin thành nút cổ chai cho mọi giao dịch lớn, ngược triết lý neutral-party. Chốt: hold chỉ kích hoạt khi ngưỡng tuyệt đối ĐI KÈM ≥1 tín hiệu hành vi khác (track record mỏng / zero-variance / counterparty mới) — vẫn đóng đúng phần gap "one-shot fraud", nhưng không còn đánh đồng "giao dịch lớn" với "giao dịch khả nghi". Với nhóm tín hiệu tương đối: không đổi, hold chỉ áp giao dịch KẾ TIẾP.</w:t>
      </w:r>
    </w:p>
    <w:p>
      <w:pPr>
        <w:pStyle w:val="Normal"/>
        <w:spacing w:lineRule="auto" w:line="276" w:before="0" w:after="120"/>
        <w:jc w:val="both"/>
        <w:rPr/>
      </w:pPr>
      <w:r>
        <w:rPr>
          <w:rFonts w:eastAsia="Calibri" w:cs="Calibri"/>
          <w:b/>
          <w:bCs/>
          <w:i w:val="false"/>
          <w:iCs w:val="false"/>
          <w:color w:val="111827"/>
          <w:sz w:val="21"/>
          <w:szCs w:val="21"/>
        </w:rPr>
        <w:t xml:space="preserve">Nguồn phát hiện dời sang bank-service (sửa 08/07/2026): </w:t>
      </w:r>
      <w:r>
        <w:rPr>
          <w:rFonts w:eastAsia="Calibri" w:cs="Calibri"/>
          <w:b w:val="false"/>
          <w:bCs w:val="false"/>
          <w:i w:val="false"/>
          <w:iCs w:val="false"/>
          <w:color w:val="111827"/>
          <w:sz w:val="21"/>
          <w:szCs w:val="21"/>
        </w:rPr>
        <w:t>reputation-service không tự query ledger_entry để so giá trị — bank-service (bên giữ tiền thật, đúng chủ thể pháp lý theo Luật PCRT 2022) publish bank.large_transaction_flagged (Phần 2 §4.4) cho mọi LedgerEntry ≥ 500 triệu. reputation-service consume event này làm 1 trong các input cho composite score, không phải tự trigger hold độc lập.</w:t>
      </w:r>
    </w:p>
    <w:p>
      <w:pPr>
        <w:pStyle w:val="Normal"/>
        <w:spacing w:lineRule="auto" w:line="276" w:before="0" w:after="120"/>
        <w:jc w:val="both"/>
        <w:rPr/>
      </w:pPr>
      <w:r>
        <w:rPr>
          <w:rFonts w:eastAsia="Calibri" w:cs="Calibri"/>
          <w:b/>
          <w:bCs/>
          <w:i w:val="false"/>
          <w:iCs w:val="false"/>
          <w:color w:val="111827"/>
          <w:sz w:val="21"/>
          <w:szCs w:val="21"/>
        </w:rPr>
        <w:t xml:space="preserve">Tầng batch bắt structuring chậm + trạng thái ELEVATED_RISK — Enhanced Due Diligence (bổ sung 10/07/2026): </w:t>
      </w:r>
      <w:r>
        <w:rPr>
          <w:rFonts w:eastAsia="Calibri" w:cs="Calibri"/>
          <w:b w:val="false"/>
          <w:bCs w:val="false"/>
          <w:i w:val="false"/>
          <w:iCs w:val="false"/>
          <w:color w:val="111827"/>
          <w:sz w:val="21"/>
          <w:szCs w:val="21"/>
        </w:rPr>
        <w:t>hai tầng realtime ở trên đều chỉ với tay tới giao dịch kế tiếp — không bắt được kẻ rải mỏng nhiều hợp đồng ~490 triệu (dưới ngưỡng tuyệt đối) giãn cách nhiều tháng. Đóng bằng tầng batch trên data warehouse: analytics-service.AmlPatternScanJob (Phần 5) quét cụm near-threshold theo cặp buyer-seller (band [475tr, 500tr), tối thiểu 5 hợp đồng, lookback 90 ngày) và publish analytics.structuring_pattern_detected. reputation-service consume → set cặp sang trạng thái ELEVATED_RISK. Khác biệt cốt lõi so với cơ chế hold realtime: batch là backward-looking — pattern đã xong, tiền các hợp đồng cũ đã settle, không có gì để hold ngược — nên ELEVATED_RISK là state bền của cặp, không phải trigger hold một-lần. Còn ELEVATED_RISK thì MỌI giao dịch của cặp (kể cả dưới 500 triệu) route qua review đồng bộ trước khi auto-SETTLED, cho tới khi Admin clear — đúng cơ chế Enhanced Due Diligence (EDD) chuẩn AML. Đây là đường enforcement riêng, KHÔNG sửa gate composite ở trên. Bắt buộc clear-path + expiry: Admin gỡ ELEVATED_RISK → NORMAL phải ghi lý do vào audit-service hash chain (defensible closure); cặp không tái phạm sau elevatedRiskReviewMonths (chốt 6 tháng, application.yml, tinh chỉnh được) tự hạ về NORMAL — thiếu expiry thì cặp false-positive bị soi vĩnh viễn.</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Điều 29 Nghị định 52/2024 &amp; Luật Phòng chống rửa tiền 2022. </w:t>
      </w:r>
      <w:r>
        <w:rPr>
          <w:rFonts w:eastAsia="Calibri" w:cs="Calibri"/>
          <w:color w:val="374151"/>
          <w:sz w:val="20"/>
          <w:szCs w:val="20"/>
        </w:rPr>
        <w:t>Mục tiêu thiết kế là đạt bar "có biện pháp quản trị rủi ro", không phải bắt 100% fraud (bất khả thi với collusion đủ nguồn lực). Audit trail bất biến là bằng chứng due diligence nếu bị điều tra.</w:t>
      </w:r>
    </w:p>
    <w:p>
      <w:pPr>
        <w:pStyle w:val="Heading3"/>
        <w:spacing w:before="240" w:after="80"/>
        <w:rPr/>
      </w:pPr>
      <w:bookmarkStart w:id="61" w:name="__RefHeading___Toc5608_AgriContract"/>
      <w:bookmarkEnd w:id="61"/>
      <w:r>
        <w:rPr>
          <w:rFonts w:eastAsia="Calibri" w:cs="Calibri" w:ascii="Calibri" w:hAnsi="Calibri"/>
          <w:b/>
          <w:bCs/>
          <w:color w:val="1F2A37"/>
          <w:sz w:val="22"/>
          <w:szCs w:val="22"/>
        </w:rPr>
        <w:t>3.4 Use case &amp; lược đồ dữ liệu</w:t>
      </w:r>
    </w:p>
    <w:tbl>
      <w:tblPr>
        <w:tblW w:w="9638" w:type="dxa"/>
        <w:jc w:val="start"/>
        <w:tblInd w:w="0" w:type="dxa"/>
        <w:tblLayout w:type="fixed"/>
        <w:tblCellMar>
          <w:top w:w="60" w:type="dxa"/>
          <w:start w:w="90" w:type="dxa"/>
          <w:bottom w:w="60" w:type="dxa"/>
          <w:end w:w="90" w:type="dxa"/>
        </w:tblCellMar>
      </w:tblPr>
      <w:tblGrid>
        <w:gridCol w:w="3400"/>
        <w:gridCol w:w="6237"/>
      </w:tblGrid>
      <w:tr>
        <w:trPr>
          <w:tblHeader w:val="true"/>
        </w:trPr>
        <w:tc>
          <w:tcPr>
            <w:tcW w:w="3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Use case</w:t>
            </w:r>
          </w:p>
        </w:tc>
        <w:tc>
          <w:tcPr>
            <w:tcW w:w="62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tả</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ProcessLockoutUseCase</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Consume milestone.cancelled_with_penalty → tính multiplier → INSERT lock_entry → publish reputation.locked</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UnlockEarlyUseCase</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Governance request APPROVED → INSERT lock_override_event; tính lại effectiveLockedUntil → publish reputation.unlocked(lockRevision)</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CheckLockStatusUseCase</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Expose cho user-service gọi Feign → trả lockedUntil hiện tại</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GetCreditExportUseCase</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Seller tự trigger (consent) → check counterparty diversity gate → JSON export</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FlagSuspiciousPatternUseCase</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Tính composite fraud score theo cặp/account (2 nhóm tín hiệu) → publish event hold khi vượt ngưỡng. Nhóm tương đối: hold giao dịch KẾ TIẾP. Nhóm tuyệt đối (consume bank.large_transaction_flagged — sửa 08/07/2026): hold ngay giao dịch hiện tại CHỈ KHI đi kèm ≥1 tín hiệu hành vi khác — không tự hold một mình</w:t>
            </w:r>
          </w:p>
        </w:tc>
      </w:tr>
    </w:tbl>
    <w:p>
      <w:pPr>
        <w:pStyle w:val="Normal"/>
        <w:spacing w:lineRule="auto" w:line="276" w:before="0" w:after="120"/>
        <w:jc w:val="both"/>
        <w:rPr/>
      </w:pPr>
      <w:r>
        <w:rPr>
          <w:rFonts w:eastAsia="Calibri" w:cs="Calibri"/>
          <w:b w:val="false"/>
          <w:bCs w:val="false"/>
          <w:i w:val="false"/>
          <w:iCs w:val="false"/>
          <w:color w:val="111827"/>
          <w:sz w:val="21"/>
          <w:szCs w:val="21"/>
        </w:rPr>
        <w:t>Maker-checker chỉ áp đúng hai hành động: UNLOCK_EARLY và CLEAR_ELEVATED_RISK. ADMIN|OPERATOR propose với reason; ADMIN approve/reject, bắt buộc approvedBy != proposedBy. Cả đề xuất và quyết định vào audit chain; clear AML publish reputation.elevated_risk_cleared với cả hai actor ID.</w:t>
      </w:r>
    </w:p>
    <w:p>
      <w:pPr>
        <w:pStyle w:val="Normal"/>
        <w:spacing w:lineRule="auto" w:line="276" w:before="0" w:after="120"/>
        <w:jc w:val="both"/>
        <w:rPr/>
      </w:pPr>
      <w:r>
        <w:rPr>
          <w:rFonts w:eastAsia="Calibri" w:cs="Calibri"/>
          <w:b w:val="false"/>
          <w:bCs w:val="false"/>
          <w:i w:val="false"/>
          <w:iCs w:val="false"/>
          <w:color w:val="111827"/>
          <w:sz w:val="21"/>
          <w:szCs w:val="21"/>
        </w:rPr>
        <w:t>API: POST /api/v1/admin/reputation/actions/propose (ADMIN|OPERATOR); POST .../{id}/approve và /reject (ADMIN). ELEVATED_RISK không được lộ trong public-summary/credit export; mọi lần đọc dữ liệu AML Restricted phải audit.</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 reputation_db · DB user chỉ INSERT + SELECT (insert-only)</w:t>
        <w:br/>
        <w:t>CREATE TABLE lock_entry (</w:t>
        <w:br/>
        <w:t xml:space="preserve">  entry_id                  CHAR(36) PRIMARY KEY,</w:t>
        <w:br/>
        <w:t xml:space="preserve">  source_event_id           CHAR(36) NOT NULL UNIQUE,   -- idempotency key</w:t>
        <w:br/>
        <w:t xml:space="preserve">  contract_id               CHAR(36) NOT NULL,</w:t>
        <w:br/>
        <w:t xml:space="preserve">  user_id                   CHAR(36) NOT NULL,</w:t>
        <w:br/>
        <w:t xml:space="preserve">  penalized_role            VARCHAR(10) NOT NULL,   -- BUYER | SELLER</w:t>
        <w:br/>
        <w:t xml:space="preserve">  base_days                 INT NOT NULL DEFAULT 30,</w:t>
        <w:br/>
        <w:t xml:space="preserve">  repeat_offense_multiplier DECIMAL(3,2) NOT NULL,</w:t>
        <w:br/>
        <w:t xml:space="preserve">  track_record_multiplier   DECIMAL(3,2) NOT NULL,</w:t>
        <w:br/>
        <w:t xml:space="preserve">  zero_progress_multiplier  DECIMAL(3,2) NOT NULL,</w:t>
        <w:br/>
        <w:t xml:space="preserve">  lock_duration_days        INT NOT NULL,           -- immutable snapshot</w:t>
        <w:br/>
        <w:t xml:space="preserve">  locked_until              TIMESTAMP(3) NOT NULL,</w:t>
        <w:br/>
        <w:t xml:space="preserve">  created_at                TIMESTAMP(3) NOT NULL DEFAULT now()</w:t>
        <w:br/>
        <w:t>);</w:t>
        <w:br/>
        <w:t>CREATE INDEX idx_lock_entry_user ON lock_entry(user_id);</w:t>
        <w:br/>
        <w:t>CREATE TABLE lock_override_event (</w:t>
        <w:br/>
        <w:t xml:space="preserve">  event_id CHAR(36) PRIMARY KEY, lock_entry_id CHAR(36) NOT NULL REFERENCES lock_entry(entry_id),</w:t>
        <w:br/>
        <w:t xml:space="preserve">  override_type VARCHAR(20) NOT NULL, reason TEXT NOT NULL,</w:t>
        <w:br/>
        <w:t xml:space="preserve">  proposed_by CHAR(36) NOT NULL, approved_by CHAR(36) NOT NULL, created_at TIMESTAMP(3) NOT NULL</w:t>
        <w:br/>
        <w:t>);</w:t>
        <w:br/>
        <w:t>CREATE TABLE governance_action_request (</w:t>
        <w:br/>
        <w:t xml:space="preserve">  request_id CHAR(36) PRIMARY KEY, action_type VARCHAR(30) NOT NULL, target_id VARCHAR(100) NOT NULL,</w:t>
        <w:br/>
        <w:t xml:space="preserve">  status VARCHAR(15) NOT NULL, reason TEXT NOT NULL, proposed_by CHAR(36) NOT NULL, approved_by CHAR(36) NULL,</w:t>
        <w:br/>
        <w:t xml:space="preserve">  proposed_at TIMESTAMP(3) NOT NULL, decided_at TIMESTAMP(3) NULL</w:t>
        <w:br/>
        <w:t>);</w:t>
        <w:br/>
        <w:t>CREATE TABLE pair_risk_state (</w:t>
        <w:br/>
        <w:t xml:space="preserve">  buyer_id CHAR(36) NOT NULL, seller_id CHAR(36) NOT NULL, status VARCHAR(20) NOT NULL,</w:t>
        <w:br/>
        <w:t xml:space="preserve">  detected_at TIMESTAMP(3) NULL, review_due_at TIMESTAMP(3) NULL, source_event_id CHAR(36) NULL,</w:t>
        <w:br/>
        <w:t xml:space="preserve">  PRIMARY KEY (buyer_id, seller_id)</w:t>
        <w:br/>
        <w:t>);</w:t>
        <w:br/>
        <w:t>-- lock_entry/lock_override_event DB principal chỉ INSERT+SELECT; pair_risk_state là projection mutable</w:t>
      </w:r>
    </w:p>
    <w:p>
      <w:pPr>
        <w:pStyle w:val="Heading3"/>
        <w:spacing w:before="240" w:after="80"/>
        <w:rPr/>
      </w:pPr>
      <w:bookmarkStart w:id="62" w:name="__RefHeading___Toc5610_AgriContract"/>
      <w:bookmarkEnd w:id="62"/>
      <w:r>
        <w:rPr>
          <w:rFonts w:eastAsia="Calibri" w:cs="Calibri" w:ascii="Calibri" w:hAnsi="Calibri"/>
          <w:b/>
          <w:bCs/>
          <w:color w:val="1F2A37"/>
          <w:sz w:val="22"/>
          <w:szCs w:val="22"/>
        </w:rPr>
        <w:t>3.5 Đối xứng hoá — buyer reputation hiển thị cho seller + chống flag-abuse (mới, 08/07/2026)</w:t>
      </w:r>
    </w:p>
    <w:p>
      <w:pPr>
        <w:pStyle w:val="Normal"/>
        <w:spacing w:lineRule="auto" w:line="276" w:before="0" w:after="120"/>
        <w:jc w:val="both"/>
        <w:rPr/>
      </w:pPr>
      <w:r>
        <w:rPr>
          <w:rFonts w:eastAsia="Calibri" w:cs="Calibri"/>
          <w:b w:val="false"/>
          <w:bCs w:val="false"/>
          <w:i w:val="false"/>
          <w:iCs w:val="false"/>
          <w:color w:val="111827"/>
          <w:sz w:val="21"/>
          <w:szCs w:val="21"/>
        </w:rPr>
        <w:t>Mọi tín hiệu minh bạch đã xây (verificationLevel, geoRiskLevel bên product-service, reputation score ở đây) đều một chiều buyer-xem-seller. Seller không có tín hiệu nào để đánh giá buyer trước khi ký (buyer có hay bùng không, có hay lạm dụng FLAG_ISSUE ép seller vào dispute không) — với luận điểm "bảo vệ bên yếu" xuyên suốt dự án, đây là chỗ hội đồng dễ hỏi: "seller được gì để tự bảo vệ, ngoài việc bị chấm điểm?"</w:t>
      </w:r>
    </w:p>
    <w:p>
      <w:pPr>
        <w:pStyle w:val="Normal"/>
        <w:spacing w:lineRule="auto" w:line="276" w:before="0" w:after="120"/>
        <w:jc w:val="both"/>
        <w:rPr/>
      </w:pPr>
      <w:r>
        <w:rPr>
          <w:rFonts w:eastAsia="Calibri" w:cs="Calibri"/>
          <w:b/>
          <w:bCs/>
          <w:i w:val="false"/>
          <w:iCs w:val="false"/>
          <w:color w:val="111827"/>
          <w:sz w:val="21"/>
          <w:szCs w:val="21"/>
        </w:rPr>
        <w:t xml:space="preserve">Dữ liệu đã có sẵn, chỉ thiếu chiều hiển thị: </w:t>
      </w:r>
      <w:r>
        <w:rPr>
          <w:rFonts w:eastAsia="Calibri" w:cs="Calibri"/>
          <w:b w:val="false"/>
          <w:bCs w:val="false"/>
          <w:i w:val="false"/>
          <w:iCs w:val="false"/>
          <w:color w:val="111827"/>
          <w:sz w:val="21"/>
          <w:szCs w:val="21"/>
        </w:rPr>
        <w:t>lock_entry (§3.4) đã insert-only cho cả penalizedRole=BUYER lẫn SELLER từ đầu — dữ liệu "buyer này từng bùng mấy lần, lock bao lâu" đã tồn tại, không cần cơ chế mới. Thêm: (1) endpoint GET /api/v1/reputation/{userId}/public-summary — query theo userId (không phân biệt buyer/seller gọi), trả reputation score + lock history công khai, không cần consent như credit-export (§3.3) vì đây là thông tin đối tác cần biết TRƯỚC KHI quyết định ký, không phải hồ sơ tín dụng riêng tư; (2) framing lại buyerDepositRate/sellerDepositRate là công cụ 2 chiều theo mức tin tưởng (cơ chế đã đúng ở milestone-escrow §2.1/§6.1, chỉ cần nói rõ) — seller mới gặp buyer lạ, xem public-summary thấy buyer track record xấu → seller có quyền đàm phán buyerDepositRate cao hơn 5% mặc định lúc NEGOTIATING, không phải chỉ buyer mới có quyền đòi cọc seller.</w:t>
      </w:r>
    </w:p>
    <w:p>
      <w:pPr>
        <w:pStyle w:val="Normal"/>
        <w:spacing w:lineRule="auto" w:line="276" w:before="0" w:after="120"/>
        <w:jc w:val="both"/>
        <w:rPr/>
      </w:pPr>
      <w:r>
        <w:rPr>
          <w:rFonts w:eastAsia="Calibri" w:cs="Calibri"/>
          <w:b/>
          <w:bCs/>
          <w:i w:val="false"/>
          <w:iCs w:val="false"/>
          <w:color w:val="111827"/>
          <w:sz w:val="21"/>
          <w:szCs w:val="21"/>
        </w:rPr>
        <w:t xml:space="preserve">Tín hiệu chống buyer lạm dụng FLAG_ISSUE vô cớ: </w:t>
      </w:r>
      <w:r>
        <w:rPr>
          <w:rFonts w:eastAsia="Calibri" w:cs="Calibri"/>
          <w:b w:val="false"/>
          <w:bCs w:val="false"/>
          <w:i w:val="false"/>
          <w:iCs w:val="false"/>
          <w:color w:val="111827"/>
          <w:sz w:val="21"/>
          <w:szCs w:val="21"/>
        </w:rPr>
        <w:t>lỗ thật seller chưa được bảo vệ — buyer có thể flag bừa để ép seller vào dispute/kéo dài mà không mất gì (chi phí giám định do bên thua chịu, nhưng buyer có thể chấp nhận rủi ro đó để gây áp lực). Thêm 1 input event mới: milestone.dispute_resolved (contract-service — bắn khi DisputeRoutingService 3-tier ra phán quyết cho milestone từng CONTESTED; payload {milestoneId, flaggedBy: BUYER, resolutionFavors: BUYER|SELLER}, chỉ buyer flag được ở state machine hiện tại). reputation-service đếm tỷ lệ resolutionFavors=SELLER trên tổng số lần buyer đó từng FLAG_ISSUE — tỷ lệ cao (flag rồi thua nhiều lần) là tín hiệu buyer lạm dụng, hiển thị trong public-summary để seller thấy trước khi ký. Dùng đúng bộ máy reputation đã có (view sống, tính từ event, không bảng riêng) — chỉ thêm 1 loại tín hiệu đầu vào, không phải cơ chế mới.</w:t>
      </w:r>
    </w:p>
    <w:p>
      <w:pPr>
        <w:pStyle w:val="Normal"/>
        <w:spacing w:lineRule="auto" w:line="276" w:before="0" w:after="120"/>
        <w:jc w:val="both"/>
        <w:rPr/>
      </w:pPr>
      <w:r>
        <w:rPr>
          <w:rFonts w:eastAsia="Calibri" w:cs="Calibri"/>
          <w:b w:val="false"/>
          <w:bCs w:val="false"/>
          <w:i w:val="false"/>
          <w:iCs w:val="false"/>
          <w:color w:val="111827"/>
          <w:sz w:val="21"/>
          <w:szCs w:val="21"/>
        </w:rPr>
        <w:t>Không phải known-limitation cần chấp nhận — là hoàn chỉnh hoá luận điểm gốc "bảo vệ bên yếu thế" cho đúng cả 2 chiều, không chỉ chiều buyer nhìn seller.</w:t>
      </w:r>
    </w:p>
    <w:p>
      <w:pPr>
        <w:pStyle w:val="Heading2"/>
        <w:pBdr>
          <w:bottom w:val="single" w:sz="6" w:space="6" w:color="D1D5DB"/>
        </w:pBdr>
        <w:spacing w:before="320" w:after="120"/>
        <w:rPr/>
      </w:pPr>
      <w:bookmarkStart w:id="63" w:name="__RefHeading___Toc5612_AgriContract"/>
      <w:bookmarkEnd w:id="63"/>
      <w:r>
        <w:rPr>
          <w:rFonts w:eastAsia="Calibri" w:cs="Calibri" w:ascii="Calibri" w:hAnsi="Calibri"/>
          <w:b/>
          <w:bCs/>
          <w:color w:val="1F2A37"/>
          <w:sz w:val="25"/>
          <w:szCs w:val="25"/>
        </w:rPr>
        <w:t>4. audit-service</w:t>
      </w:r>
    </w:p>
    <w:p>
      <w:pPr>
        <w:pStyle w:val="Normal"/>
        <w:spacing w:lineRule="auto" w:line="276" w:before="0" w:after="120"/>
        <w:jc w:val="both"/>
        <w:rPr/>
      </w:pPr>
      <w:r>
        <w:rPr>
          <w:rFonts w:eastAsia="Calibri" w:cs="Calibri"/>
          <w:b w:val="false"/>
          <w:bCs w:val="false"/>
          <w:i w:val="false"/>
          <w:iCs w:val="false"/>
          <w:color w:val="111827"/>
          <w:sz w:val="21"/>
          <w:szCs w:val="21"/>
        </w:rPr>
        <w:t>Nhận và nối các hash từ nhiều nguồn (signedContentHash từ contract-service, reportHash từ inspection-service, các milestone event mang số liệu tranh chấp được) vào một chuỗi append-only, dùng chung một schema AuditRecord.</w:t>
      </w:r>
    </w:p>
    <w:p>
      <w:pPr>
        <w:pStyle w:val="Heading3"/>
        <w:spacing w:before="240" w:after="80"/>
        <w:rPr/>
      </w:pPr>
      <w:bookmarkStart w:id="64" w:name="__RefHeading___Toc5614_AgriContract"/>
      <w:bookmarkEnd w:id="64"/>
      <w:r>
        <w:rPr>
          <w:rFonts w:eastAsia="Calibri" w:cs="Calibri" w:ascii="Calibri" w:hAnsi="Calibri"/>
          <w:b/>
          <w:bCs/>
          <w:color w:val="1F2A37"/>
          <w:sz w:val="22"/>
          <w:szCs w:val="22"/>
        </w:rPr>
        <w:t>4.1 Event nào vào chain</w:t>
      </w:r>
    </w:p>
    <w:p>
      <w:pPr>
        <w:pStyle w:val="Normal"/>
        <w:spacing w:lineRule="auto" w:line="276" w:before="0" w:after="120"/>
        <w:jc w:val="both"/>
        <w:rPr/>
      </w:pPr>
      <w:r>
        <w:rPr>
          <w:rFonts w:eastAsia="Calibri" w:cs="Calibri"/>
          <w:b w:val="false"/>
          <w:bCs w:val="false"/>
          <w:i w:val="false"/>
          <w:iCs w:val="false"/>
          <w:color w:val="111827"/>
          <w:sz w:val="21"/>
          <w:szCs w:val="21"/>
        </w:rPr>
        <w:t>Không phải mọi event vào chain — tiêu chí: event mang số liệu/quyết định có thể bị tranh chấp làm bằng chứng, hoặc là input để tính con số sẽ bị tranh chấp. 6/8 milestone event vào chain:</w:t>
      </w:r>
    </w:p>
    <w:tbl>
      <w:tblPr>
        <w:tblW w:w="9638" w:type="dxa"/>
        <w:jc w:val="start"/>
        <w:tblInd w:w="0" w:type="dxa"/>
        <w:tblLayout w:type="fixed"/>
        <w:tblCellMar>
          <w:top w:w="60" w:type="dxa"/>
          <w:start w:w="90" w:type="dxa"/>
          <w:bottom w:w="60" w:type="dxa"/>
          <w:end w:w="90" w:type="dxa"/>
        </w:tblCellMar>
      </w:tblPr>
      <w:tblGrid>
        <w:gridCol w:w="4200"/>
        <w:gridCol w:w="1300"/>
        <w:gridCol w:w="4138"/>
      </w:tblGrid>
      <w:tr>
        <w:trPr>
          <w:tblHeader w:val="true"/>
        </w:trPr>
        <w:tc>
          <w:tcPr>
            <w:tcW w:w="4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Milestone event</w:t>
            </w:r>
          </w:p>
        </w:tc>
        <w:tc>
          <w:tcPr>
            <w:tcW w:w="13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Vào chain</w:t>
            </w:r>
          </w:p>
        </w:tc>
        <w:tc>
          <w:tcPr>
            <w:tcW w:w="41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Lý do</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milestone.seller_weighed</w:t>
            </w:r>
          </w:p>
        </w:tc>
        <w:tc>
          <w:tcPr>
            <w:tcW w:w="1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Mang sellerDeclaredWeight — input tính Delta 1/2</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milestone.buyer_confirmed</w:t>
            </w:r>
          </w:p>
        </w:tc>
        <w:tc>
          <w:tcPr>
            <w:tcW w:w="1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Mang buyerReceivedWeight — input tính Delta 2</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milestone.flagged</w:t>
            </w:r>
          </w:p>
        </w:tc>
        <w:tc>
          <w:tcPr>
            <w:tcW w:w="1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Không</w:t>
            </w:r>
          </w:p>
        </w:tc>
        <w:tc>
          <w:tcPr>
            <w:tcW w:w="41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Chỉ tín hiệu bấm nút, không mang số liệu riêng</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milestone.force_majeure_claimed</w:t>
            </w:r>
          </w:p>
        </w:tc>
        <w:tc>
          <w:tcPr>
            <w:tcW w:w="1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Bằng chứng bất khả kháng (BLDS 156/351)</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milestone.force_majeure_resolved</w:t>
            </w:r>
          </w:p>
        </w:tc>
        <w:tc>
          <w:tcPr>
            <w:tcW w:w="1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Quyết định APPROVE/REJECT — kết quả tranh chấp</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milestone.settled</w:t>
            </w:r>
          </w:p>
        </w:tc>
        <w:tc>
          <w:tcPr>
            <w:tcW w:w="1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Kết quả cuối, số tiền release</w:t>
            </w:r>
          </w:p>
        </w:tc>
      </w:tr>
      <w:tr>
        <w:trPr/>
        <w:tc>
          <w:tcPr>
            <w:tcW w:w="4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milestone.cancelled_with_penalty</w:t>
            </w:r>
          </w:p>
        </w:tc>
        <w:tc>
          <w:tcPr>
            <w:tcW w:w="1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Có</w:t>
            </w:r>
          </w:p>
        </w:tc>
        <w:tc>
          <w:tcPr>
            <w:tcW w:w="41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Căn cứ tính lockDurationDays, penalty debt</w:t>
            </w:r>
          </w:p>
        </w:tc>
      </w:tr>
      <w:tr>
        <w:trPr/>
        <w:tc>
          <w:tcPr>
            <w:tcW w:w="4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milestone_sync (Local Outbox)</w:t>
            </w:r>
          </w:p>
        </w:tc>
        <w:tc>
          <w:tcPr>
            <w:tcW w:w="1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Không</w:t>
            </w:r>
          </w:p>
        </w:tc>
        <w:tc>
          <w:tcPr>
            <w:tcW w:w="41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Cơ chế sync nội bộ, không có ý nghĩa pháp lý</w:t>
            </w:r>
          </w:p>
        </w:tc>
      </w:tr>
    </w:tbl>
    <w:p>
      <w:pPr>
        <w:pStyle w:val="Normal"/>
        <w:spacing w:lineRule="auto" w:line="276" w:before="0" w:after="120"/>
        <w:jc w:val="both"/>
        <w:rPr/>
      </w:pPr>
      <w:r>
        <w:rPr>
          <w:rFonts w:eastAsia="Calibri" w:cs="Calibri"/>
          <w:b w:val="false"/>
          <w:bCs w:val="false"/>
          <w:i w:val="false"/>
          <w:iCs w:val="false"/>
          <w:color w:val="111827"/>
          <w:sz w:val="21"/>
          <w:szCs w:val="21"/>
        </w:rPr>
        <w:t>Contract.signedContentHash và reportHash đi vào cột sourceHash của AuditRecord qua domain event; recordHash là chain-integrity hash canonical khác vai trò và verify riêng.</w:t>
      </w:r>
    </w:p>
    <w:p>
      <w:pPr>
        <w:pStyle w:val="Heading3"/>
        <w:spacing w:before="240" w:after="80"/>
        <w:rPr/>
      </w:pPr>
      <w:bookmarkStart w:id="65" w:name="__RefHeading___Toc5616_AgriContract"/>
      <w:bookmarkEnd w:id="65"/>
      <w:r>
        <w:rPr>
          <w:rFonts w:eastAsia="Calibri" w:cs="Calibri" w:ascii="Calibri" w:hAnsi="Calibri"/>
          <w:b/>
          <w:bCs/>
          <w:color w:val="1F2A37"/>
          <w:sz w:val="22"/>
          <w:szCs w:val="22"/>
        </w:rPr>
        <w:t>4.2 Dual chain global + per-subject và anchor riêng</w:t>
      </w:r>
    </w:p>
    <w:p>
      <w:pPr>
        <w:pStyle w:val="Normal"/>
        <w:spacing w:lineRule="auto" w:line="276" w:before="0" w:after="120"/>
        <w:jc w:val="both"/>
        <w:rPr/>
      </w:pPr>
      <w:r>
        <w:rPr>
          <w:rFonts w:eastAsia="Calibri" w:cs="Calibri"/>
          <w:b w:val="false"/>
          <w:bCs w:val="false"/>
          <w:i w:val="false"/>
          <w:iCs w:val="false"/>
          <w:color w:val="111827"/>
          <w:sz w:val="21"/>
          <w:szCs w:val="21"/>
        </w:rPr>
        <w:t>Một audit_record nối global chain và chain theo subjectType/subjectId. Audit-service là writer duy nhất; content minimal hoá PII. OTS proof không update vào record cũ mà lưu ở audit_anchor append-only riêng.</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audit_record (</w:t>
        <w:br/>
        <w:t xml:space="preserve">  record_id CHAR(36) PRIMARY KEY,</w:t>
        <w:br/>
        <w:t xml:space="preserve">  subject_type VARCHAR(20) NOT NULL, -- CONTRACT|USER_PAIR|SYSTEM</w:t>
        <w:br/>
        <w:t xml:space="preserve">  subject_id VARCHAR(100) NOT NULL,</w:t>
        <w:br/>
        <w:t xml:space="preserve">  source_type VARCHAR(50) NOT NULL, source_event_type VARCHAR(100) NOT NULL,</w:t>
        <w:br/>
        <w:t xml:space="preserve">  source_hash VARCHAR(64) NULL, -- signedContentHash/reportHash của artefact nguồn</w:t>
        <w:br/>
        <w:t xml:space="preserve">  content JSON NOT NULL, -- MySQL 8, minimalized, không contact/name/address</w:t>
        <w:br/>
        <w:t xml:space="preserve">  record_hash VARCHAR(64) NOT NULL,</w:t>
        <w:br/>
        <w:t xml:space="preserve">  prev_hash_global VARCHAR(64) NULL, prev_hash_subject VARCHAR(64) NULL,</w:t>
        <w:br/>
        <w:t xml:space="preserve">  created_at TIMESTAMP(3) NOT NULL</w:t>
        <w:br/>
        <w:t>);</w:t>
        <w:br/>
        <w:t>CREATE INDEX idx_audit_subject ON audit_record(subject_type, subject_id, created_at);</w:t>
        <w:br/>
        <w:t>CREATE TABLE audit_anchor (</w:t>
        <w:br/>
        <w:t xml:space="preserve">  anchor_id CHAR(36) PRIMARY KEY, record_id CHAR(36) NOT NULL, anchored_hash VARCHAR(64) NOT NULL,</w:t>
        <w:br/>
        <w:t xml:space="preserve">  anchor_type VARCHAR(20) NOT NULL, proof BLOB NOT NULL, created_at TIMESTAMP(3) NOT NULL</w:t>
        <w:br/>
        <w:t>);</w:t>
        <w:br/>
        <w:t>-- audit DB principal chỉ INSERT + SELECT; không UPDATE/DELETE</w:t>
      </w:r>
    </w:p>
    <w:p>
      <w:pPr>
        <w:pStyle w:val="Normal"/>
        <w:spacing w:lineRule="auto" w:line="276" w:before="0" w:after="120"/>
        <w:jc w:val="both"/>
        <w:rPr/>
      </w:pPr>
      <w:r>
        <w:rPr>
          <w:rFonts w:eastAsia="Calibri" w:cs="Calibri"/>
          <w:b/>
          <w:bCs/>
          <w:i w:val="false"/>
          <w:iCs w:val="false"/>
          <w:color w:val="111827"/>
          <w:sz w:val="21"/>
          <w:szCs w:val="21"/>
        </w:rPr>
        <w:t xml:space="preserve">Hai kiểu verify: </w:t>
      </w:r>
      <w:r>
        <w:rPr>
          <w:rFonts w:eastAsia="Calibri" w:cs="Calibri"/>
          <w:b w:val="false"/>
          <w:bCs w:val="false"/>
          <w:i w:val="false"/>
          <w:iCs w:val="false"/>
          <w:color w:val="111827"/>
          <w:sz w:val="21"/>
          <w:szCs w:val="21"/>
        </w:rPr>
        <w:t>per-subject theo (subjectType, subjectId, prevHashSubject) cho một vụ/cặp/system; global theo prevHashGlobal để phát hiện xoá cả cụm subject. Concurrency của global head phải serialize bằng lock/sequence.</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Lưu ý concurrency (Spring): </w:t>
      </w:r>
      <w:r>
        <w:rPr>
          <w:rFonts w:eastAsia="Calibri" w:cs="Calibri"/>
          <w:color w:val="374151"/>
          <w:sz w:val="20"/>
          <w:szCs w:val="20"/>
        </w:rPr>
        <w:t>tính prev_hash_global cần đọc record cuối toàn bảng; nhiều contract insert đồng thời cần SELECT ... FOR UPDATE trên row cuối (pessimistic lock) hoặc một sequence riêng, tránh race làm hai insert tính ra cùng prev_hash_global và gãy chain. Với quy mô B2B forward contract (tần suất thấp), serialize mức này không phải bottleneck.</w:t>
      </w:r>
    </w:p>
    <w:p>
      <w:pPr>
        <w:pStyle w:val="Normal"/>
        <w:spacing w:lineRule="auto" w:line="276" w:before="0" w:after="120"/>
        <w:jc w:val="both"/>
        <w:rPr/>
      </w:pPr>
      <w:r>
        <w:rPr>
          <w:rFonts w:eastAsia="Calibri" w:cs="Calibri"/>
          <w:b w:val="false"/>
          <w:bCs w:val="false"/>
          <w:i w:val="false"/>
          <w:iCs w:val="false"/>
          <w:color w:val="111827"/>
          <w:sz w:val="21"/>
          <w:szCs w:val="21"/>
        </w:rPr>
        <w:t>recordHash = SHA256(canonicalJson({recordId, subjectType, subjectId, sourceType, sourceEventType, content, prevHashGlobal, prevHashSubject, createdAt})); canonicalization: key sort, UTF-8, no whitespace, UTC millisecond, decimal fixed-scale, giữ null key.</w:t>
      </w:r>
    </w:p>
    <w:p>
      <w:pPr>
        <w:pStyle w:val="Normal"/>
        <w:spacing w:lineRule="auto" w:line="276" w:before="0" w:after="120"/>
        <w:jc w:val="both"/>
        <w:rPr/>
      </w:pPr>
      <w:r>
        <w:rPr>
          <w:rFonts w:eastAsia="Calibri" w:cs="Calibri"/>
          <w:b w:val="false"/>
          <w:bCs w:val="false"/>
          <w:i w:val="false"/>
          <w:iCs w:val="false"/>
          <w:color w:val="111827"/>
          <w:sz w:val="21"/>
          <w:szCs w:val="21"/>
        </w:rPr>
        <w:t>Ba-way equality cho chữ ký: Contract.signedContentHash = audit_record.source_hash = hash trong email. record_hash cố ý khác signedContentHash và chỉ được recompute theo công thức canonical.</w:t>
      </w:r>
    </w:p>
    <w:p>
      <w:pPr>
        <w:pStyle w:val="Heading3"/>
        <w:spacing w:before="240" w:after="80"/>
        <w:rPr/>
      </w:pPr>
      <w:bookmarkStart w:id="66" w:name="__RefHeading___Toc5618_AgriContract"/>
      <w:bookmarkEnd w:id="66"/>
      <w:r>
        <w:rPr>
          <w:rFonts w:eastAsia="Calibri" w:cs="Calibri" w:ascii="Calibri" w:hAnsi="Calibri"/>
          <w:b/>
          <w:bCs/>
          <w:color w:val="1F2A37"/>
          <w:sz w:val="22"/>
          <w:szCs w:val="22"/>
        </w:rPr>
        <w:t>4.3 Đa vị trí + neo email + OpenTimestamps</w:t>
      </w:r>
    </w:p>
    <w:p>
      <w:pPr>
        <w:pStyle w:val="Normal"/>
        <w:spacing w:lineRule="auto" w:line="276" w:before="0" w:after="120"/>
        <w:jc w:val="both"/>
        <w:rPr/>
      </w:pPr>
      <w:r>
        <w:rPr>
          <w:rFonts w:eastAsia="Calibri" w:cs="Calibri"/>
          <w:b w:val="false"/>
          <w:bCs w:val="false"/>
          <w:i w:val="false"/>
          <w:iCs w:val="false"/>
          <w:color w:val="111827"/>
          <w:sz w:val="21"/>
          <w:szCs w:val="21"/>
        </w:rPr>
        <w:t>Ba nơi của sourceHash chữ ký phải khớp: Contract.signedContentHash, audit_record.source_hash và hash trong email. Email là bản sao ngoài nền tảng; recordHash/audit_anchor bảo vệ tính toàn vẹn chain và được kiểm riêng.</w:t>
      </w:r>
    </w:p>
    <w:p>
      <w:pPr>
        <w:pStyle w:val="Normal"/>
        <w:spacing w:lineRule="auto" w:line="276" w:before="0" w:after="120"/>
        <w:jc w:val="both"/>
        <w:rPr/>
      </w:pPr>
      <w:r>
        <w:rPr>
          <w:rFonts w:eastAsia="Calibri" w:cs="Calibri"/>
          <w:b/>
          <w:bCs/>
          <w:i w:val="false"/>
          <w:iCs w:val="false"/>
          <w:color w:val="111827"/>
          <w:sz w:val="21"/>
          <w:szCs w:val="21"/>
        </w:rPr>
        <w:t xml:space="preserve">OpenTimestamps (OTS) — neo Bitcoin, 2 tầng trigger: </w:t>
      </w:r>
      <w:r>
        <w:rPr>
          <w:rFonts w:eastAsia="Calibri" w:cs="Calibri"/>
          <w:b w:val="false"/>
          <w:bCs w:val="false"/>
          <w:i w:val="false"/>
          <w:iCs w:val="false"/>
          <w:color w:val="111827"/>
          <w:sz w:val="21"/>
          <w:szCs w:val="21"/>
        </w:rPr>
        <w:t>(1) event-triggered: mỗi event vào chain gọi OTS API lấy .ots cho record_hash (đã cuốn theo toàn bộ lịch sử qua prev_hash_global → là commitment cho toàn chain). (2) weekly luôn chạy: VerifyChainJob mỗi Chủ nhật tự tạo OTS cho head hiện tại kể cả tuần không có event vào chain — đảm bảo trần cứng cửa sổ tấn công ≤ 7 ngày. OTS bắt được cascade tampering (xoá + sửa lại toàn bộ prevHash phía sau để chain tự nhất quán) mà verify tự-so-với-chính-nó không phát hiện. Miễn phí, không cần ví crypto. Gửi .ots cho buyer/seller CHỈ tại milestone.settled (tránh noise email ở bước trung gian).</w:t>
      </w:r>
    </w:p>
    <w:p>
      <w:pPr>
        <w:pStyle w:val="Heading3"/>
        <w:spacing w:before="240" w:after="80"/>
        <w:rPr/>
      </w:pPr>
      <w:bookmarkStart w:id="67" w:name="__RefHeading___Toc5620_AgriContract"/>
      <w:bookmarkEnd w:id="67"/>
      <w:r>
        <w:rPr>
          <w:rFonts w:eastAsia="Calibri" w:cs="Calibri" w:ascii="Calibri" w:hAnsi="Calibri"/>
          <w:b/>
          <w:bCs/>
          <w:color w:val="1F2A37"/>
          <w:sz w:val="22"/>
          <w:szCs w:val="22"/>
        </w:rPr>
        <w:t>4.4 VerifyChainJob + alert routing</w:t>
      </w:r>
    </w:p>
    <w:p>
      <w:pPr>
        <w:pStyle w:val="Normal"/>
        <w:spacing w:lineRule="auto" w:line="276" w:before="0" w:after="120"/>
        <w:jc w:val="both"/>
        <w:rPr/>
      </w:pPr>
      <w:r>
        <w:rPr>
          <w:rFonts w:eastAsia="Calibri" w:cs="Calibri"/>
          <w:b w:val="false"/>
          <w:bCs w:val="false"/>
          <w:i w:val="false"/>
          <w:iCs w:val="false"/>
          <w:color w:val="111827"/>
          <w:sz w:val="21"/>
          <w:szCs w:val="21"/>
        </w:rPr>
        <w:t>@Scheduled hàng tuần 2–3h sáng Chủ nhật (traffic thấp), chạy TRƯỚC digest cùng một lần chạy:</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Đọc toàn bộ audit_record theo created_at; tính lại record_hash từng row, so với giá trị đã lưu.</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Lấy anchoredHash (record_hash gần nhất đã OTS-anchor); query SELECT 1 WHERE record_hash = anchoredHash — cascade tampering bất kỳ điểm nào sẽ làm giá trị này biến mất khỏi bảng (chỉ một query đủ).</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Tạo OTS mới cho head hiện tại (tầng 2) làm anchor cho lần verify tuần sau.</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Khớp 100% + anchoredHash còn tồn tại → WEEKLY_VERIFY_OK → DigestJob gửi digest cho Software Buyer. Ngược lại → WEEKLY_VERIFY_FAILED → flow alert.</w:t>
      </w:r>
    </w:p>
    <w:p>
      <w:pPr>
        <w:pStyle w:val="Normal"/>
        <w:spacing w:lineRule="auto" w:line="276" w:before="0" w:after="120"/>
        <w:jc w:val="both"/>
        <w:rPr/>
      </w:pPr>
      <w:r>
        <w:rPr>
          <w:rFonts w:eastAsia="Calibri" w:cs="Calibri"/>
          <w:b/>
          <w:bCs/>
          <w:i w:val="false"/>
          <w:iCs w:val="false"/>
          <w:color w:val="111827"/>
          <w:sz w:val="21"/>
          <w:szCs w:val="21"/>
        </w:rPr>
        <w:t xml:space="preserve">Alert routing khi fail — không để một người làm gatekeeper: </w:t>
      </w:r>
      <w:r>
        <w:rPr>
          <w:rFonts w:eastAsia="Calibri" w:cs="Calibri"/>
          <w:b w:val="false"/>
          <w:bCs w:val="false"/>
          <w:i w:val="false"/>
          <w:iCs w:val="false"/>
          <w:color w:val="111827"/>
          <w:sz w:val="21"/>
          <w:szCs w:val="21"/>
        </w:rPr>
        <w:t>verify fail → hệ thống tự động bắn SONG SONG (không qua bước duyệt của ai) tới Admin (điều tra kỹ thuật) VÀ nhiều địa chỉ liên hệ phía Software Buyer (không chỉ một người). Nếu chính Admin là người sửa data, cơ chế "báo Admin rồi đợi Admin điều tra" sẽ bị chặn vĩnh viễn — nên bỏ bước gatekeeper đó. Buyer/seller từng hợp đồng chỉ được báo SAU khi Admin khoanh vùng đúng subject/contract bị ảnh hưởng (không tự động — thông tin nhạy cảm cần chính xác).</w:t>
      </w:r>
    </w:p>
    <w:p>
      <w:pPr>
        <w:pStyle w:val="Normal"/>
        <w:spacing w:lineRule="auto" w:line="276" w:before="0" w:after="120"/>
        <w:jc w:val="both"/>
        <w:rPr/>
      </w:pPr>
      <w:r>
        <w:rPr>
          <w:rFonts w:eastAsia="Calibri" w:cs="Calibri"/>
          <w:b/>
          <w:bCs/>
          <w:i w:val="false"/>
          <w:iCs w:val="false"/>
          <w:color w:val="111827"/>
          <w:sz w:val="21"/>
          <w:szCs w:val="21"/>
        </w:rPr>
        <w:t xml:space="preserve">External Verifier self-service watchdog (08/07/2026): </w:t>
      </w:r>
      <w:r>
        <w:rPr>
          <w:rFonts w:eastAsia="Calibri" w:cs="Calibri"/>
          <w:b w:val="false"/>
          <w:bCs w:val="false"/>
          <w:i w:val="false"/>
          <w:iCs w:val="false"/>
          <w:color w:val="111827"/>
          <w:sz w:val="21"/>
          <w:szCs w:val="21"/>
        </w:rPr>
        <w:t>ngoài VerifyChainJob nội bộ, expose GET /security/audit-hash (chỉ-đọc, auth nhẹ — hash không phải bí mật) để tổ chức vận hành platform (Software Buyer, không cột cứng VICOFA) tự query record_hash và đối soát với bản hash nhận qua email anchor, bằng lịch riêng ngoài tầm Admin. Phát hiện lệch → ký lệnh emergency-lock (bank-service §4.5) đóng băng toàn hệ thống. Đây là lần đầu phép đối chiếu chủ động không phụ thuộc DUY NHẤT vào job nội bộ — thu hẹp lỗ hổng “phải có người chủ động nhìn” ở §6, dù không đóng hoàn toàn (verifier vẫn phải chịu query; collusion Admin+verifier là giới hạn cố hữu trusted-operator).</w:t>
      </w:r>
    </w:p>
    <w:tbl>
      <w:tblPr>
        <w:tblW w:w="9638" w:type="dxa"/>
        <w:jc w:val="start"/>
        <w:tblInd w:w="0" w:type="dxa"/>
        <w:tblLayout w:type="fixed"/>
        <w:tblCellMar>
          <w:top w:w="60" w:type="dxa"/>
          <w:start w:w="90" w:type="dxa"/>
          <w:bottom w:w="60" w:type="dxa"/>
          <w:end w:w="90" w:type="dxa"/>
        </w:tblCellMar>
      </w:tblPr>
      <w:tblGrid>
        <w:gridCol w:w="3400"/>
        <w:gridCol w:w="6237"/>
      </w:tblGrid>
      <w:tr>
        <w:trPr>
          <w:tblHeader w:val="true"/>
        </w:trPr>
        <w:tc>
          <w:tcPr>
            <w:tcW w:w="3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source_type</w:t>
            </w:r>
          </w:p>
        </w:tc>
        <w:tc>
          <w:tcPr>
            <w:tcW w:w="62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Ý nghĩa / sức nặng bằng chứng</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MILESTONE_EVENT</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Số liệu/quyết định milestone (6/8 event)</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CONTRACT_SIGNED</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signedContentHash lúc ký</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INSPECTION_REPORT</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Report Level 1.5 — đứng sau actor đã KYC + login (Signature + RBAC)</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EXTERNAL_INSPECTION_REPORT</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Report Level 2 đã CONFIRMED — không actor login (SPF/DKIM + Admin confirm)</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LEVEL2_INSPECTION_COMMISSIONED</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Chỉ ghi YÊU CẦU commission — không phải kết quả</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EXTERNAL_VERIFIER_KEY_REGISTERED</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Đăng ký/đổi public key External Verifier — root-of-trust kill switch, chống Admin lén swap key (08/07/2026)</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SECURITY_LOCK_TRIGGERED / SECURITY_UNLOCK_TRIGGERED</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Quyết định đóng/mở băng toàn hệ thống</w:t>
            </w:r>
          </w:p>
        </w:tc>
      </w:tr>
      <w:tr>
        <w:trPr/>
        <w:tc>
          <w:tcPr>
            <w:tcW w:w="3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STRUCTURING_REPORT</w:t>
            </w:r>
          </w:p>
        </w:tc>
        <w:tc>
          <w:tcPr>
            <w:tcW w:w="62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SuspiciousTransactionReport append-only từ bank.suspicious_report_created</w:t>
            </w:r>
          </w:p>
        </w:tc>
      </w:tr>
      <w:tr>
        <w:trPr/>
        <w:tc>
          <w:tcPr>
            <w:tcW w:w="3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AML_RISK_CLEARED</w:t>
            </w:r>
          </w:p>
        </w:tc>
        <w:tc>
          <w:tcPr>
            <w:tcW w:w="62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Quyết định maker-checker gỡ ELEVATED_RISK cho USER_PAIR</w:t>
            </w:r>
          </w:p>
        </w:tc>
      </w:tr>
    </w:tbl>
    <w:p>
      <w:pPr>
        <w:pStyle w:val="Normal"/>
        <w:spacing w:lineRule="auto" w:line="276" w:before="0" w:after="120"/>
        <w:jc w:val="both"/>
        <w:rPr/>
      </w:pPr>
      <w:r>
        <w:rPr>
          <w:rFonts w:eastAsia="Calibri" w:cs="Calibri"/>
          <w:b w:val="false"/>
          <w:bCs w:val="false"/>
          <w:i w:val="false"/>
          <w:iCs w:val="false"/>
          <w:color w:val="111827"/>
          <w:sz w:val="21"/>
          <w:szCs w:val="21"/>
        </w:rPr>
        <w:t>Không gộp chung các loại report dù cùng mục đích nghiệp vụ — sức nặng bằng chứng khác nhau thật (actor đã KYC vs kết quả xác nhận vs chỉ yêu cầu); gộp chung một nhãn là che giấu khác biệt evidentiary mà hội đồng sẽ hỏi. Xuất gói bằng chứng hỗ trợ DDS/EUDR: verify chain trước, rồi xuất PDF/CSV on-demand; không tuyên bố đây là DDS hoàn chỉnh.</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Luật GDĐT 2023, khoản 2 Điều 14. </w:t>
      </w:r>
      <w:r>
        <w:rPr>
          <w:rFonts w:eastAsia="Calibri" w:cs="Calibri"/>
          <w:color w:val="374151"/>
          <w:sz w:val="20"/>
          <w:szCs w:val="20"/>
        </w:rPr>
        <w:t>Chuỗi hash append-only + DB INSERT-only + neo độc lập (email, Bitcoin) là hiện thực hoá kỹ thuật của yêu cầu "bảo toàn tính nguyên vẹn" — cơ sở để audit trail có giá trị chứng cứ và hợp lệ cho kiểm toán EUDR.</w:t>
      </w:r>
    </w:p>
    <w:p>
      <w:pPr>
        <w:pStyle w:val="Heading2"/>
        <w:pBdr>
          <w:bottom w:val="single" w:sz="6" w:space="6" w:color="D1D5DB"/>
        </w:pBdr>
        <w:spacing w:before="320" w:after="120"/>
        <w:rPr/>
      </w:pPr>
      <w:bookmarkStart w:id="68" w:name="__RefHeading___Toc5622_AgriContract"/>
      <w:bookmarkEnd w:id="68"/>
      <w:r>
        <w:rPr>
          <w:rFonts w:eastAsia="Calibri" w:cs="Calibri" w:ascii="Calibri" w:hAnsi="Calibri"/>
          <w:b/>
          <w:bCs/>
          <w:color w:val="1F2A37"/>
          <w:sz w:val="25"/>
          <w:szCs w:val="25"/>
        </w:rPr>
        <w:t>5. Luồng trình tự xuyên dịch vụ</w:t>
      </w:r>
    </w:p>
    <w:p>
      <w:pPr>
        <w:pStyle w:val="Heading3"/>
        <w:spacing w:before="240" w:after="80"/>
        <w:rPr/>
      </w:pPr>
      <w:bookmarkStart w:id="69" w:name="__RefHeading___Toc5624_AgriContract"/>
      <w:bookmarkEnd w:id="69"/>
      <w:r>
        <w:rPr>
          <w:rFonts w:eastAsia="Calibri" w:cs="Calibri" w:ascii="Calibri" w:hAnsi="Calibri"/>
          <w:b/>
          <w:bCs/>
          <w:color w:val="1F2A37"/>
          <w:sz w:val="22"/>
          <w:szCs w:val="22"/>
        </w:rPr>
        <w:t>5.1 Tranh chấp Level 1.5 → report → quyết toán</w:t>
      </w:r>
    </w:p>
    <w:tbl>
      <w:tblPr>
        <w:tblW w:w="9638" w:type="dxa"/>
        <w:jc w:val="start"/>
        <w:tblInd w:w="0" w:type="dxa"/>
        <w:tblLayout w:type="fixed"/>
        <w:tblCellMar>
          <w:top w:w="60" w:type="dxa"/>
          <w:start w:w="90" w:type="dxa"/>
          <w:bottom w:w="60" w:type="dxa"/>
          <w:end w:w="90" w:type="dxa"/>
        </w:tblCellMar>
      </w:tblPr>
      <w:tblGrid>
        <w:gridCol w:w="699"/>
        <w:gridCol w:w="2301"/>
        <w:gridCol w:w="3399"/>
        <w:gridCol w:w="3238"/>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3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BUYER → contract-service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FLAG_ISSUE → CONTESTED → DisputeRoutingService route=LEVEL_1_5</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 chờ giám định</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INSPECTOR</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Kiểm tra thực địa, nộp report + file (≤1800s sau step-up)</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reportHash tính từ actor đã KYC</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inspection-service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INSERT inspection_report + inspector_signature → publish inspection.report_confirmed</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audit-service nối chain</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Verify reportHash → advance milestone SETTLED theo phán quyết</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release theo kết quả; bên thua chịu phí</w:t>
            </w:r>
          </w:p>
        </w:tc>
      </w:tr>
    </w:tbl>
    <w:p>
      <w:pPr>
        <w:pStyle w:val="Heading3"/>
        <w:spacing w:before="240" w:after="80"/>
        <w:rPr/>
      </w:pPr>
      <w:bookmarkStart w:id="70" w:name="__RefHeading___Toc5626_AgriContract"/>
      <w:bookmarkEnd w:id="70"/>
      <w:r>
        <w:rPr>
          <w:rFonts w:eastAsia="Calibri" w:cs="Calibri" w:ascii="Calibri" w:hAnsi="Calibri"/>
          <w:b/>
          <w:bCs/>
          <w:color w:val="1F2A37"/>
          <w:sz w:val="22"/>
          <w:szCs w:val="22"/>
        </w:rPr>
        <w:t>5.2 Escalate Level 2 → commission → intake → quyết toán</w:t>
      </w:r>
    </w:p>
    <w:tbl>
      <w:tblPr>
        <w:tblW w:w="9638" w:type="dxa"/>
        <w:jc w:val="start"/>
        <w:tblInd w:w="0" w:type="dxa"/>
        <w:tblLayout w:type="fixed"/>
        <w:tblCellMar>
          <w:top w:w="60" w:type="dxa"/>
          <w:start w:w="90" w:type="dxa"/>
          <w:bottom w:w="60" w:type="dxa"/>
          <w:end w:w="90" w:type="dxa"/>
        </w:tblCellMar>
      </w:tblPr>
      <w:tblGrid>
        <w:gridCol w:w="699"/>
        <w:gridCol w:w="2301"/>
        <w:gridCol w:w="3399"/>
        <w:gridCol w:w="3238"/>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3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ADMIN/OPERATOR → inspection-service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InitiateLevel2Inspection: đọc level2InspectorOrg, verify allowlist, INSERT commission</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publish inspection.level2_commissioned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Hệ thống</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Gửi mail tới org kèm 3 địa chỉ (buyer, seller, intake@)</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Yêu cầu đã gửi (không phải đồng ý)</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file-service IMAP → file.email_notice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Ack → parse gợi ý case ID → OPERATOR/ADMIN ConfirmCaseId</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CASE_ID_CONFIRMED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file-service IMAP → file.ready</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Attachment đã hash/scan → inspection tính reportHash → PENDING_REVIEW</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Chưa vào audit</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5</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ADMIN/OPERATOR</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ReviewPendingExternalReport APPROVE → CONFIRMED → inspection.report_confirmed</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 nối chain; milestone theo report</w:t>
            </w:r>
          </w:p>
        </w:tc>
      </w:tr>
    </w:tbl>
    <w:p>
      <w:pPr>
        <w:pStyle w:val="Heading3"/>
        <w:spacing w:before="240" w:after="80"/>
        <w:rPr/>
      </w:pPr>
      <w:bookmarkStart w:id="71" w:name="__RefHeading___Toc5628_AgriContract"/>
      <w:bookmarkEnd w:id="71"/>
      <w:r>
        <w:rPr>
          <w:rFonts w:eastAsia="Calibri" w:cs="Calibri" w:ascii="Calibri" w:hAnsi="Calibri"/>
          <w:b/>
          <w:bCs/>
          <w:color w:val="1F2A37"/>
          <w:sz w:val="22"/>
          <w:szCs w:val="22"/>
        </w:rPr>
        <w:t>5.3 Cưỡng chế khoá tài khoản</w:t>
      </w:r>
    </w:p>
    <w:tbl>
      <w:tblPr>
        <w:tblW w:w="9638" w:type="dxa"/>
        <w:jc w:val="start"/>
        <w:tblInd w:w="0" w:type="dxa"/>
        <w:tblLayout w:type="fixed"/>
        <w:tblCellMar>
          <w:top w:w="60" w:type="dxa"/>
          <w:start w:w="90" w:type="dxa"/>
          <w:bottom w:w="60" w:type="dxa"/>
          <w:end w:w="90" w:type="dxa"/>
        </w:tblCellMar>
      </w:tblPr>
      <w:tblGrid>
        <w:gridCol w:w="699"/>
        <w:gridCol w:w="2301"/>
        <w:gridCol w:w="3399"/>
        <w:gridCol w:w="3238"/>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3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 bị cancel-có-penalty → milestone.cancelled_with_penalty</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Mang penalizedRole + input rate</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reputation-service</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ProcessLockout: tính multiplier → INSERT lock_entry (insert-only) → publish reputation.locked(lockRevision, occurredAt)</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lockDurationDays snapshot bất biến</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3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user-service</w:t>
            </w:r>
          </w:p>
        </w:tc>
        <w:tc>
          <w:tcPr>
            <w:tcW w:w="3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Consume reputation.locked → set lockedUntil nếu lockRevision mới hơn lastLockRevision</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Không gọi sync mỗi lần check</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3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Lần sign() tiếp theo → Feign CheckLockStatus (fail-closed + circuit breaker)</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lockedUntil &gt; now → chặn ký</w:t>
            </w:r>
          </w:p>
        </w:tc>
      </w:tr>
    </w:tbl>
    <w:p>
      <w:pPr>
        <w:pStyle w:val="Heading2"/>
        <w:pBdr>
          <w:bottom w:val="single" w:sz="6" w:space="6" w:color="D1D5DB"/>
        </w:pBdr>
        <w:spacing w:before="320" w:after="120"/>
        <w:rPr/>
      </w:pPr>
      <w:bookmarkStart w:id="72" w:name="__RefHeading___Toc5630_AgriContract"/>
      <w:bookmarkEnd w:id="72"/>
      <w:r>
        <w:rPr>
          <w:rFonts w:eastAsia="Calibri" w:cs="Calibri" w:ascii="Calibri" w:hAnsi="Calibri"/>
          <w:b/>
          <w:bCs/>
          <w:color w:val="1F2A37"/>
          <w:sz w:val="25"/>
          <w:szCs w:val="25"/>
        </w:rPr>
        <w:t>6. Giới hạn có chủ đích</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Chống thông đồng toàn diện. </w:t>
      </w:r>
      <w:r>
        <w:rPr>
          <w:rFonts w:eastAsia="Calibri" w:cs="Calibri"/>
          <w:b w:val="false"/>
          <w:bCs w:val="false"/>
          <w:i w:val="false"/>
          <w:iCs w:val="false"/>
          <w:color w:val="111827"/>
          <w:sz w:val="21"/>
          <w:szCs w:val="21"/>
        </w:rPr>
        <w:t>Nếu Admin VÀ đa số người nhận cảnh báo phía Software Buyer cùng thông đồng và không ai chủ động đối chiếu OTS — không cơ chế phần mềm nào trong kiến trúc hiện tại chặn được (đúng bài toán trustless consensus mà nhóm chủ đích không theo hướng blockchain). Email anchor lúc sign (gửi buyer/seller thật, khác người/khác thời điểm với người nhận digest) và bằng chứng toán học độc lập vẫn đứng vững.</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OTS thu hẹp, không đóng hoàn toàn. </w:t>
      </w:r>
      <w:r>
        <w:rPr>
          <w:rFonts w:eastAsia="Calibri" w:cs="Calibri"/>
          <w:b w:val="false"/>
          <w:bCs w:val="false"/>
          <w:i w:val="false"/>
          <w:iCs w:val="false"/>
          <w:color w:val="111827"/>
          <w:sz w:val="21"/>
          <w:szCs w:val="21"/>
        </w:rPr>
        <w:t>OTS đảm bảo bằng chứng tồn tại độc lập ngoài nền tảng, nhưng không tạo ra động lực phát hiện — vế "phải có người chủ động đối chiếu" vẫn là giới hạn cố hữu của mô hình trusted-operator.</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AML phát hiện giao dịch KẾ TIẾP cho tín hiệu tương đối; ngưỡng tuyệt đối bắt được ngay giao dịch đầu (mới, 06/07/2026). </w:t>
      </w:r>
      <w:r>
        <w:rPr>
          <w:rFonts w:eastAsia="Calibri" w:cs="Calibri"/>
          <w:b w:val="false"/>
          <w:bCs w:val="false"/>
          <w:i w:val="false"/>
          <w:iCs w:val="false"/>
          <w:color w:val="111827"/>
          <w:sz w:val="21"/>
          <w:szCs w:val="21"/>
        </w:rPr>
        <w:t>Detect dựa trên pattern lặp lại cần đủ lịch sử — chính giao dịch làm score vượt ngưỡng không bị hold, chỉ giao dịch tiếp theo của cặp đó, giới hạn cấu trúc không sửa bằng đổi threshold. Nhóm tín hiệu tuyệt đối mới (ngưỡng luật định 500 triệu) đóng được phần này cho giao dịch đủ lớn — nhưng one-shot fraud dưới ngưỡng đó vẫn còn nguyên gap cũ.</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Tự động hoá tra cứu BoA-VIAS/ILAC bị deferred. </w:t>
      </w:r>
      <w:r>
        <w:rPr>
          <w:rFonts w:eastAsia="Calibri" w:cs="Calibri"/>
          <w:b w:val="false"/>
          <w:bCs w:val="false"/>
          <w:i w:val="false"/>
          <w:iCs w:val="false"/>
          <w:color w:val="111827"/>
          <w:sz w:val="21"/>
          <w:szCs w:val="21"/>
        </w:rPr>
        <w:t>Hiện Admin tra tay qua web (tần suất thấp, không phải hot path); tự động hoá sau nếu hai tổ chức có API công khai.</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VerifyChainJob quét toàn bảng O(n). </w:t>
      </w:r>
      <w:r>
        <w:rPr>
          <w:rFonts w:eastAsia="Calibri" w:cs="Calibri"/>
          <w:b w:val="false"/>
          <w:bCs w:val="false"/>
          <w:i w:val="false"/>
          <w:iCs w:val="false"/>
          <w:color w:val="111827"/>
          <w:sz w:val="21"/>
          <w:szCs w:val="21"/>
        </w:rPr>
        <w:t>Ổn ở vài nghìn–vài chục nghìn record; nếu phình tới hàng triệu, hướng fix là incremental verify (con trỏ last_verified_record_id) — ngoài phạm vi đồ án.</w:t>
      </w:r>
    </w:p>
    <w:p>
      <w:pPr>
        <w:pStyle w:val="Heading2"/>
        <w:pBdr>
          <w:bottom w:val="single" w:sz="6" w:space="6" w:color="D1D5DB"/>
        </w:pBdr>
        <w:spacing w:before="320" w:after="120"/>
        <w:rPr/>
      </w:pPr>
      <w:bookmarkStart w:id="73" w:name="__RefHeading___Toc5632_AgriContract"/>
      <w:bookmarkEnd w:id="73"/>
      <w:r>
        <w:rPr>
          <w:rFonts w:eastAsia="Calibri" w:cs="Calibri" w:ascii="Calibri" w:hAnsi="Calibri"/>
          <w:b/>
          <w:bCs/>
          <w:color w:val="1F2A37"/>
          <w:sz w:val="25"/>
          <w:szCs w:val="25"/>
        </w:rPr>
        <w:t>7. Giới hạn đã biết (Known Limitations)</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Checklist KYC INSPECTOR Level 1.5 </w:t>
      </w:r>
      <w:r>
        <w:rPr>
          <w:rFonts w:eastAsia="Calibri" w:cs="Calibri"/>
          <w:b w:val="false"/>
          <w:bCs w:val="false"/>
          <w:i w:val="false"/>
          <w:iCs w:val="false"/>
          <w:color w:val="111827"/>
          <w:sz w:val="21"/>
          <w:szCs w:val="21"/>
        </w:rPr>
        <w:t>— nguyên tắc xác minh giấy phép kiểm định đã chốt; danh mục giấy tờ cụ thể cần xác nhận nghiệp vụ với đơn vị kiểm định thật — ngoài phạm vi xác nhận được của đồ án, không block thiết kế.</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74" w:name="__RefHeading___Toc5634_AgriContract"/>
      <w:bookmarkEnd w:id="74"/>
      <w:r>
        <w:rPr>
          <w:rFonts w:eastAsia="Calibri" w:cs="Calibri" w:ascii="Calibri" w:hAnsi="Calibri"/>
          <w:b/>
          <w:bCs/>
          <w:color w:val="1F2A37"/>
          <w:sz w:val="40"/>
          <w:szCs w:val="40"/>
        </w:rPr>
        <w:t>Phần 4 — Cụm dữ liệu &amp; hỗ trợ: product-service · file-service · pricing-service</w:t>
      </w:r>
    </w:p>
    <w:p>
      <w:pPr>
        <w:pStyle w:val="Normal"/>
        <w:spacing w:before="0" w:after="0"/>
        <w:rPr/>
      </w:pPr>
      <w:r>
        <w:rPr/>
      </w:r>
      <w:r>
        <w:br w:type="page"/>
      </w:r>
    </w:p>
    <w:p>
      <w:pPr>
        <w:pStyle w:val="Heading2"/>
        <w:pBdr>
          <w:bottom w:val="single" w:sz="6" w:space="6" w:color="D1D5DB"/>
        </w:pBdr>
        <w:spacing w:before="0" w:after="120"/>
        <w:rPr/>
      </w:pPr>
      <w:bookmarkStart w:id="75" w:name="__RefHeading___Toc5636_AgriContract"/>
      <w:bookmarkEnd w:id="75"/>
      <w:r>
        <w:rPr>
          <w:rFonts w:eastAsia="Calibri" w:cs="Calibri" w:ascii="Calibri" w:hAnsi="Calibri"/>
          <w:b/>
          <w:bCs/>
          <w:color w:val="1F2A37"/>
          <w:sz w:val="25"/>
          <w:szCs w:val="25"/>
        </w:rPr>
        <w:t>1. Phạm vi phần 4</w:t>
      </w:r>
    </w:p>
    <w:p>
      <w:pPr>
        <w:pStyle w:val="Normal"/>
        <w:spacing w:lineRule="auto" w:line="276" w:before="0" w:after="120"/>
        <w:jc w:val="both"/>
        <w:rPr/>
      </w:pPr>
      <w:r>
        <w:rPr>
          <w:rFonts w:eastAsia="Calibri" w:cs="Calibri"/>
          <w:b w:val="false"/>
          <w:bCs w:val="false"/>
          <w:i w:val="false"/>
          <w:iCs w:val="false"/>
          <w:color w:val="111827"/>
          <w:sz w:val="21"/>
          <w:szCs w:val="21"/>
        </w:rPr>
        <w:t>Phần 4 đặc tả cụm dữ liệu và hỗ trợ — ba dịch vụ cung cấp dữ liệu nền cho luồng hợp đồng: product-service (phần mở rộng geolocation mảnh đất phục vụ EUDR — Product/Listing cốt lõi đã có từ trước), file-service (kho lưu trữ file tập trung, xử lý bất đồng bộ), pricing-service (cache giá tham chiếu nông sản từ nguồn ngoài). Tuân theo chuẩn dùng chung ở Phần 1.</w:t>
      </w:r>
    </w:p>
    <w:tbl>
      <w:tblPr>
        <w:tblW w:w="9638" w:type="dxa"/>
        <w:jc w:val="start"/>
        <w:tblInd w:w="0" w:type="dxa"/>
        <w:tblLayout w:type="fixed"/>
        <w:tblCellMar>
          <w:top w:w="60" w:type="dxa"/>
          <w:start w:w="90" w:type="dxa"/>
          <w:bottom w:w="60" w:type="dxa"/>
          <w:end w:w="90" w:type="dxa"/>
        </w:tblCellMar>
      </w:tblPr>
      <w:tblGrid>
        <w:gridCol w:w="2299"/>
        <w:gridCol w:w="7338"/>
      </w:tblGrid>
      <w:tr>
        <w:trPr>
          <w:tblHeader w:val="true"/>
        </w:trPr>
        <w:tc>
          <w:tcPr>
            <w:tcW w:w="22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w:t>
            </w:r>
          </w:p>
        </w:tc>
        <w:tc>
          <w:tcPr>
            <w:tcW w:w="7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Sở hữu (phạm vi phần 4)</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product-service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Geolocation mảnh đất cho EUDR: PlotRegistryEntry (tái sử dụng), ProductPlot (snapshot), validate hình học; varietyName. Product/Listing cốt lõi không đổi</w:t>
            </w:r>
          </w:p>
        </w:tc>
      </w:tr>
      <w:tr>
        <w:trPr/>
        <w:tc>
          <w:tcPr>
            <w:tcW w:w="22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file-service</w:t>
            </w:r>
          </w:p>
        </w:tc>
        <w:tc>
          <w:tcPr>
            <w:tcW w:w="7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Lưu trữ file agnostic với nghiệp vụ; xử lý async (parse email + virus-scan); retention EUDR. KHÔNG biết ý nghĩa nghiệp vụ của file</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pricing-service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Ingest giá tham chiếu ngoài (VNSAT scrape + OPERATOR/ADMIN nhập tay); cache Redis. KHÔNG tính giá từ dữ liệu nội bộ, KHÔNG denormalize giá vào hợp đồng</w:t>
            </w:r>
          </w:p>
        </w:tc>
      </w:tr>
    </w:tbl>
    <w:p>
      <w:pPr>
        <w:pStyle w:val="Heading2"/>
        <w:pBdr>
          <w:bottom w:val="single" w:sz="6" w:space="6" w:color="D1D5DB"/>
        </w:pBdr>
        <w:spacing w:before="320" w:after="120"/>
        <w:rPr/>
      </w:pPr>
      <w:bookmarkStart w:id="76" w:name="__RefHeading___Toc5638_AgriContract"/>
      <w:bookmarkEnd w:id="76"/>
      <w:r>
        <w:rPr>
          <w:rFonts w:eastAsia="Calibri" w:cs="Calibri" w:ascii="Calibri" w:hAnsi="Calibri"/>
          <w:b/>
          <w:bCs/>
          <w:color w:val="1F2A37"/>
          <w:sz w:val="25"/>
          <w:szCs w:val="25"/>
        </w:rPr>
        <w:t>2. product-service — Geolocation cho EUDR</w:t>
      </w:r>
    </w:p>
    <w:p>
      <w:pPr>
        <w:pStyle w:val="Normal"/>
        <w:spacing w:lineRule="auto" w:line="276" w:before="0" w:after="120"/>
        <w:jc w:val="both"/>
        <w:rPr/>
      </w:pPr>
      <w:r>
        <w:rPr>
          <w:rFonts w:eastAsia="Calibri" w:cs="Calibri"/>
          <w:b w:val="false"/>
          <w:bCs w:val="false"/>
          <w:i w:val="false"/>
          <w:iCs w:val="false"/>
          <w:color w:val="111827"/>
          <w:sz w:val="21"/>
          <w:szCs w:val="21"/>
        </w:rPr>
        <w:t>EUDR (Regulation 2023/1115, sửa đổi 2025/2650, hiệu lực 30/12/2026) yêu cầu truy được toạ độ chính xác của mảnh đất nơi hàng được trồng, chứng minh không phá rừng sau 31/12/2020. Hai ràng buộc quyết định thiết kế:</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Cấm mass balance → geolocation là MẢNG plot. </w:t>
      </w:r>
      <w:r>
        <w:rPr>
          <w:rFonts w:eastAsia="Calibri" w:cs="Calibri"/>
          <w:b w:val="false"/>
          <w:bCs w:val="false"/>
          <w:i w:val="false"/>
          <w:iCs w:val="false"/>
          <w:color w:val="111827"/>
          <w:sz w:val="21"/>
          <w:szCs w:val="21"/>
        </w:rPr>
        <w:t>Không được gộp hàng nhiều nguồn rồi khai đại diện một plot; phải khai đủ toàn bộ plot. Một listing của HTX thường gom từ nhiều hộ, mỗi hộ một plot riêng — nên geolocation không thể là một cặp lat/long gắn vào Product, mà là mảng ProductPlot.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Khai lại mỗi listing là phi thực tế → tách Plot Registry. </w:t>
      </w:r>
      <w:r>
        <w:rPr>
          <w:rFonts w:eastAsia="Calibri" w:cs="Calibri"/>
          <w:b w:val="false"/>
          <w:bCs w:val="false"/>
          <w:i w:val="false"/>
          <w:iCs w:val="false"/>
          <w:color w:val="111827"/>
          <w:sz w:val="21"/>
          <w:szCs w:val="21"/>
        </w:rPr>
        <w:t>HTX gom từ hàng chục–hàng trăm hộ; gõ lại toạ độ 6 số thập phân mỗi mùa vụ chắc chắn sinh sai số. Tách khai báo đất (một lần, thuộc seller) khỏi tạo listing (nhiều lần).</w:t>
      </w:r>
    </w:p>
    <w:p>
      <w:pPr>
        <w:pStyle w:val="Heading3"/>
        <w:spacing w:before="240" w:after="80"/>
        <w:rPr/>
      </w:pPr>
      <w:bookmarkStart w:id="77" w:name="__RefHeading___Toc5640_AgriContract"/>
      <w:bookmarkEnd w:id="77"/>
      <w:r>
        <w:rPr>
          <w:rFonts w:eastAsia="Calibri" w:cs="Calibri" w:ascii="Calibri" w:hAnsi="Calibri"/>
          <w:b/>
          <w:bCs/>
          <w:color w:val="1F2A37"/>
          <w:sz w:val="22"/>
          <w:szCs w:val="22"/>
        </w:rPr>
        <w:t>2.1 Mô hình miền</w:t>
      </w:r>
    </w:p>
    <w:tbl>
      <w:tblPr>
        <w:tblW w:w="9638" w:type="dxa"/>
        <w:jc w:val="start"/>
        <w:tblInd w:w="0" w:type="dxa"/>
        <w:tblLayout w:type="fixed"/>
        <w:tblCellMar>
          <w:top w:w="60" w:type="dxa"/>
          <w:start w:w="90" w:type="dxa"/>
          <w:bottom w:w="60" w:type="dxa"/>
          <w:end w:w="90" w:type="dxa"/>
        </w:tblCellMar>
      </w:tblPr>
      <w:tblGrid>
        <w:gridCol w:w="2500"/>
        <w:gridCol w:w="2299"/>
        <w:gridCol w:w="4839"/>
      </w:tblGrid>
      <w:tr>
        <w:trPr>
          <w:tblHeader w:val="true"/>
        </w:trPr>
        <w:tc>
          <w:tcPr>
            <w:tcW w:w="25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Thành phần</w:t>
            </w:r>
          </w:p>
        </w:tc>
        <w:tc>
          <w:tcPr>
            <w:tcW w:w="22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Loại</w:t>
            </w:r>
          </w:p>
        </w:tc>
        <w:tc>
          <w:tcPr>
            <w:tcW w:w="48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PlotRegistryEntry</w:t>
            </w:r>
          </w:p>
        </w:tc>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Aggregate root nhỏ (thuộc Seller)</w:t>
            </w:r>
          </w:p>
        </w:tc>
        <w:tc>
          <w:tcPr>
            <w:tcW w:w="48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Nguồn khai báo đất tái sử dụng; một hộ đăng ký một lần, dùng cho mọi listing sau. UNIQUE(sellerId, householdLabel) là khoá match re-import</w:t>
            </w:r>
          </w:p>
        </w:tc>
      </w:tr>
      <w:tr>
        <w:trPr/>
        <w:tc>
          <w:tcPr>
            <w:tcW w:w="25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ProductPlot</w:t>
            </w:r>
          </w:p>
        </w:tc>
        <w:tc>
          <w:tcPr>
            <w:tcW w:w="22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Value object (trong Product)</w:t>
            </w:r>
          </w:p>
        </w:tc>
        <w:tc>
          <w:tcPr>
            <w:tcW w:w="48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Snapshot COPY từ PlotRegistryEntry lúc CreateListing — không phải tham chiếu sống (sửa registry sau không đổi listing cũ)</w:t>
            </w:r>
          </w:p>
        </w:tc>
      </w:tr>
      <w:tr>
        <w:trPr/>
        <w:tc>
          <w:tcPr>
            <w:tcW w:w="25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Product.varietyName</w:t>
            </w:r>
          </w:p>
        </w:tc>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Field mới (nullable)</w:t>
            </w:r>
          </w:p>
        </w:tc>
        <w:tc>
          <w:tcPr>
            <w:tcW w:w="48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Giống lúa cụ thể để match giá tham chiếu (pricing-service); không liên quan geolocation</w:t>
            </w:r>
          </w:p>
        </w:tc>
      </w:tr>
    </w:tbl>
    <w:p>
      <w:pPr>
        <w:pStyle w:val="Normal"/>
        <w:spacing w:lineRule="auto" w:line="276" w:before="0" w:after="120"/>
        <w:jc w:val="both"/>
        <w:rPr/>
      </w:pPr>
      <w:r>
        <w:rPr>
          <w:rFonts w:eastAsia="Calibri" w:cs="Calibri"/>
          <w:b/>
          <w:bCs/>
          <w:i w:val="false"/>
          <w:iCs w:val="false"/>
          <w:color w:val="111827"/>
          <w:sz w:val="21"/>
          <w:szCs w:val="21"/>
        </w:rPr>
        <w:t xml:space="preserve">Vì sao snapshot, không phải link sống: </w:t>
      </w:r>
      <w:r>
        <w:rPr>
          <w:rFonts w:eastAsia="Calibri" w:cs="Calibri"/>
          <w:b w:val="false"/>
          <w:bCs w:val="false"/>
          <w:i w:val="false"/>
          <w:iCs w:val="false"/>
          <w:color w:val="111827"/>
          <w:sz w:val="21"/>
          <w:szCs w:val="21"/>
        </w:rPr>
        <w:t>cùng nguyên tắc đã dùng cho agreedPrice/milestoneSchedule/level2InspectorOrg — khai báo tại đúng thời điểm tạo listing. Seller đo lại chính xác hơn sau này thì PlotRegistryEntry gốc đổi, nhưng ProductPlot đã snapshot cho listing cũ giữ nguyên.</w:t>
      </w:r>
    </w:p>
    <w:p>
      <w:pPr>
        <w:pStyle w:val="Heading3"/>
        <w:spacing w:before="240" w:after="80"/>
        <w:rPr/>
      </w:pPr>
      <w:bookmarkStart w:id="78" w:name="__RefHeading___Toc5642_AgriContract"/>
      <w:bookmarkEnd w:id="78"/>
      <w:r>
        <w:rPr>
          <w:rFonts w:eastAsia="Calibri" w:cs="Calibri" w:ascii="Calibri" w:hAnsi="Calibri"/>
          <w:b/>
          <w:bCs/>
          <w:color w:val="1F2A37"/>
          <w:sz w:val="22"/>
          <w:szCs w:val="22"/>
        </w:rPr>
        <w:t>2.2 Validate hình học — 2 tầng (GEOMETRY + JTS)</w:t>
      </w:r>
    </w:p>
    <w:p>
      <w:pPr>
        <w:pStyle w:val="Normal"/>
        <w:spacing w:lineRule="auto" w:line="276" w:before="0" w:after="120"/>
        <w:jc w:val="both"/>
        <w:rPr/>
      </w:pPr>
      <w:r>
        <w:rPr>
          <w:rFonts w:eastAsia="Calibri" w:cs="Calibri"/>
          <w:b w:val="false"/>
          <w:bCs w:val="false"/>
          <w:i w:val="false"/>
          <w:iCs w:val="false"/>
          <w:color w:val="111827"/>
          <w:sz w:val="21"/>
          <w:szCs w:val="21"/>
        </w:rPr>
        <w:t>Lưu TEXT không chặn được gì (sai cú pháp, ring hở, polygon tự cắt đều insert được, tới lúc dùng mới lộ). Chia trách nhiệm hai tầng, không đổ hết cho DB:</w:t>
      </w:r>
    </w:p>
    <w:tbl>
      <w:tblPr>
        <w:tblW w:w="9638" w:type="dxa"/>
        <w:jc w:val="start"/>
        <w:tblInd w:w="0" w:type="dxa"/>
        <w:tblLayout w:type="fixed"/>
        <w:tblCellMar>
          <w:top w:w="60" w:type="dxa"/>
          <w:start w:w="90" w:type="dxa"/>
          <w:bottom w:w="60" w:type="dxa"/>
          <w:end w:w="90" w:type="dxa"/>
        </w:tblCellMar>
      </w:tblPr>
      <w:tblGrid>
        <w:gridCol w:w="2600"/>
        <w:gridCol w:w="7037"/>
      </w:tblGrid>
      <w:tr>
        <w:trPr>
          <w:tblHeader w:val="true"/>
        </w:trPr>
        <w:tc>
          <w:tcPr>
            <w:tcW w:w="26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Tầng</w:t>
            </w:r>
          </w:p>
        </w:tc>
        <w:tc>
          <w:tcPr>
            <w:tcW w:w="70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Bắt lỗi gì</w:t>
            </w:r>
          </w:p>
        </w:tc>
      </w:tr>
      <w:tr>
        <w:trPr/>
        <w:tc>
          <w:tcPr>
            <w:tcW w:w="26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DB — GEOMETRY, SRID 4326</w:t>
            </w:r>
          </w:p>
        </w:tc>
        <w:tc>
          <w:tcPr>
            <w:tcW w:w="70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Free, tự động lúc INSERT: sai cú pháp, ring không khép kín, thiếu điểm. Không cần code thêm</w:t>
            </w:r>
          </w:p>
        </w:tc>
      </w:tr>
      <w:tr>
        <w:trPr/>
        <w:tc>
          <w:tcPr>
            <w:tcW w:w="26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Application — JTS .isValid() trong RAM trước persist</w:t>
            </w:r>
          </w:p>
        </w:tc>
        <w:tc>
          <w:tcPr>
            <w:tcW w:w="70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Self-intersection (polygon tự cắt). Đây là nơi DUY NHẤT bắt được — vì MySQL ST_IsValid() chỉ chạy SRID=0, lỗi trên SRID=4326; JTS không quan tâm SRID của DB nên bypass được</w:t>
            </w:r>
          </w:p>
        </w:tc>
      </w:tr>
    </w:tbl>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Giới hạn permanent (không công nghệ nào đóng được): </w:t>
      </w:r>
      <w:r>
        <w:rPr>
          <w:rFonts w:eastAsia="Calibri" w:cs="Calibri"/>
          <w:color w:val="374151"/>
          <w:sz w:val="20"/>
          <w:szCs w:val="20"/>
        </w:rPr>
        <w:t>DB + JTS chặn hết lỗi cú pháp/hình học, nhưng KHÔNG chặn được seller khai một plot hợp lệ 100% về hình học nhưng không có thật/không phải đất của họ. Đây là giới hạn của mô hình self-declared, trusted-operator — không phải thiếu sót thiết kế.</w:t>
      </w:r>
    </w:p>
    <w:p>
      <w:pPr>
        <w:pStyle w:val="Heading3"/>
        <w:spacing w:before="240" w:after="80"/>
        <w:rPr/>
      </w:pPr>
      <w:bookmarkStart w:id="79" w:name="__RefHeading___Toc5644_AgriContract"/>
      <w:bookmarkEnd w:id="79"/>
      <w:r>
        <w:rPr>
          <w:rFonts w:eastAsia="Calibri" w:cs="Calibri" w:ascii="Calibri" w:hAnsi="Calibri"/>
          <w:b/>
          <w:bCs/>
          <w:color w:val="1F2A37"/>
          <w:sz w:val="22"/>
          <w:szCs w:val="22"/>
        </w:rPr>
        <w:t>2.3 Nguồn nhập liệu &amp; quy tắc geometryType</w:t>
      </w:r>
    </w:p>
    <w:p>
      <w:pPr>
        <w:pStyle w:val="Normal"/>
        <w:spacing w:lineRule="auto" w:line="276" w:before="0" w:after="120"/>
        <w:jc w:val="both"/>
        <w:rPr/>
      </w:pPr>
      <w:r>
        <w:rPr>
          <w:rFonts w:eastAsia="Calibri" w:cs="Calibri"/>
          <w:b w:val="false"/>
          <w:bCs w:val="false"/>
          <w:i w:val="false"/>
          <w:iCs w:val="false"/>
          <w:color w:val="111827"/>
          <w:sz w:val="21"/>
          <w:szCs w:val="21"/>
        </w:rPr>
        <w:t>KML import là đường chính (khớp thực tế: cán bộ địa chính/công ty xuất khẩu/NGO đã đo GPS sẵn ra file KML cho EUDR); pin thủ công là fallback hẹp.</w:t>
      </w:r>
    </w:p>
    <w:tbl>
      <w:tblPr>
        <w:tblW w:w="9638" w:type="dxa"/>
        <w:jc w:val="start"/>
        <w:tblInd w:w="0" w:type="dxa"/>
        <w:tblLayout w:type="fixed"/>
        <w:tblCellMar>
          <w:top w:w="60" w:type="dxa"/>
          <w:start w:w="90" w:type="dxa"/>
          <w:bottom w:w="60" w:type="dxa"/>
          <w:end w:w="90" w:type="dxa"/>
        </w:tblCellMar>
      </w:tblPr>
      <w:tblGrid>
        <w:gridCol w:w="2200"/>
        <w:gridCol w:w="2400"/>
        <w:gridCol w:w="5038"/>
      </w:tblGrid>
      <w:tr>
        <w:trPr>
          <w:tblHeader w:val="true"/>
        </w:trPr>
        <w:tc>
          <w:tcPr>
            <w:tcW w:w="2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Nguồn (source)</w:t>
            </w:r>
          </w:p>
        </w:tc>
        <w:tc>
          <w:tcPr>
            <w:tcW w:w="24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geometryType cho phép</w:t>
            </w:r>
          </w:p>
        </w:tc>
        <w:tc>
          <w:tcPr>
            <w:tcW w:w="50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Cơ chế</w:t>
            </w:r>
          </w:p>
        </w:tc>
      </w:tr>
      <w:tr>
        <w:trPr/>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KML_IMPORT (chính)</w:t>
            </w:r>
          </w:p>
        </w:tc>
        <w:tc>
          <w:tcPr>
            <w:tcW w:w="24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POINT và POLYGON</w:t>
            </w:r>
          </w:p>
        </w:tc>
        <w:tc>
          <w:tcPr>
            <w:tcW w:w="5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Parse KML, mỗi placemark → 1 PlotRegistryEntry; householdLabel lấy từ tag &lt;name&gt;</w:t>
            </w:r>
          </w:p>
        </w:tc>
      </w:tr>
      <w:tr>
        <w:trPr/>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MANUAL_PIN (fallback)</w:t>
            </w:r>
          </w:p>
        </w:tc>
        <w:tc>
          <w:tcPr>
            <w:tcW w:w="24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CHỈ POINT (cấm POLYGON)</w:t>
            </w:r>
          </w:p>
        </w:tc>
        <w:tc>
          <w:tcPr>
            <w:tcW w:w="5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navigator.geolocation.getCurrentPosition(); vẽ polygon tay sai số cấp mét, lệch sang ranh giới hộ khác/rừng phòng hộ — plot cần POLYGON (&gt;4ha) phải có file KML thật</w:t>
            </w:r>
          </w:p>
        </w:tc>
      </w:tr>
    </w:tbl>
    <w:p>
      <w:pPr>
        <w:pStyle w:val="Normal"/>
        <w:spacing w:lineRule="auto" w:line="276" w:before="0" w:after="120"/>
        <w:jc w:val="both"/>
        <w:rPr/>
      </w:pPr>
      <w:r>
        <w:rPr>
          <w:rFonts w:eastAsia="Calibri" w:cs="Calibri"/>
          <w:b/>
          <w:bCs/>
          <w:i w:val="false"/>
          <w:iCs w:val="false"/>
          <w:color w:val="111827"/>
          <w:sz w:val="21"/>
          <w:szCs w:val="21"/>
        </w:rPr>
        <w:t xml:space="preserve">Ngưỡng geometryType (theo EUDR, áp từng plot riêng): </w:t>
      </w:r>
      <w:r>
        <w:rPr>
          <w:rFonts w:eastAsia="Calibri" w:cs="Calibri"/>
          <w:b w:val="false"/>
          <w:bCs w:val="false"/>
          <w:i w:val="false"/>
          <w:iCs w:val="false"/>
          <w:color w:val="111827"/>
          <w:sz w:val="21"/>
          <w:szCs w:val="21"/>
        </w:rPr>
        <w:t>≤ 4 hecta → POINT (một toạ độ, 6 số thập phân); &gt; 4 hecta → POLYGON (viền khép kín).</w:t>
      </w:r>
    </w:p>
    <w:p>
      <w:pPr>
        <w:pStyle w:val="Heading3"/>
        <w:spacing w:before="240" w:after="80"/>
        <w:rPr/>
      </w:pPr>
      <w:bookmarkStart w:id="80" w:name="__RefHeading___Toc5646_AgriContract"/>
      <w:bookmarkEnd w:id="80"/>
      <w:r>
        <w:rPr>
          <w:rFonts w:eastAsia="Calibri" w:cs="Calibri" w:ascii="Calibri" w:hAnsi="Calibri"/>
          <w:b/>
          <w:bCs/>
          <w:color w:val="1F2A37"/>
          <w:sz w:val="22"/>
          <w:szCs w:val="22"/>
        </w:rPr>
        <w:t>2.4 verificationLevel &amp; cross-check tỉnh</w:t>
      </w:r>
    </w:p>
    <w:p>
      <w:pPr>
        <w:pStyle w:val="Normal"/>
        <w:spacing w:lineRule="auto" w:line="276" w:before="0" w:after="120"/>
        <w:jc w:val="both"/>
        <w:rPr/>
      </w:pPr>
      <w:r>
        <w:rPr>
          <w:rFonts w:eastAsia="Calibri" w:cs="Calibri"/>
          <w:b w:val="false"/>
          <w:bCs w:val="false"/>
          <w:i w:val="false"/>
          <w:iCs w:val="false"/>
          <w:color w:val="111827"/>
          <w:sz w:val="21"/>
          <w:szCs w:val="21"/>
        </w:rPr>
        <w:t>verificationLevel: SELF_DECLARED (mặc định) / CADASTRAL_BACKED (seller upload trích lục bản đồ địa chính). Trích lục là dữ liệu nhà nước (số thửa, ranh giới) nhưng KHÔNG phải văn bản chứng minh quyền sử dụng đất (đó là sổ đỏ) — chỉ giảm nhẹ giới hạn "khai đất giả", không đóng hẳn; nền tảng không OCR/đối chiếu nội dung file với toạ độ.</w:t>
      </w:r>
    </w:p>
    <w:p>
      <w:pPr>
        <w:pStyle w:val="Normal"/>
        <w:spacing w:lineRule="auto" w:line="276" w:before="0" w:after="120"/>
        <w:jc w:val="both"/>
        <w:rPr/>
      </w:pPr>
      <w:r>
        <w:rPr>
          <w:rFonts w:eastAsia="Calibri" w:cs="Calibri"/>
          <w:b/>
          <w:bCs/>
          <w:i w:val="false"/>
          <w:iCs w:val="false"/>
          <w:color w:val="111827"/>
          <w:sz w:val="21"/>
          <w:szCs w:val="21"/>
        </w:rPr>
        <w:t xml:space="preserve">Cross-check tỉnh (giảm nhẹ lỗi convert VN2000→WGS84): </w:t>
      </w:r>
      <w:r>
        <w:rPr>
          <w:rFonts w:eastAsia="Calibri" w:cs="Calibri"/>
          <w:b w:val="false"/>
          <w:bCs w:val="false"/>
          <w:i w:val="false"/>
          <w:iCs w:val="false"/>
          <w:color w:val="111827"/>
          <w:sz w:val="21"/>
          <w:szCs w:val="21"/>
        </w:rPr>
        <w:t>cán bộ đo gốc bằng VN2000 rồi convert sang WGS84 trước khi xuất KML; nếu sai tham số kinh tuyến trục, toạ độ vẫn đúng DẠNG WGS84, vẫn trong bounding box Việt Nam, vẫn pass JTS (lệch tới ~81km nhưng là lỗi NỘI DUNG, không phải cú pháp). Đối chiếu hai nguồn độc lập: declaredProvince (seller chọn dropdown) vs tỉnh suy ra từ point-in-polygon (JTS + polygon Free-GIS-Data 34 tỉnh, cập nhật 08/07/2026 — đúng địa giới hiện hành NQ 202/2025). Lệch → provinceMismatchFlag=TRUE, cảnh báo UI, KHÔNG chặn insert.</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Giới hạn cross-check tỉnh: </w:t>
      </w:r>
      <w:r>
        <w:rPr>
          <w:rFonts w:eastAsia="Calibri" w:cs="Calibri"/>
          <w:color w:val="374151"/>
          <w:sz w:val="20"/>
          <w:szCs w:val="20"/>
        </w:rPr>
        <w:t>chỉ bắt lỗi VÔ Ý đơn lẻ (một plot lệch khỏi tỉnh khai). Không bắt lỗi hệ thống (cả batch cùng lệch cùng hướng, nhất quán nội bộ) và không bắt fraud có chủ đích. Dùng Free-GIS-Data 34 tỉnh (08/07/2026 — nguồn mở sync GSO đúng địa giới hiện hành, gỡ false-positive sáp nhập của GADM 63 tỉnh cũ). Còn lại: nguồn cộng đồng, chưa phải bản đồ pháp lý chính thức của Cục Đo đạc — đủ cho cross-check non-blocking.</w:t>
      </w:r>
    </w:p>
    <w:p>
      <w:pPr>
        <w:pStyle w:val="Heading3"/>
        <w:spacing w:before="240" w:after="80"/>
        <w:rPr/>
      </w:pPr>
      <w:bookmarkStart w:id="81" w:name="__RefHeading___Toc5648_AgriContract"/>
      <w:bookmarkEnd w:id="81"/>
      <w:r>
        <w:rPr>
          <w:rFonts w:eastAsia="Calibri" w:cs="Calibri" w:ascii="Calibri" w:hAnsi="Calibri"/>
          <w:b/>
          <w:bCs/>
          <w:color w:val="1F2A37"/>
          <w:sz w:val="22"/>
          <w:szCs w:val="22"/>
        </w:rPr>
        <w:t>2.4.1 Geo-risk verification qua baseline rừng 2020 — ForTy/Natural Forests (06/07/2026; đổi từ NDVI tự tính sang baseline làm sẵn 08/07/2026)</w:t>
      </w:r>
    </w:p>
    <w:p>
      <w:pPr>
        <w:pStyle w:val="Normal"/>
        <w:spacing w:lineRule="auto" w:line="276" w:before="0" w:after="120"/>
        <w:jc w:val="both"/>
        <w:rPr/>
      </w:pPr>
      <w:r>
        <w:rPr>
          <w:rFonts w:eastAsia="Calibri" w:cs="Calibri"/>
          <w:b/>
          <w:bCs/>
          <w:i w:val="false"/>
          <w:iCs w:val="false"/>
          <w:color w:val="111827"/>
          <w:sz w:val="21"/>
          <w:szCs w:val="21"/>
        </w:rPr>
        <w:t xml:space="preserve">Cơ chế: </w:t>
      </w:r>
      <w:r>
        <w:rPr>
          <w:rFonts w:eastAsia="Calibri" w:cs="Calibri"/>
          <w:b w:val="false"/>
          <w:bCs w:val="false"/>
          <w:i w:val="false"/>
          <w:iCs w:val="false"/>
          <w:color w:val="111827"/>
          <w:sz w:val="21"/>
          <w:szCs w:val="21"/>
        </w:rPr>
        <w:t>ngay sau khi PlotRegistryEntry được tạo/update, hệ thống tự động (async, không chặn seller) query baseline rừng 2020 làm sẵn cho đúng EUDR (08/07/2026 — thay tự tính NDVI + tự đặt ngưỡng): ForTy 2020 (Forest Typology v1.0, Google Earth Engine — Class 5 = Tree Crops &amp; Agroforestry phân loại thẳng là nông nghiệp EUDR, tách khỏi rừng tự nhiên) hoặc Natural Forests 2020 baseline (10m, 92% accuracy, thiết kế cho EUDR due diligence). Rơi vào class rừng tự nhiên 2020 → geoRiskLevel = HIGH_RISK; class cây trồng/nông nghiệp → LOW_RISK. Không còn ngưỡng NDVI thủ công. Không chặn giao dịch — chỉ dán nhãn cho buyer tự quyết định, đúng nguyên tắc neutral-party.</w:t>
      </w:r>
    </w:p>
    <w:p>
      <w:pPr>
        <w:pStyle w:val="Normal"/>
        <w:spacing w:lineRule="auto" w:line="276" w:before="0" w:after="120"/>
        <w:jc w:val="both"/>
        <w:rPr/>
      </w:pPr>
      <w:r>
        <w:rPr>
          <w:rFonts w:eastAsia="Calibri" w:cs="Calibri"/>
          <w:b/>
          <w:bCs/>
          <w:i w:val="false"/>
          <w:iCs w:val="false"/>
          <w:color w:val="111827"/>
          <w:sz w:val="21"/>
          <w:szCs w:val="21"/>
        </w:rPr>
        <w:t xml:space="preserve">INCONCLUSIVE — outcome thứ 3 (mới, 06/07/2026): </w:t>
      </w:r>
      <w:r>
        <w:rPr>
          <w:rFonts w:eastAsia="Calibri" w:cs="Calibri"/>
          <w:b w:val="false"/>
          <w:bCs w:val="false"/>
          <w:i w:val="false"/>
          <w:iCs w:val="false"/>
          <w:color w:val="111827"/>
          <w:sz w:val="21"/>
          <w:szCs w:val="21"/>
        </w:rPr>
        <w:t>mây che dày mùa mưa (Tây Nguyên/Đông Nam Bộ) và xen canh nhiều tầng (cà phê dưới tán sầu riêng, cao su tái canh) khiến NDVI đọc nhiễu, dễ kết luận sai thành phá rừng dù đất canh tác hợp pháp. Khi API trả lời nhưng tín hiệu không đủ tin cậy để phân loại nhị phân → geoRiskLevel = INCONCLUSIVE — khác HIGH_RISK (có bằng chứng rủi ro) và khác UNVERIFIED (chưa có câu trả lời gì, lỗi kỹ thuật).</w:t>
      </w:r>
    </w:p>
    <w:p>
      <w:pPr>
        <w:pStyle w:val="Normal"/>
        <w:spacing w:lineRule="auto" w:line="276" w:before="0" w:after="120"/>
        <w:jc w:val="both"/>
        <w:rPr/>
      </w:pPr>
      <w:r>
        <w:rPr>
          <w:rFonts w:eastAsia="Calibri" w:cs="Calibri"/>
          <w:b/>
          <w:bCs/>
          <w:i w:val="false"/>
          <w:iCs w:val="false"/>
          <w:color w:val="111827"/>
          <w:sz w:val="21"/>
          <w:szCs w:val="21"/>
        </w:rPr>
        <w:t xml:space="preserve">2 field mới, tách biệt rõ tiến trình vs kết quả: </w:t>
      </w:r>
      <w:r>
        <w:rPr>
          <w:rFonts w:eastAsia="Calibri" w:cs="Calibri"/>
          <w:b w:val="false"/>
          <w:bCs w:val="false"/>
          <w:i w:val="false"/>
          <w:iCs w:val="false"/>
          <w:color w:val="111827"/>
          <w:sz w:val="21"/>
          <w:szCs w:val="21"/>
        </w:rPr>
        <w:t>geoVerificationStatus (PENDING/CHECKED/UNVERIFIED) là trạng thái check đã chạy xong chưa; geoRiskLevel (LOW_RISK/HIGH_RISK/INCONCLUSIVE, nullable) là kết quả thật, chỉ có giá trị khi CHECKED. geoVerificationTimeoutHours (chốt 6 giờ, application.yml, tinh chỉnh được) — tính bằng GIỜ chứ không phải ngày, vì dữ liệu đã tồn tại sẵn, timeout chỉ hứng lỗi tạm thời (mây che, rate limit). Hết timeout mà chưa có kết quả → UNVERIFIED. CreateListing reject nếu registryEntryId đang PENDING (tránh race condition listing lên sàn trước khi biết risk).</w:t>
      </w:r>
    </w:p>
    <w:p>
      <w:pPr>
        <w:pStyle w:val="Normal"/>
        <w:spacing w:lineRule="auto" w:line="276" w:before="0" w:after="120"/>
        <w:jc w:val="both"/>
        <w:rPr/>
      </w:pPr>
      <w:r>
        <w:rPr>
          <w:rFonts w:eastAsia="Calibri" w:cs="Calibri"/>
          <w:b/>
          <w:bCs/>
          <w:i w:val="false"/>
          <w:iCs w:val="false"/>
          <w:color w:val="111827"/>
          <w:sz w:val="21"/>
          <w:szCs w:val="21"/>
        </w:rPr>
        <w:t xml:space="preserve">Luồng "yêu cầu đánh giá lại" bằng EXIF — đã spec đầy đủ (mới, 06/07/2026): </w:t>
      </w:r>
      <w:r>
        <w:rPr>
          <w:rFonts w:eastAsia="Calibri" w:cs="Calibri"/>
          <w:b w:val="false"/>
          <w:bCs w:val="false"/>
          <w:i w:val="false"/>
          <w:iCs w:val="false"/>
          <w:color w:val="111827"/>
          <w:sz w:val="21"/>
          <w:szCs w:val="21"/>
        </w:rPr>
        <w:t>không bắt buộc chụp ảnh lúc đăng ký plot. Chỉ kích hoạt khi geoRiskLevel = HIGH_RISK/INCONCLUSIVE và seller muốn khiếu nại (UC-P5 dưới). Seller chụp ảnh trực tiếp qua camera app (chặn chọn ảnh có sẵn) → file-service bóc EXIF (GPS + timestamp) → point-in-polygon đối chiếu với geoJson đã đăng ký. Trong ranh giới → ghi audit "đã xác minh bằng ảnh thực địa", không xoá nhãn gốc. Ngoài ranh giới → reject, ghi audit (chống nộp ảnh vườn khác).</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Giới hạn đã biết (Known Limitation): </w:t>
      </w:r>
      <w:r>
        <w:rPr>
          <w:rFonts w:eastAsia="Calibri" w:cs="Calibri"/>
          <w:color w:val="374151"/>
          <w:sz w:val="20"/>
          <w:szCs w:val="20"/>
        </w:rPr>
        <w:t>Baseline 10m 92% accuracy là proxy tham khảo, KHÔNG phải xác minh EUDR pháp lý đầy đủ — không được trình bày với VICOFA/buyer như "đã verify EUDR". EXIF chỉ là lớp phòng thủ bổ sung — không giải quyết được GPS spoofing. (Điểm treo "ngưỡng NDVI" đã gỡ nhờ baseline ForTy/Natural Forests làm sẵn; geoVerificationTimeoutHours chốt 6 giờ, 13/07/2026 — không còn điểm treo số liệu.)</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Commodity-gate cho geolocation (C3, 08/07/2026): </w:t>
      </w:r>
      <w:r>
        <w:rPr>
          <w:rFonts w:eastAsia="Calibri" w:cs="Calibri"/>
          <w:color w:val="374151"/>
          <w:sz w:val="20"/>
          <w:szCs w:val="20"/>
        </w:rPr>
        <w:t>EUDR chỉ áp cà phê và cao su — gạo và điều KHÔNG thuộc EUDR. Với gạo/điều, toàn bộ tầng geolocation/baseline-rừng không áp dụng (CreateListing không bắt buộc khai plot); giá trị đến từ escrow + tranh chấp + uy tín. Geolocation là module EUDR bật/tắt theo commodity, không phải năng lực lõi phổ quát.</w:t>
      </w:r>
    </w:p>
    <w:p>
      <w:pPr>
        <w:pStyle w:val="Heading3"/>
        <w:spacing w:before="240" w:after="80"/>
        <w:rPr/>
      </w:pPr>
      <w:bookmarkStart w:id="82" w:name="__RefHeading___Toc5650_AgriContract"/>
      <w:bookmarkEnd w:id="82"/>
      <w:r>
        <w:rPr>
          <w:rFonts w:eastAsia="Calibri" w:cs="Calibri" w:ascii="Calibri" w:hAnsi="Calibri"/>
          <w:b/>
          <w:bCs/>
          <w:color w:val="1F2A37"/>
          <w:sz w:val="22"/>
          <w:szCs w:val="22"/>
        </w:rPr>
        <w:t>2.4.2 Global plot overlap và yield anomaly</w:t>
      </w:r>
    </w:p>
    <w:p>
      <w:pPr>
        <w:pStyle w:val="Normal"/>
        <w:spacing w:lineRule="auto" w:line="276" w:before="0" w:after="120"/>
        <w:jc w:val="both"/>
        <w:rPr/>
      </w:pPr>
      <w:r>
        <w:rPr>
          <w:rFonts w:eastAsia="Calibri" w:cs="Calibri"/>
          <w:b w:val="false"/>
          <w:bCs w:val="false"/>
          <w:i w:val="false"/>
          <w:iCs w:val="false"/>
          <w:color w:val="111827"/>
          <w:sz w:val="21"/>
          <w:szCs w:val="21"/>
        </w:rPr>
        <w:t>Sau khi tạo/update PlotRegistryEntry, product-service dùng spatial index lấy candidate có bounding box giao nhau trên toàn hệ thống, không chỉ cùng seller. POLYGON kiểm exact geometry hash, diện tích giao, IoU và coverage ratio = intersection/min(areaA, areaB); POINT kiểm khoảng cách dưới epsilon + areaHectares xấp xỉ. Hai metric polygon là bắt buộc vì plot nhỏ nằm trong plot lớn có IoU thấp nhưng coverage cao.</w:t>
      </w:r>
    </w:p>
    <w:p>
      <w:pPr>
        <w:pStyle w:val="Normal"/>
        <w:spacing w:lineRule="auto" w:line="276" w:before="0" w:after="120"/>
        <w:jc w:val="both"/>
        <w:rPr/>
      </w:pPr>
      <w:r>
        <w:rPr>
          <w:rFonts w:eastAsia="Calibri" w:cs="Calibri"/>
          <w:b w:val="false"/>
          <w:bCs w:val="false"/>
          <w:i w:val="false"/>
          <w:iCs w:val="false"/>
          <w:color w:val="111827"/>
          <w:sz w:val="21"/>
          <w:szCs w:val="21"/>
        </w:rPr>
        <w:t>Owner khác và vượt plotOverlapIoUThreshold hoặc plotOverlapCoverageThreshold → plotReuseRisk=HIGH và đẩy OPERATOR review. Không auto-reject, không tự kết luận fraud: overlap hợp pháp có thể do cùng hộ thuộc hai HTX, thuê/chuyển quyền, hoặc sai số đo.</w:t>
      </w:r>
    </w:p>
    <w:p>
      <w:pPr>
        <w:pStyle w:val="Normal"/>
        <w:spacing w:lineRule="auto" w:line="276" w:before="0" w:after="120"/>
        <w:jc w:val="both"/>
        <w:rPr/>
      </w:pPr>
      <w:r>
        <w:rPr>
          <w:rFonts w:eastAsia="Calibri" w:cs="Calibri"/>
          <w:b w:val="false"/>
          <w:bCs w:val="false"/>
          <w:i w:val="false"/>
          <w:iCs w:val="false"/>
          <w:color w:val="111827"/>
          <w:sz w:val="21"/>
          <w:szCs w:val="21"/>
        </w:rPr>
        <w:t>Yield anomaly là derived signal: declaredQuantity so với Σ(plotArea × maxYield theo commodity/vùng). Vượt ngưỡng → yieldRisk=SUSPICIOUS hoặc EXTREME, yêu cầu bằng chứng/OPERATOR review; không hard-reject khi chưa có baseline yield đủ tin cậy theo giống, vùng và mùa vụ.</w:t>
      </w:r>
    </w:p>
    <w:p>
      <w:pPr>
        <w:pStyle w:val="Heading3"/>
        <w:spacing w:before="240" w:after="80"/>
        <w:rPr/>
      </w:pPr>
      <w:bookmarkStart w:id="83" w:name="__RefHeading___Toc5652_AgriContract"/>
      <w:bookmarkEnd w:id="83"/>
      <w:r>
        <w:rPr>
          <w:rFonts w:eastAsia="Calibri" w:cs="Calibri" w:ascii="Calibri" w:hAnsi="Calibri"/>
          <w:b/>
          <w:bCs/>
          <w:color w:val="1F2A37"/>
          <w:sz w:val="22"/>
          <w:szCs w:val="22"/>
        </w:rPr>
        <w:t>2.5 Use case chính</w:t>
      </w:r>
    </w:p>
    <w:p>
      <w:pPr>
        <w:pStyle w:val="Normal"/>
        <w:spacing w:before="140" w:after="40"/>
        <w:rPr/>
      </w:pPr>
      <w:r>
        <w:rPr>
          <w:rFonts w:eastAsia="Calibri" w:cs="Calibri"/>
          <w:b/>
          <w:bCs/>
          <w:color w:val="1F2A37"/>
          <w:sz w:val="21"/>
          <w:szCs w:val="21"/>
        </w:rPr>
        <w:t>UC-P1 — ImportPlotsFromKML</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Input</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sellerId, kmlFile, declaredProvince (dropdown 34 tỉnh hiện hành, áp cho cả file)</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Lưu KML qua file-service → originalKmlFileId. Mỗi placemark: match (sellerId, householdLabel) → UPDATE nếu trùng (đo lại), INSERT nếu mới (ON DUPLICATE KEY UPDATE); xác định geometryType theo areaHectares; convert sang GeoJSON; JTS .isValid() trước persist (fail thì báo đúng placemark đó, không chặn cả file); point-in-polygon so declaredProvince → set provinceMismatchFlag</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areaHectares (Point)</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Điểm không có diện tích; ưu tiên đọc từ &lt;ExtendedData&gt; theo quy ước tên field; không có → bắt seller nhập tay (không mặc định 0 — gây hiểu nhầm)</w:t>
            </w:r>
          </w:p>
        </w:tc>
      </w:tr>
    </w:tbl>
    <w:p>
      <w:pPr>
        <w:pStyle w:val="Normal"/>
        <w:spacing w:before="140" w:after="40"/>
        <w:rPr/>
      </w:pPr>
      <w:r>
        <w:rPr>
          <w:rFonts w:eastAsia="Calibri" w:cs="Calibri"/>
          <w:b/>
          <w:bCs/>
          <w:color w:val="1F2A37"/>
          <w:sz w:val="21"/>
          <w:szCs w:val="21"/>
        </w:rPr>
        <w:t>UC-P2 — AddPlotManually (fallback)</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Input</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sellerId, householdLabel, lat, long, accuracyMeters, declaredProvince</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Tạo/update PlotRegistryEntry (geometryType=POINT, source=MANUAL_PIN, originalKmlFileId=NULL); cùng cross-check tỉnh. accuracyMeters từ coords.accuracy; &gt; ngưỡng 20m (chốt, application.yml) → cảnh báo UI, KHÔNG chặn cứng (thiết bị rẻ/trong nhà kính không đạt ngưỡng vẫn phải dùng được)</w:t>
            </w:r>
          </w:p>
        </w:tc>
      </w:tr>
    </w:tbl>
    <w:p>
      <w:pPr>
        <w:pStyle w:val="Normal"/>
        <w:spacing w:before="140" w:after="40"/>
        <w:rPr/>
      </w:pPr>
      <w:r>
        <w:rPr>
          <w:rFonts w:eastAsia="Calibri" w:cs="Calibri"/>
          <w:b/>
          <w:bCs/>
          <w:color w:val="1F2A37"/>
          <w:sz w:val="21"/>
          <w:szCs w:val="21"/>
        </w:rPr>
        <w:t>UC-P3 — CreateListing / UpdateListing</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Input</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List&lt;registryEntryId&gt; (checkbox chọn từ registry của seller) — KHÔNG nhập geoJson trực tiếp mỗi lần</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Validate registryEntryId thuộc đúng sellerId; ít nhất 1 plot (cấm mass balance); copy dữ liệu từ PlotRegistryEntry sang ProductPlot (snapshot). UpdateListing cho tick/untick plot trước khi listing khoá sửa</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Validate mới (06/07/2026)</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Reject nếu bất kỳ registryEntryId nào đang geoVerificationStatus = PENDING (§2.4.1) — tránh race condition listing lên sàn trước khi có kết quả satellite check</w:t>
            </w:r>
          </w:p>
        </w:tc>
      </w:tr>
    </w:tbl>
    <w:p>
      <w:pPr>
        <w:pStyle w:val="Normal"/>
        <w:spacing w:before="140" w:after="40"/>
        <w:rPr/>
      </w:pPr>
      <w:r>
        <w:rPr>
          <w:rFonts w:eastAsia="Calibri" w:cs="Calibri"/>
          <w:b/>
          <w:bCs/>
          <w:color w:val="1F2A37"/>
          <w:sz w:val="21"/>
          <w:szCs w:val="21"/>
        </w:rPr>
        <w:t>UC-P4 — UploadCadastralExtract</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Upload scan/PDF trích lục cho một entry đã có → file-service → cadastralExtractFileId → verificationLevel=CADASTRAL_BACKED. KHÔNG đối chiếu nội dung file với geoJson (giới hạn self-declared)</w:t>
            </w:r>
          </w:p>
        </w:tc>
      </w:tr>
    </w:tbl>
    <w:p>
      <w:pPr>
        <w:pStyle w:val="Normal"/>
        <w:spacing w:before="140" w:after="40"/>
        <w:rPr/>
      </w:pPr>
      <w:r>
        <w:rPr>
          <w:rFonts w:eastAsia="Calibri" w:cs="Calibri"/>
          <w:b/>
          <w:bCs/>
          <w:color w:val="1F2A37"/>
          <w:sz w:val="21"/>
          <w:szCs w:val="21"/>
        </w:rPr>
        <w:t>UC-P5 — RequestGeoReevaluation (mới, 06/07/2026)</w:t>
      </w:r>
    </w:p>
    <w:tbl>
      <w:tblPr>
        <w:tblW w:w="9638" w:type="dxa"/>
        <w:jc w:val="start"/>
        <w:tblInd w:w="0" w:type="dxa"/>
        <w:tblLayout w:type="fixed"/>
        <w:tblCellMar>
          <w:top w:w="60" w:type="dxa"/>
          <w:start w:w="90" w:type="dxa"/>
          <w:bottom w:w="60" w:type="dxa"/>
          <w:end w:w="90" w:type="dxa"/>
        </w:tblCellMar>
      </w:tblPr>
      <w:tblGrid>
        <w:gridCol w:w="1800"/>
        <w:gridCol w:w="7837"/>
      </w:tblGrid>
      <w:tr>
        <w:trPr>
          <w:tblHeader w:val="true"/>
        </w:trPr>
        <w:tc>
          <w:tcPr>
            <w:tcW w:w="18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c>
          <w:tcPr>
            <w:tcW w:w="7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Actor</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SELLER</w:t>
            </w:r>
          </w:p>
        </w:tc>
      </w:tr>
      <w:tr>
        <w:trPr/>
        <w:tc>
          <w:tcPr>
            <w:tcW w:w="18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bCs/>
                <w:color w:val="111827"/>
                <w:sz w:val="18"/>
                <w:szCs w:val="18"/>
              </w:rPr>
              <w:t>Tiền điều kiện</w:t>
            </w:r>
          </w:p>
        </w:tc>
        <w:tc>
          <w:tcPr>
            <w:tcW w:w="7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geoRiskLevel = HIGH_RISK hoặc INCONCLUSIVE trên registryEntryId đó</w:t>
            </w:r>
          </w:p>
        </w:tc>
      </w:tr>
      <w:tr>
        <w:trPr/>
        <w:tc>
          <w:tcPr>
            <w:tcW w:w="18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bCs/>
                <w:color w:val="111827"/>
                <w:sz w:val="18"/>
                <w:szCs w:val="18"/>
              </w:rPr>
              <w:t>Luồng chính</w:t>
            </w:r>
          </w:p>
        </w:tc>
        <w:tc>
          <w:tcPr>
            <w:tcW w:w="7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Chụp ảnh trực tiếp qua camera app (chặn chọn ảnh có sẵn) → file-service bóc EXIF (GPS+timestamp) → point-in-polygon đối chiếu geoJson. Trong ranh giới → ghi audit "đã xác minh ảnh thực địa", giữ nguyên geoRiskLevel gốc. Ngoài ranh giới → reject, ghi audit</w:t>
            </w:r>
          </w:p>
        </w:tc>
      </w:tr>
    </w:tbl>
    <w:p>
      <w:pPr>
        <w:pStyle w:val="Heading3"/>
        <w:spacing w:before="240" w:after="80"/>
        <w:rPr/>
      </w:pPr>
      <w:bookmarkStart w:id="84" w:name="__RefHeading___Toc5654_AgriContract"/>
      <w:bookmarkEnd w:id="84"/>
      <w:r>
        <w:rPr>
          <w:rFonts w:eastAsia="Calibri" w:cs="Calibri" w:ascii="Calibri" w:hAnsi="Calibri"/>
          <w:b/>
          <w:bCs/>
          <w:color w:val="1F2A37"/>
          <w:sz w:val="22"/>
          <w:szCs w:val="22"/>
        </w:rPr>
        <w:t>2.6 API &amp; lược đồ dữ liệu</w:t>
      </w:r>
    </w:p>
    <w:tbl>
      <w:tblPr>
        <w:tblW w:w="9638" w:type="dxa"/>
        <w:jc w:val="start"/>
        <w:tblInd w:w="0" w:type="dxa"/>
        <w:tblLayout w:type="fixed"/>
        <w:tblCellMar>
          <w:top w:w="60" w:type="dxa"/>
          <w:start w:w="90" w:type="dxa"/>
          <w:bottom w:w="60" w:type="dxa"/>
          <w:end w:w="90" w:type="dxa"/>
        </w:tblCellMar>
      </w:tblPr>
      <w:tblGrid>
        <w:gridCol w:w="4399"/>
        <w:gridCol w:w="1401"/>
        <w:gridCol w:w="3838"/>
      </w:tblGrid>
      <w:tr>
        <w:trPr>
          <w:tblHeader w:val="true"/>
        </w:trPr>
        <w:tc>
          <w:tcPr>
            <w:tcW w:w="4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Endpoint</w:t>
            </w:r>
          </w:p>
        </w:tc>
        <w:tc>
          <w:tcPr>
            <w:tcW w:w="14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38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tả</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/api/v1/plots/import-kml</w:t>
            </w:r>
          </w:p>
        </w:tc>
        <w:tc>
          <w:tcPr>
            <w:tcW w:w="14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Import KML (UC-P1)</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/api/v1/plots/manual</w:t>
            </w:r>
          </w:p>
        </w:tc>
        <w:tc>
          <w:tcPr>
            <w:tcW w:w="14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Pin thủ công (UC-P2)</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/api/v1/plots/{id}/cadastral-extract</w:t>
            </w:r>
          </w:p>
        </w:tc>
        <w:tc>
          <w:tcPr>
            <w:tcW w:w="14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Upload trích lục (UC-P4)</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/api/v1/plots/{id}/geo-reevaluation</w:t>
            </w:r>
          </w:p>
        </w:tc>
        <w:tc>
          <w:tcPr>
            <w:tcW w:w="14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Yêu cầu đánh giá lại bằng ảnh EXIF (UC-P5)</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GET /api/v1/plots</w:t>
            </w:r>
          </w:p>
        </w:tc>
        <w:tc>
          <w:tcPr>
            <w:tcW w:w="14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Danh sách registry của seller (chọn lúc tạo listing)</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POST /api/v1/listings</w:t>
            </w:r>
          </w:p>
        </w:tc>
        <w:tc>
          <w:tcPr>
            <w:tcW w:w="14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SELLER</w:t>
            </w:r>
          </w:p>
        </w:tc>
        <w:tc>
          <w:tcPr>
            <w:tcW w:w="38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Tạo listing từ registryEntryId (UC-P3)</w:t>
            </w:r>
          </w:p>
        </w:tc>
      </w:tr>
    </w:tbl>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 product_db · additive, không đụng bảng product gốc</w:t>
        <w:br/>
        <w:t>CREATE TABLE plot_registry_entry (</w:t>
        <w:br/>
        <w:t xml:space="preserve">  registry_entry_id       CHAR(36) PRIMARY KEY,</w:t>
        <w:br/>
        <w:t xml:space="preserve">  seller_id               CHAR(36) NOT NULL,          -- plain UUID (không cross-DB FK)</w:t>
        <w:br/>
        <w:t xml:space="preserve">  household_label         VARCHAR(255) NOT NULL,</w:t>
        <w:br/>
        <w:t xml:space="preserve">  geometry_type           VARCHAR(20) NOT NULL,   -- POINT | POLYGON</w:t>
        <w:br/>
        <w:t xml:space="preserve">  geo_json                GEOMETRY NOT NULL SRID 4326,</w:t>
        <w:br/>
        <w:t xml:space="preserve">  area_hectares           DECIMAL(10,4) NOT NULL,</w:t>
        <w:br/>
        <w:t xml:space="preserve">  source                  VARCHAR(20) NOT NULL,   -- KML_IMPORT | MANUAL_PIN</w:t>
        <w:br/>
        <w:t xml:space="preserve">  accuracy_meters         DECIMAL(6,2) NULL,      -- chỉ MANUAL_PIN; cảnh báo, không constraint</w:t>
        <w:br/>
        <w:t xml:space="preserve">  verification_level      VARCHAR(20) NOT NULL DEFAULT 'SELF_DECLARED',</w:t>
        <w:br/>
        <w:t xml:space="preserve">  cadastral_extract_file_id CHAR(36) NULL,            -- ref file-service</w:t>
        <w:br/>
        <w:t xml:space="preserve">  original_kml_file_id    CHAR(36) NULL,              -- ref file-service; phẳng, lặp theo batch</w:t>
        <w:br/>
        <w:t xml:space="preserve">  declared_province       VARCHAR(50) NOT NULL,   -- seller khai, 34 tỉnh hiện hành</w:t>
        <w:br/>
        <w:t xml:space="preserve">  province_mismatch_flag  BOOLEAN NOT NULL DEFAULT FALSE,  -- non-blocking</w:t>
        <w:br/>
        <w:t xml:space="preserve">  imported_at             TIMESTAMP NOT NULL,     -- cập nhật lại mỗi lần re-import</w:t>
        <w:br/>
        <w:t xml:space="preserve">  geo_verification_status VARCHAR(20) NOT NULL DEFAULT 'PENDING',  -- PENDING | CHECKED | UNVERIFIED (§2.4.1, mới 06/07/2026)</w:t>
        <w:br/>
        <w:t xml:space="preserve">  geo_risk_level          VARCHAR(20) NULL,       -- LOW_RISK | HIGH_RISK | INCONCLUSIVE</w:t>
        <w:br/>
        <w:t xml:space="preserve">  exact_geometry_hash     VARCHAR(64) NULL,</w:t>
        <w:br/>
        <w:t xml:space="preserve">  plot_reuse_risk        VARCHAR(20) NULL,       -- NORMAL | HIGH</w:t>
        <w:br/>
        <w:t xml:space="preserve">  yield_risk             VARCHAR(20) NULL,       -- NORMAL | SUSPICIOUS | EXTREME</w:t>
        <w:br/>
        <w:t xml:space="preserve">  UNIQUE (seller_id, household_label),  SPATIAL INDEX (geo_json)</w:t>
        <w:br/>
        <w:t>);</w:t>
        <w:br/>
        <w:t>-- Invariant 'MANUAL_PIN → POINT' check ở use-case layer, không phải DB constraint.</w:t>
        <w:br/>
        <w:br/>
        <w:t>CREATE TABLE product_plot (</w:t>
        <w:br/>
        <w:t xml:space="preserve">  plot_id                  CHAR(36) PRIMARY KEY,</w:t>
        <w:br/>
        <w:t xml:space="preserve">  product_id               CHAR(36) NOT NULL REFERENCES product(product_id),</w:t>
        <w:br/>
        <w:t xml:space="preserve">  source_registry_entry_id CHAR(36) NULL REFERENCES plot_registry_entry(registry_entry_id),</w:t>
        <w:br/>
        <w:t xml:space="preserve">  household_label          VARCHAR(255) NOT NULL,</w:t>
        <w:br/>
        <w:t xml:space="preserve">  geometry_type            VARCHAR(20) NOT NULL,</w:t>
        <w:br/>
        <w:t xml:space="preserve">  geo_json                 GEOMETRY NOT NULL SRID 4326,</w:t>
        <w:br/>
        <w:t xml:space="preserve">  area_hectares            DECIMAL(10,4) NOT NULL,</w:t>
        <w:br/>
        <w:t xml:space="preserve">  verification_level       VARCHAR(20) NOT NULL DEFAULT 'SELF_DECLARED',  -- copy lúc snapshot</w:t>
        <w:br/>
        <w:t xml:space="preserve">  cadastral_extract_file_id CHAR(36) NULL,</w:t>
        <w:br/>
        <w:t xml:space="preserve">  declared_at              TIMESTAMP NOT NULL,  SPATIAL INDEX (geo_json)</w:t>
        <w:br/>
        <w:t>);</w:t>
        <w:br/>
        <w:br/>
        <w:t>ALTER TABLE product ADD COLUMN variety_name VARCHAR(100) NULL;  -- chỉ ý nghĩa với gạo</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EU Regulation 2023/1115 (EUDR), Điều 9 &amp; yêu cầu geolocation. </w:t>
      </w:r>
      <w:r>
        <w:rPr>
          <w:rFonts w:eastAsia="Calibri" w:cs="Calibri"/>
          <w:color w:val="374151"/>
          <w:sz w:val="20"/>
          <w:szCs w:val="20"/>
        </w:rPr>
        <w:t>Không mass balance: List&lt;registryEntryId&gt; không được rỗng (validate use case). Không cần tỷ lệ đóng góp: chỉ cần khai đủ danh sách plot, nên ProductPlot không có field khối lượng/tỷ lệ. Dữ liệu self-declared, không có xác minh thực địa: declaredAt/importedAt + hash chain là cơ chế chống sửa-sau, không phải xác minh đúng-đắn-ban-đầu. Bổ sung 06/07/2026 (§2.4.1): có thêm lớp geo-risk verification qua vệ tinh (Sentinel-2 NDVI) — chỉ là tín hiệu cảnh báo tham khảo, KHÔNG phải xác minh EUDR pháp lý đầy đủ, không thay đổi bản chất self-declared ở trên.</w:t>
      </w:r>
    </w:p>
    <w:p>
      <w:pPr>
        <w:pStyle w:val="Heading2"/>
        <w:pBdr>
          <w:bottom w:val="single" w:sz="6" w:space="6" w:color="D1D5DB"/>
        </w:pBdr>
        <w:spacing w:before="320" w:after="120"/>
        <w:rPr/>
      </w:pPr>
      <w:bookmarkStart w:id="85" w:name="__RefHeading___Toc5656_AgriContract"/>
      <w:bookmarkEnd w:id="85"/>
      <w:r>
        <w:rPr>
          <w:rFonts w:eastAsia="Calibri" w:cs="Calibri" w:ascii="Calibri" w:hAnsi="Calibri"/>
          <w:b/>
          <w:bCs/>
          <w:color w:val="1F2A37"/>
          <w:sz w:val="25"/>
          <w:szCs w:val="25"/>
        </w:rPr>
        <w:t>3. file-service</w:t>
      </w:r>
    </w:p>
    <w:p>
      <w:pPr>
        <w:pStyle w:val="Normal"/>
        <w:spacing w:lineRule="auto" w:line="276" w:before="0" w:after="120"/>
        <w:jc w:val="both"/>
        <w:rPr/>
      </w:pPr>
      <w:r>
        <w:rPr>
          <w:rFonts w:eastAsia="Calibri" w:cs="Calibri"/>
          <w:b w:val="false"/>
          <w:bCs w:val="false"/>
          <w:i w:val="false"/>
          <w:iCs w:val="false"/>
          <w:color w:val="111827"/>
          <w:sz w:val="21"/>
          <w:szCs w:val="21"/>
        </w:rPr>
        <w:t>Aggregate File duy nhất, agnostic với nghiệp vụ — file-service chỉ biết blob + metadata kỹ thuật. Gateway không route file-service/raw upload ra ngoài. End-user gửi file vào endpoint của service sở hữu ngữ cảnh; service đó kiểm ownership/business params rồi gọi StoreOnBehalfOf nội bộ với actingUserId.</w:t>
      </w:r>
    </w:p>
    <w:p>
      <w:pPr>
        <w:pStyle w:val="Heading3"/>
        <w:spacing w:before="240" w:after="80"/>
        <w:rPr/>
      </w:pPr>
      <w:bookmarkStart w:id="86" w:name="__RefHeading___Toc5658_AgriContract"/>
      <w:bookmarkEnd w:id="86"/>
      <w:r>
        <w:rPr>
          <w:rFonts w:eastAsia="Calibri" w:cs="Calibri" w:ascii="Calibri" w:hAnsi="Calibri"/>
          <w:b/>
          <w:bCs/>
          <w:color w:val="1F2A37"/>
          <w:sz w:val="22"/>
          <w:szCs w:val="22"/>
        </w:rPr>
        <w:t>3.1 Ba entrypoint theo trust boundary</w:t>
      </w:r>
    </w:p>
    <w:p>
      <w:pPr>
        <w:pStyle w:val="Normal"/>
        <w:spacing w:lineRule="auto" w:line="276" w:before="0" w:after="120"/>
        <w:jc w:val="both"/>
        <w:rPr/>
      </w:pPr>
      <w:r>
        <w:rPr>
          <w:rFonts w:eastAsia="Calibri" w:cs="Calibri"/>
          <w:b w:val="false"/>
          <w:bCs w:val="false"/>
          <w:i w:val="false"/>
          <w:iCs w:val="false"/>
          <w:color w:val="111827"/>
          <w:sz w:val="21"/>
          <w:szCs w:val="21"/>
        </w:rPr>
        <w:t>Không dùng một API generic store(bytes, ingestChannel) — vì ingestChannel khi đó là param caller tự khai, ai cũng có thể tự xưng SYSTEM_GENERATED để né virus-scan. Thay bằng ba entrypoint mỏng, ingestChannel do chính entrypoint quyết định (không giả mạo được):</w:t>
      </w:r>
    </w:p>
    <w:tbl>
      <w:tblPr>
        <w:tblW w:w="9638" w:type="dxa"/>
        <w:jc w:val="start"/>
        <w:tblInd w:w="0" w:type="dxa"/>
        <w:tblLayout w:type="fixed"/>
        <w:tblCellMar>
          <w:top w:w="60" w:type="dxa"/>
          <w:start w:w="90" w:type="dxa"/>
          <w:bottom w:w="60" w:type="dxa"/>
          <w:end w:w="90" w:type="dxa"/>
        </w:tblCellMar>
      </w:tblPr>
      <w:tblGrid>
        <w:gridCol w:w="2100"/>
        <w:gridCol w:w="2200"/>
        <w:gridCol w:w="1900"/>
        <w:gridCol w:w="3437"/>
      </w:tblGrid>
      <w:tr>
        <w:trPr>
          <w:tblHeader w:val="true"/>
        </w:trPr>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Entrypoint</w:t>
            </w:r>
          </w:p>
        </w:tc>
        <w:tc>
          <w:tcPr>
            <w:tcW w:w="22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Ai gọi</w:t>
            </w:r>
          </w:p>
        </w:tc>
        <w:tc>
          <w:tcPr>
            <w:tcW w:w="1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ingestChannel</w:t>
            </w:r>
          </w:p>
        </w:tc>
        <w:tc>
          <w:tcPr>
            <w:tcW w:w="34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Validate</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StoreOnBehalfOf(file, actingUserId)</w:t>
            </w:r>
          </w:p>
        </w:tc>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Business service nội bộ uỷ quyền từ end-user</w:t>
            </w:r>
          </w:p>
        </w:tc>
        <w:tc>
          <w:tcPr>
            <w:tcW w:w="1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DIRECT_UPLOAD</w:t>
            </w:r>
          </w:p>
        </w:tc>
        <w:tc>
          <w:tcPr>
            <w:tcW w:w="3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JPG/PNG/PDF ≤10MB; luôn virus-scan, không được gọi store() để né scan</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Email intake bridge</w:t>
            </w:r>
          </w:p>
        </w:tc>
        <w:tc>
          <w:tcPr>
            <w:tcW w:w="22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Job nội bộ (IMAP polling), không expose API</w:t>
            </w:r>
          </w:p>
        </w:tc>
        <w:tc>
          <w:tcPr>
            <w:tcW w:w="1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EMAIL_INTAKE</w:t>
            </w:r>
          </w:p>
        </w:tc>
        <w:tc>
          <w:tcPr>
            <w:tcW w:w="34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size ≤ 20MB (streaming check, tránh OOM); vượt cap → email_intake_failure</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store() nội bộ</w:t>
            </w:r>
          </w:p>
        </w:tc>
        <w:tc>
          <w:tcPr>
            <w:tcW w:w="22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Service-to-service (mTLS/token)</w:t>
            </w:r>
          </w:p>
        </w:tc>
        <w:tc>
          <w:tcPr>
            <w:tcW w:w="1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SYSTEM_GENERATED</w:t>
            </w:r>
          </w:p>
        </w:tc>
        <w:tc>
          <w:tcPr>
            <w:tcW w:w="34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Chỉ nội dung hệ thống tự sinh; uploadedBy phải là serviceId</w:t>
            </w:r>
          </w:p>
        </w:tc>
      </w:tr>
    </w:tbl>
    <w:p>
      <w:pPr>
        <w:pStyle w:val="Heading3"/>
        <w:spacing w:before="240" w:after="80"/>
        <w:rPr/>
      </w:pPr>
      <w:bookmarkStart w:id="87" w:name="__RefHeading___Toc5660_AgriContract"/>
      <w:bookmarkEnd w:id="87"/>
      <w:r>
        <w:rPr>
          <w:rFonts w:eastAsia="Calibri" w:cs="Calibri" w:ascii="Calibri" w:hAnsi="Calibri"/>
          <w:b/>
          <w:bCs/>
          <w:color w:val="1F2A37"/>
          <w:sz w:val="22"/>
          <w:szCs w:val="22"/>
        </w:rPr>
        <w:t>3.2 Pipeline xử lý async</w:t>
      </w:r>
    </w:p>
    <w:p>
      <w:pPr>
        <w:pStyle w:val="Normal"/>
        <w:spacing w:lineRule="auto" w:line="276" w:before="0" w:after="120"/>
        <w:jc w:val="both"/>
        <w:rPr/>
      </w:pPr>
      <w:r>
        <w:rPr>
          <w:rFonts w:eastAsia="Calibri" w:cs="Calibri"/>
          <w:b w:val="false"/>
          <w:bCs w:val="false"/>
          <w:i w:val="false"/>
          <w:iCs w:val="false"/>
          <w:color w:val="111827"/>
          <w:sz w:val="21"/>
          <w:szCs w:val="21"/>
        </w:rPr>
        <w:t>Tách hai consumer theo LOẠI CÔNG VIỆC (parse email vs virus-scan), không theo nguồn gốc file — và nối chuỗi, không chạy song song độc lập:</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StoreOnBehalfOf → file.uploaded.direct → queue file-service.virus-scan → VirusScanConsumer → markReady/markFailed</w:t>
        <w:br/>
        <w:t>file.email.received  → queue file-service.email-parse → EmailParseConsumer</w:t>
        <w:br/>
        <w:t xml:space="preserve">                          ├─ parse OK   → publish vào file-service.virus-scan (dùng lại) → markReady/markFailed</w:t>
        <w:br/>
        <w:t xml:space="preserve">                          └─ parse FAIL → markFailed + insert email_intake_failure</w:t>
      </w:r>
    </w:p>
    <w:p>
      <w:pPr>
        <w:pStyle w:val="Normal"/>
        <w:spacing w:lineRule="auto" w:line="276" w:before="0" w:after="120"/>
        <w:jc w:val="both"/>
        <w:rPr/>
      </w:pPr>
      <w:r>
        <w:rPr>
          <w:rFonts w:eastAsia="Calibri" w:cs="Calibri"/>
          <w:b/>
          <w:bCs/>
          <w:i w:val="false"/>
          <w:iCs w:val="false"/>
          <w:color w:val="111827"/>
          <w:sz w:val="21"/>
          <w:szCs w:val="21"/>
        </w:rPr>
        <w:t xml:space="preserve">Vì sao nối chuỗi, không song song: </w:t>
      </w:r>
      <w:r>
        <w:rPr>
          <w:rFonts w:eastAsia="Calibri" w:cs="Calibri"/>
          <w:b w:val="false"/>
          <w:bCs w:val="false"/>
          <w:i w:val="false"/>
          <w:iCs w:val="false"/>
          <w:color w:val="111827"/>
          <w:sz w:val="21"/>
          <w:szCs w:val="21"/>
        </w:rPr>
        <w:t>nếu tách hai pipeline song song độc lập (mỗi file đi đúng một), file từ EMAIL_INTAKE (nguồn ngoài internet, unauthenticated — đúng vector tấn công phổ biến nhất) sẽ KHÔNG bao giờ được virus-scan. Fix: EmailParseConsumer parse xong publish tiếp vào cùng queue virus-scan, để VirusScanConsumer là điểm chốt duy nhất quyết định markReady — bất kể file từ đâu. status ở PROCESSING xuyên suốt cả hai bước; consumer downstream vẫn chỉ chờ một event file.ready/file.failed.</w:t>
      </w:r>
    </w:p>
    <w:p>
      <w:pPr>
        <w:pStyle w:val="Normal"/>
        <w:spacing w:lineRule="auto" w:line="276" w:before="0" w:after="120"/>
        <w:jc w:val="both"/>
        <w:rPr/>
      </w:pPr>
      <w:r>
        <w:rPr>
          <w:rFonts w:eastAsia="Calibri" w:cs="Calibri"/>
          <w:b/>
          <w:bCs/>
          <w:i w:val="false"/>
          <w:iCs w:val="false"/>
          <w:color w:val="111827"/>
          <w:sz w:val="21"/>
          <w:szCs w:val="21"/>
        </w:rPr>
        <w:t xml:space="preserve">Email intake bridge: </w:t>
      </w:r>
      <w:r>
        <w:rPr>
          <w:rFonts w:eastAsia="Calibri" w:cs="Calibri"/>
          <w:b w:val="false"/>
          <w:bCs w:val="false"/>
          <w:i w:val="false"/>
          <w:iCs w:val="false"/>
          <w:color w:val="111827"/>
          <w:sz w:val="21"/>
          <w:szCs w:val="21"/>
        </w:rPr>
        <w:t>IMAP polling định kỳ (@Scheduled, mỗi 5 phút, Jakarta Mail) — KHÔNG webhook (webhook cần domain thật + verify DNS + public HTTPS, quá nặng cho scope). Retry 3 lần qua dead-letter-exchange + TTL. Hai DLQ khác ý nghĩa: virus-scan.dlq (lỗi hệ thống → alert dev), email-parse.dlq (định dạng lạ từ tổ chức giám định → báo Admin liên hệ gửi lại).</w:t>
      </w:r>
    </w:p>
    <w:p>
      <w:pPr>
        <w:pStyle w:val="Heading3"/>
        <w:spacing w:before="240" w:after="80"/>
        <w:rPr/>
      </w:pPr>
      <w:bookmarkStart w:id="88" w:name="__RefHeading___Toc5662_AgriContract"/>
      <w:bookmarkEnd w:id="88"/>
      <w:r>
        <w:rPr>
          <w:rFonts w:eastAsia="Calibri" w:cs="Calibri" w:ascii="Calibri" w:hAnsi="Calibri"/>
          <w:b/>
          <w:bCs/>
          <w:color w:val="1F2A37"/>
          <w:sz w:val="22"/>
          <w:szCs w:val="22"/>
        </w:rPr>
        <w:t>3.3 Event, access control, retention</w:t>
      </w:r>
    </w:p>
    <w:p>
      <w:pPr>
        <w:pStyle w:val="Normal"/>
        <w:spacing w:lineRule="auto" w:line="276" w:before="0" w:after="120"/>
        <w:jc w:val="both"/>
        <w:rPr/>
      </w:pPr>
      <w:r>
        <w:rPr>
          <w:rFonts w:eastAsia="Calibri" w:cs="Calibri"/>
          <w:b w:val="false"/>
          <w:bCs w:val="false"/>
          <w:i w:val="false"/>
          <w:iCs w:val="false"/>
          <w:color w:val="111827"/>
          <w:sz w:val="21"/>
          <w:szCs w:val="21"/>
        </w:rPr>
        <w:t>Event contract: file.ready(fileId, uploadedBy, ingestChannel, contentType, fileSize, emailMeta?) và file.failed(...). Mail không attachment phát file.email_notice cho inspection. Idempotency key=fileId; business consumer chỉ gắn evidence sau file.ready, không coi response StoreOnBehalfOf là file hợp lệ.</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Access control (download): </w:t>
      </w:r>
      <w:r>
        <w:rPr>
          <w:rFonts w:eastAsia="Calibri" w:cs="Calibri"/>
          <w:b w:val="false"/>
          <w:bCs w:val="false"/>
          <w:i w:val="false"/>
          <w:iCs w:val="false"/>
          <w:color w:val="111827"/>
          <w:sz w:val="21"/>
          <w:szCs w:val="21"/>
        </w:rPr>
        <w:t>file-service KHÔNG tự kiểm tra quyền nghiệp vụ (chỉ dịch vụ sở hữu fileId mới có kiến thức đó). Pattern proxy: dịch vụ sở hữu tự expose endpoint + validate quyền, rồi mới gọi GetFile(fileId) nội bộ (service-to-service) và proxy bytes ngược lại. GetFile không public cho end-user gọi thẳng.</w:t>
      </w:r>
    </w:p>
    <w:p>
      <w:pPr>
        <w:pStyle w:val="Normal"/>
        <w:spacing w:lineRule="auto" w:line="276" w:before="0" w:after="120"/>
        <w:jc w:val="both"/>
        <w:rPr/>
      </w:pPr>
      <w:r>
        <w:rPr>
          <w:rFonts w:eastAsia="Calibri" w:cs="Calibri"/>
          <w:b w:val="false"/>
          <w:bCs w:val="false"/>
          <w:i w:val="false"/>
          <w:iCs w:val="false"/>
          <w:color w:val="111827"/>
          <w:sz w:val="21"/>
          <w:szCs w:val="21"/>
        </w:rPr>
        <w:t>DeleteFile chỉ nhận internal service identity của owning service; legal hold do ADMIN quản trị nhưng không biến file-service thành owner nghiệp vụ. Mọi download Restricted đi qua owner và phải log read access; tombstone không làm đứt audit chain vì audit content chỉ giữ ID/hash tối giản.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Retention/lifecycle: </w:t>
      </w:r>
      <w:r>
        <w:rPr>
          <w:rFonts w:eastAsia="Calibri" w:cs="Calibri"/>
          <w:b w:val="false"/>
          <w:bCs w:val="false"/>
          <w:i w:val="false"/>
          <w:iCs w:val="false"/>
          <w:color w:val="111827"/>
          <w:sz w:val="21"/>
          <w:szCs w:val="21"/>
        </w:rPr>
        <w:t>metadata có retentionUntil, legalHold, deletedAt, deletionReason. Owning service quyết định retention và gọi DeleteFile; nếu nhiều domain cùng sở hữu thì thời hạn dài nhất thắng. legalHold chặn mọi xoá. Xoá idempotent hai bước: tombstone DB trước, xoá MinIO sau; rerun tự lành. File READY attached không có TTL nội bộ; chỉ orphan attached=FALSE quá 1 tuần được cleanup.</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file (</w:t>
        <w:br/>
        <w:t xml:space="preserve">  file_id        CHAR(36) PRIMARY KEY,</w:t>
        <w:br/>
        <w:t xml:space="preserve">  storage_hash   VARCHAR(64) NOT NULL,   -- MinIO tampering detection (tách signedContentHash)</w:t>
        <w:br/>
        <w:t xml:space="preserve">  uploaded_by    VARCHAR(255) NOT NULL,  -- userId hoặc serviceId</w:t>
        <w:br/>
        <w:t xml:space="preserve">  ingest_channel VARCHAR(20) NOT NULL,   -- DIRECT_UPLOAD|EMAIL_INTAKE|SYSTEM_GENERATED</w:t>
        <w:br/>
        <w:t xml:space="preserve">  content_type   VARCHAR(100) NOT NULL, file_size BIGINT NOT NULL,</w:t>
        <w:br/>
        <w:t xml:space="preserve">  status         VARCHAR(20) NOT NULL DEFAULT 'PROCESSING', -- PROCESSING|READY|FAILED</w:t>
        <w:br/>
        <w:t xml:space="preserve">  failure_reason TEXT NULL, attached BOOLEAN NOT NULL DEFAULT FALSE,</w:t>
        <w:br/>
        <w:t xml:space="preserve">  retention_until TIMESTAMP(3) NULL, legal_hold BOOLEAN NOT NULL DEFAULT FALSE,</w:t>
        <w:br/>
        <w:t xml:space="preserve">  deleted_at TIMESTAMP(3) NULL, deletion_reason VARCHAR(255) NULL,</w:t>
        <w:br/>
        <w:t xml:space="preserve">  created_at     TIMESTAMP(3) NOT NULL DEFAULT now()</w:t>
        <w:br/>
        <w:t>);</w:t>
        <w:br/>
        <w:t>CREATE INDEX idx_file_attached_created ON file(attached, created_at);  -- orphan cleanup</w:t>
        <w:br/>
        <w:t>CREATE TABLE email_intake_failure (</w:t>
        <w:br/>
        <w:t xml:space="preserve">  failure_id CHAR(36) PRIMARY KEY, file_id CHAR(36) NULL REFERENCES file(file_id),</w:t>
        <w:br/>
        <w:t xml:space="preserve">  source_mailbox VARCHAR(255) NOT NULL, failure_reason TEXT NOT NULL,</w:t>
        <w:br/>
        <w:t xml:space="preserve">  detected_at TIMESTAMP NOT NULL DEFAULT now(), reviewed_by_admin BOOLEAN NOT NULL DEFAULT FALSE</w:t>
        <w:br/>
        <w:t>);</w:t>
      </w:r>
    </w:p>
    <w:p>
      <w:pPr>
        <w:pStyle w:val="Heading2"/>
        <w:pBdr>
          <w:bottom w:val="single" w:sz="6" w:space="6" w:color="D1D5DB"/>
        </w:pBdr>
        <w:spacing w:before="320" w:after="120"/>
        <w:rPr/>
      </w:pPr>
      <w:bookmarkStart w:id="89" w:name="__RefHeading___Toc5664_AgriContract"/>
      <w:bookmarkEnd w:id="89"/>
      <w:r>
        <w:rPr>
          <w:rFonts w:eastAsia="Calibri" w:cs="Calibri" w:ascii="Calibri" w:hAnsi="Calibri"/>
          <w:b/>
          <w:bCs/>
          <w:color w:val="1F2A37"/>
          <w:sz w:val="25"/>
          <w:szCs w:val="25"/>
        </w:rPr>
        <w:t>4. pricing-service</w:t>
      </w:r>
    </w:p>
    <w:p>
      <w:pPr>
        <w:pStyle w:val="Normal"/>
        <w:spacing w:lineRule="auto" w:line="276" w:before="0" w:after="120"/>
        <w:jc w:val="both"/>
        <w:rPr/>
      </w:pPr>
      <w:r>
        <w:rPr>
          <w:rFonts w:eastAsia="Calibri" w:cs="Calibri"/>
          <w:b w:val="false"/>
          <w:bCs w:val="false"/>
          <w:i w:val="false"/>
          <w:iCs w:val="false"/>
          <w:color w:val="111827"/>
          <w:sz w:val="21"/>
          <w:szCs w:val="21"/>
        </w:rPr>
        <w:t>Chỉ ingest giá tham chiếu NGOÀI — loại hẳn việc tính giá từ giao dịch nội bộ. Lý do kép: data sparse (platform mới, vài chục hợp đồng đầu không đủ ý nghĩa thống kê); và nghiêm trọng hơn, một con số "giá thị trường" tính từ chính vài giao dịch trong platform có thể bị buyer lớn lợi dụng — ép giá thấp vài lần đầu để tự tạo giá tham chiếu giả rồi ép các HTX khác, đúng nghịch lý với bài toán bất đối xứng quyền lực mà nền tảng sinh ra để giải.</w:t>
      </w:r>
    </w:p>
    <w:tbl>
      <w:tblPr>
        <w:tblW w:w="9638" w:type="dxa"/>
        <w:jc w:val="start"/>
        <w:tblInd w:w="0" w:type="dxa"/>
        <w:tblLayout w:type="fixed"/>
        <w:tblCellMar>
          <w:top w:w="60" w:type="dxa"/>
          <w:start w:w="90" w:type="dxa"/>
          <w:bottom w:w="60" w:type="dxa"/>
          <w:end w:w="90" w:type="dxa"/>
        </w:tblCellMar>
      </w:tblPr>
      <w:tblGrid>
        <w:gridCol w:w="1999"/>
        <w:gridCol w:w="4601"/>
        <w:gridCol w:w="3038"/>
      </w:tblGrid>
      <w:tr>
        <w:trPr>
          <w:tblHeader w:val="true"/>
        </w:trPr>
        <w:tc>
          <w:tcPr>
            <w:tcW w:w="19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Commodity</w:t>
            </w:r>
          </w:p>
        </w:tc>
        <w:tc>
          <w:tcPr>
            <w:tcW w:w="46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Nguồn</w:t>
            </w:r>
          </w:p>
        </w:tc>
        <w:tc>
          <w:tcPr>
            <w:tcW w:w="30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Cơ chế</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COFFEE, RICE</w:t>
            </w:r>
          </w:p>
        </w:tc>
        <w:tc>
          <w:tcPr>
            <w:tcW w:w="4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thitruongnongsan.gov.vn (VNSAT — Bộ NN&amp;MT), tách theo tỉnh</w:t>
            </w:r>
          </w:p>
        </w:tc>
        <w:tc>
          <w:tcPr>
            <w:tcW w:w="3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Scrape tự động (Jsoup 2 bước)</w:t>
            </w:r>
          </w:p>
        </w:tc>
      </w:tr>
      <w:tr>
        <w:trPr/>
        <w:tc>
          <w:tcPr>
            <w:tcW w:w="1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RUBBER</w:t>
            </w:r>
          </w:p>
        </w:tc>
        <w:tc>
          <w:tcPr>
            <w:tcW w:w="46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Có nguồn tham chiếu quốc tế (anfin/thitruonghanghoa/investing/VRA) — xem ghi chú L5</w:t>
            </w:r>
          </w:p>
        </w:tc>
        <w:tc>
          <w:tcPr>
            <w:tcW w:w="30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OPERATOR/ADMIN nhập tay (không ingest quốc tế ở scope hiện tại — trade-off đơn vị/tỷ giá)</w:t>
            </w:r>
          </w:p>
        </w:tc>
      </w:tr>
      <w:tr>
        <w:trPr/>
        <w:tc>
          <w:tcPr>
            <w:tcW w:w="1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CASHEW</w:t>
            </w:r>
          </w:p>
        </w:tc>
        <w:tc>
          <w:tcPr>
            <w:tcW w:w="46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Không có nguồn mở tương đương</w:t>
            </w:r>
          </w:p>
        </w:tc>
        <w:tc>
          <w:tcPr>
            <w:tcW w:w="30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Admin nhập tay, một giá quốc gia</w:t>
            </w:r>
          </w:p>
        </w:tc>
      </w:tr>
    </w:tbl>
    <w:p>
      <w:pPr>
        <w:pStyle w:val="Heading3"/>
        <w:spacing w:before="240" w:after="80"/>
        <w:rPr/>
      </w:pPr>
      <w:bookmarkStart w:id="90" w:name="__RefHeading___Toc5666_AgriContract"/>
      <w:bookmarkEnd w:id="90"/>
      <w:r>
        <w:rPr>
          <w:rFonts w:eastAsia="Calibri" w:cs="Calibri" w:ascii="Calibri" w:hAnsi="Calibri"/>
          <w:b/>
          <w:bCs/>
          <w:color w:val="1F2A37"/>
          <w:sz w:val="22"/>
          <w:szCs w:val="22"/>
        </w:rPr>
        <w:t>4.1 Mô hình miền &amp; cache</w:t>
      </w:r>
    </w:p>
    <w:p>
      <w:pPr>
        <w:pStyle w:val="Normal"/>
        <w:spacing w:lineRule="auto" w:line="276" w:before="0" w:after="120"/>
        <w:jc w:val="both"/>
        <w:rPr/>
      </w:pPr>
      <w:r>
        <w:rPr>
          <w:rFonts w:eastAsia="Calibri" w:cs="Calibri"/>
          <w:b w:val="false"/>
          <w:bCs w:val="false"/>
          <w:i w:val="false"/>
          <w:iCs w:val="false"/>
          <w:color w:val="111827"/>
          <w:sz w:val="21"/>
          <w:szCs w:val="21"/>
        </w:rPr>
        <w:t>PriceQuote: commodity, itemName (tên mặt hàng cụ thể — RICE có nhiều giống OM 18/ST25/IR 50404 cùng tỉnh/ngày giá khác hẳn, nên itemName là dimension bắt buộc; COFFEE một giá trị cố định), province (nullable — NULL cho rubber/cashew), price (VNĐ/kg), source, capturedAt (ngày giá áp dụng theo nguồn), ingestedAt. MySQL append-only (price_history) là nguồn thật, Redis chỉ là cache.</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Redis key: </w:t>
      </w:r>
      <w:r>
        <w:rPr>
          <w:rFonts w:eastAsia="Calibri" w:cs="Calibri"/>
          <w:b w:val="false"/>
          <w:bCs w:val="false"/>
          <w:i w:val="false"/>
          <w:iCs w:val="false"/>
          <w:color w:val="111827"/>
          <w:sz w:val="21"/>
          <w:szCs w:val="21"/>
        </w:rPr>
        <w:t>price:{commodity}:{province}:{itemSlug} (itemSlug = normalize itemName: bỏ dấu, lowercase, khoảng trắng → gạch ngang).</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KHÔNG set TTL cứng: </w:t>
      </w:r>
      <w:r>
        <w:rPr>
          <w:rFonts w:eastAsia="Calibri" w:cs="Calibri"/>
          <w:b w:val="false"/>
          <w:bCs w:val="false"/>
          <w:i w:val="false"/>
          <w:iCs w:val="false"/>
          <w:color w:val="111827"/>
          <w:sz w:val="21"/>
          <w:szCs w:val="21"/>
        </w:rPr>
        <w:t>nếu key tự hết hạn đúng lúc job ingest fail, key biến mất → seller không thấy giá nào, tệ hơn thấy giá cũ có cảnh báo. "Cũ hay mới" tính động bằng so capturedAt với now, ngưỡng stale riêng từng commodity trong application.yml (coffee ~14 ngày, rice ~30 ngày — VNSAT publish theo batch không đều).</w:t>
      </w:r>
    </w:p>
    <w:p>
      <w:pPr>
        <w:pStyle w:val="Heading3"/>
        <w:spacing w:before="240" w:after="80"/>
        <w:rPr/>
      </w:pPr>
      <w:bookmarkStart w:id="91" w:name="__RefHeading___Toc5668_AgriContract"/>
      <w:bookmarkEnd w:id="91"/>
      <w:r>
        <w:rPr>
          <w:rFonts w:eastAsia="Calibri" w:cs="Calibri" w:ascii="Calibri" w:hAnsi="Calibri"/>
          <w:b/>
          <w:bCs/>
          <w:color w:val="1F2A37"/>
          <w:sz w:val="22"/>
          <w:szCs w:val="22"/>
        </w:rPr>
        <w:t>4.2 Ingestion &amp; Read API</w:t>
      </w:r>
    </w:p>
    <w:p>
      <w:pPr>
        <w:pStyle w:val="Normal"/>
        <w:spacing w:lineRule="auto" w:line="276" w:before="0" w:after="120"/>
        <w:jc w:val="both"/>
        <w:rPr/>
      </w:pPr>
      <w:r>
        <w:rPr>
          <w:rFonts w:eastAsia="Calibri" w:cs="Calibri"/>
          <w:b w:val="false"/>
          <w:bCs w:val="false"/>
          <w:i w:val="false"/>
          <w:iCs w:val="false"/>
          <w:color w:val="111827"/>
          <w:sz w:val="21"/>
          <w:szCs w:val="21"/>
        </w:rPr>
        <w:t>VNSAT là ASP.NET WebForms (không REST JSON), postback pattern. Jsoup 2 bước: (1) GET parse __VIEWSTATE/__EVENTVALIDATION/__VIEWSTATEGENERATOR; (2) POST lại cùng URL mang cookie + TOÀN BỘ field form (thiếu tu_ngay/den_ngay gây 500). Job VnsatPriceIngestionJob (@Scheduled daily, riêng từng commodity) sống sót qua lỗi — exception → insert price_ingestion_failure, KHÔNG throw tiếp (không kéo sập scheduler), không xoá cache Redis cũ khi fail.</w:t>
      </w:r>
    </w:p>
    <w:p>
      <w:pPr>
        <w:pStyle w:val="Normal"/>
        <w:spacing w:lineRule="auto" w:line="276" w:before="0" w:after="120"/>
        <w:jc w:val="both"/>
        <w:rPr/>
      </w:pPr>
      <w:r>
        <w:rPr>
          <w:rFonts w:eastAsia="Calibri" w:cs="Calibri"/>
          <w:b/>
          <w:bCs/>
          <w:i w:val="false"/>
          <w:iCs w:val="false"/>
          <w:color w:val="111827"/>
          <w:sz w:val="21"/>
          <w:szCs w:val="21"/>
        </w:rPr>
        <w:t xml:space="preserve">Read API cache-aside: </w:t>
      </w:r>
      <w:r>
        <w:rPr>
          <w:rFonts w:eastAsia="Calibri" w:cs="Calibri"/>
          <w:b w:val="false"/>
          <w:bCs w:val="false"/>
          <w:i w:val="false"/>
          <w:iCs w:val="false"/>
          <w:color w:val="111827"/>
          <w:sz w:val="21"/>
          <w:szCs w:val="21"/>
        </w:rPr>
        <w:t>GET /api/v1/prices/{commodity}/{province}?item={itemSlug} — public. Đọc Redis trước; miss → query price_history (ORDER BY capturedAt DESC LIMIT 1), trả về + ghi lại Redis. Match giá tham chiếu với Product.varietyName là best-effort: pricing-service normalize varietyName theo cùng thuật toán itemSlug — khớp thì hiện, không khớp thì im lặng (không lỗi, không block tạo listing). KHÔNG denormalize giá vào Contract/Listing — giữ tính tham khảo thuần tuý, tránh bị lợi dụng trong đàm phán.</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price_history (          -- pricing_db, append-only, nguồn sự thật</w:t>
        <w:br/>
        <w:t xml:space="preserve">  id CHAR(36) PRIMARY KEY, commodity VARCHAR(20) NOT NULL, item_name VARCHAR(255) NOT NULL,</w:t>
        <w:br/>
        <w:t xml:space="preserve">  province VARCHAR(50) NULL, price DECIMAL(15,2) NOT NULL,</w:t>
        <w:br/>
        <w:t xml:space="preserve">  source VARCHAR(20) NOT NULL,        -- VNSAT_SCRAPE | ADMIN_MANUAL</w:t>
        <w:br/>
        <w:t xml:space="preserve">  captured_at DATE NOT NULL, ingested_at TIMESTAMP NOT NULL</w:t>
        <w:br/>
        <w:t>);</w:t>
        <w:br/>
        <w:t>CREATE TABLE price_ingestion_failure (</w:t>
        <w:br/>
        <w:t xml:space="preserve">  id CHAR(36) PRIMARY KEY, commodity VARCHAR(20) NOT NULL,</w:t>
        <w:br/>
        <w:t xml:space="preserve">  failure_reason TEXT NOT NULL, detected_at TIMESTAMP NOT NULL DEFAULT now()</w:t>
        <w:br/>
        <w:t>);</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Rủi ro pháp lý scraping (ghi rõ): </w:t>
      </w:r>
      <w:r>
        <w:rPr>
          <w:rFonts w:eastAsia="Calibri" w:cs="Calibri"/>
          <w:color w:val="374151"/>
          <w:sz w:val="20"/>
          <w:szCs w:val="20"/>
        </w:rPr>
        <w:t>scrape thitruongnongsan.gov.vn chưa xin phép chính thức Bộ NN&amp;MT — chấp nhận được cho scope đồ án non-commercial. Nếu productize thật (bán cho VICOFA/VRA), cần đàm phán data licensing hoặc xin cấp API trực tiếp.</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Cao su — nguồn tham chiếu quốc tế (L5, 08/07/2026): </w:t>
      </w:r>
      <w:r>
        <w:rPr>
          <w:rFonts w:eastAsia="Calibri" w:cs="Calibri"/>
          <w:color w:val="374151"/>
          <w:sz w:val="20"/>
          <w:szCs w:val="20"/>
        </w:rPr>
        <w:t>cao su CÓ nguồn giá quốc tế (anfin RSS3/TSR20, thitruonghanghoa SICOM/TOCOM, investing.com, VRA) — chủ động chọn giữ Admin nhập tay, KHÔNG ingest tự động ở scope hiện tại — ghi nhận là roadmap vì giá quốc tế tính JPY/kg hoặc USD/tấn cần chuẩn hoá đơn vị + tỷ giá real-time cho đúng 1 commodity (trade-off không đáng cho scope). Ghi nhận là enhancement path đã cân nhắc, không phải điểm mù. Điều giữ nguyên Admin — không có nguồn tương đương.</w:t>
      </w:r>
    </w:p>
    <w:p>
      <w:pPr>
        <w:pStyle w:val="Heading2"/>
        <w:pBdr>
          <w:bottom w:val="single" w:sz="6" w:space="6" w:color="D1D5DB"/>
        </w:pBdr>
        <w:spacing w:before="320" w:after="120"/>
        <w:rPr/>
      </w:pPr>
      <w:bookmarkStart w:id="92" w:name="__RefHeading___Toc5670_AgriContract"/>
      <w:bookmarkEnd w:id="92"/>
      <w:r>
        <w:rPr>
          <w:rFonts w:eastAsia="Calibri" w:cs="Calibri" w:ascii="Calibri" w:hAnsi="Calibri"/>
          <w:b/>
          <w:bCs/>
          <w:color w:val="1F2A37"/>
          <w:sz w:val="25"/>
          <w:szCs w:val="25"/>
        </w:rPr>
        <w:t>5. Luồng trình tự xuyên dịch vụ</w:t>
      </w:r>
    </w:p>
    <w:p>
      <w:pPr>
        <w:pStyle w:val="Heading3"/>
        <w:spacing w:before="240" w:after="80"/>
        <w:rPr/>
      </w:pPr>
      <w:bookmarkStart w:id="93" w:name="__RefHeading___Toc5672_AgriContract"/>
      <w:bookmarkEnd w:id="93"/>
      <w:r>
        <w:rPr>
          <w:rFonts w:eastAsia="Calibri" w:cs="Calibri" w:ascii="Calibri" w:hAnsi="Calibri"/>
          <w:b/>
          <w:bCs/>
          <w:color w:val="1F2A37"/>
          <w:sz w:val="22"/>
          <w:szCs w:val="22"/>
        </w:rPr>
        <w:t>5.1 Vòng đời file bằng chứng (evidence)</w:t>
      </w:r>
    </w:p>
    <w:tbl>
      <w:tblPr>
        <w:tblW w:w="9638" w:type="dxa"/>
        <w:jc w:val="start"/>
        <w:tblInd w:w="0" w:type="dxa"/>
        <w:tblLayout w:type="fixed"/>
        <w:tblCellMar>
          <w:top w:w="60" w:type="dxa"/>
          <w:start w:w="90" w:type="dxa"/>
          <w:bottom w:w="60" w:type="dxa"/>
          <w:end w:w="90" w:type="dxa"/>
        </w:tblCellMar>
      </w:tblPr>
      <w:tblGrid>
        <w:gridCol w:w="699"/>
        <w:gridCol w:w="2201"/>
        <w:gridCol w:w="3499"/>
        <w:gridCol w:w="3238"/>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4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 contract-service → file-service</w:t>
            </w:r>
          </w:p>
        </w:tc>
        <w:tc>
          <w:tcPr>
            <w:tcW w:w="3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Business endpoint kiểm milestone rồi StoreOnBehalfOf(actingUserId) → PROCESSING</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file.uploaded.direct</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file-service</w:t>
            </w:r>
          </w:p>
        </w:tc>
        <w:tc>
          <w:tcPr>
            <w:tcW w:w="3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VirusScanConsumer scan → markReady → file.ready</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status=READY</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3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Consume file.ready → lưu sellerEvidenceFileId vào milestone</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 SELLER_WEIGHED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 → file-service</w:t>
            </w:r>
          </w:p>
        </w:tc>
        <w:tc>
          <w:tcPr>
            <w:tcW w:w="3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ConfirmAttached(fileId)</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attached=TRUE (thoát orphan cleanup)</w:t>
            </w:r>
          </w:p>
        </w:tc>
      </w:tr>
    </w:tbl>
    <w:p>
      <w:pPr>
        <w:pStyle w:val="Heading3"/>
        <w:spacing w:before="240" w:after="80"/>
        <w:rPr/>
      </w:pPr>
      <w:bookmarkStart w:id="94" w:name="__RefHeading___Toc5674_AgriContract"/>
      <w:bookmarkEnd w:id="94"/>
      <w:r>
        <w:rPr>
          <w:rFonts w:eastAsia="Calibri" w:cs="Calibri" w:ascii="Calibri" w:hAnsi="Calibri"/>
          <w:b/>
          <w:bCs/>
          <w:color w:val="1F2A37"/>
          <w:sz w:val="22"/>
          <w:szCs w:val="22"/>
        </w:rPr>
        <w:t>5.2 Import KML → tạo listing</w:t>
      </w:r>
    </w:p>
    <w:tbl>
      <w:tblPr>
        <w:tblW w:w="9638" w:type="dxa"/>
        <w:jc w:val="start"/>
        <w:tblInd w:w="0" w:type="dxa"/>
        <w:tblLayout w:type="fixed"/>
        <w:tblCellMar>
          <w:top w:w="60" w:type="dxa"/>
          <w:start w:w="90" w:type="dxa"/>
          <w:bottom w:w="60" w:type="dxa"/>
          <w:end w:w="90" w:type="dxa"/>
        </w:tblCellMar>
      </w:tblPr>
      <w:tblGrid>
        <w:gridCol w:w="699"/>
        <w:gridCol w:w="2201"/>
        <w:gridCol w:w="3499"/>
        <w:gridCol w:w="3238"/>
      </w:tblGrid>
      <w:tr>
        <w:trPr>
          <w:tblHeader w:val="true"/>
        </w:trPr>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w:t>
            </w:r>
          </w:p>
        </w:tc>
        <w:tc>
          <w:tcPr>
            <w:tcW w:w="22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Actor / Dịch vụ</w:t>
            </w:r>
          </w:p>
        </w:tc>
        <w:tc>
          <w:tcPr>
            <w:tcW w:w="34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Hành động / Sự kiện</w:t>
            </w:r>
          </w:p>
        </w:tc>
        <w:tc>
          <w:tcPr>
            <w:tcW w:w="3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Kết quả</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1</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 product-service → file-service</w:t>
            </w:r>
          </w:p>
        </w:tc>
        <w:tc>
          <w:tcPr>
            <w:tcW w:w="3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Import endpoint gọi StoreOnBehalfOf cho KML; chỉ parse sau file.ready</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originalKmlFileId</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2</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product-service</w:t>
            </w:r>
          </w:p>
        </w:tc>
        <w:tc>
          <w:tcPr>
            <w:tcW w:w="3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Parse placemark → JTS validate → point-in-polygon vs declaredProvince → UPSERT PlotRegistryEntry</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Registry cập nhật; provinceMismatchFlag nếu lệch</w:t>
            </w:r>
          </w:p>
        </w:tc>
      </w:tr>
      <w:tr>
        <w:trPr/>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3</w:t>
            </w:r>
          </w:p>
        </w:tc>
        <w:tc>
          <w:tcPr>
            <w:tcW w:w="22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SELLER → product-service</w:t>
            </w:r>
          </w:p>
        </w:tc>
        <w:tc>
          <w:tcPr>
            <w:tcW w:w="34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CreateListing với List&lt;registryEntryId&gt;</w:t>
            </w:r>
          </w:p>
        </w:tc>
        <w:tc>
          <w:tcPr>
            <w:tcW w:w="3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Copy registry → ProductPlot (snapshot); ≥1 plot (cấm mass balance)</w:t>
            </w:r>
          </w:p>
        </w:tc>
      </w:tr>
      <w:tr>
        <w:trPr/>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4</w:t>
            </w:r>
          </w:p>
        </w:tc>
        <w:tc>
          <w:tcPr>
            <w:tcW w:w="22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pricing-service</w:t>
            </w:r>
          </w:p>
        </w:tc>
        <w:tc>
          <w:tcPr>
            <w:tcW w:w="34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Match varietyName (best-effort) → hiện giá tham khảo</w:t>
            </w:r>
          </w:p>
        </w:tc>
        <w:tc>
          <w:tcPr>
            <w:tcW w:w="3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Giá tham chiếu hiển thị (không denormalize)</w:t>
            </w:r>
          </w:p>
        </w:tc>
      </w:tr>
    </w:tbl>
    <w:p>
      <w:pPr>
        <w:pStyle w:val="Heading2"/>
        <w:pBdr>
          <w:bottom w:val="single" w:sz="6" w:space="6" w:color="D1D5DB"/>
        </w:pBdr>
        <w:spacing w:before="320" w:after="120"/>
        <w:rPr/>
      </w:pPr>
      <w:bookmarkStart w:id="95" w:name="__RefHeading___Toc5676_AgriContract"/>
      <w:bookmarkEnd w:id="95"/>
      <w:r>
        <w:rPr>
          <w:rFonts w:eastAsia="Calibri" w:cs="Calibri" w:ascii="Calibri" w:hAnsi="Calibri"/>
          <w:b/>
          <w:bCs/>
          <w:color w:val="1F2A37"/>
          <w:sz w:val="25"/>
          <w:szCs w:val="25"/>
        </w:rPr>
        <w:t>6. Giới hạn có chủ đích</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Khai đất giả nhưng hợp lệ hình học. </w:t>
      </w:r>
      <w:r>
        <w:rPr>
          <w:rFonts w:eastAsia="Calibri" w:cs="Calibri"/>
          <w:b w:val="false"/>
          <w:bCs w:val="false"/>
          <w:i w:val="false"/>
          <w:iCs w:val="false"/>
          <w:color w:val="111827"/>
          <w:sz w:val="21"/>
          <w:szCs w:val="21"/>
        </w:rPr>
        <w:t>DB + JTS + cross-check tỉnh không đóng được — giới hạn permanent của mô hình self-declared. verificationLevel/CADASTRAL_BACKED chỉ giảm nhẹ (nền tảng không OCR đối chiếu trích lục với toạ độ).</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Nguồn ranh giới tỉnh. </w:t>
      </w:r>
      <w:r>
        <w:rPr>
          <w:rFonts w:eastAsia="Calibri" w:cs="Calibri"/>
          <w:b w:val="false"/>
          <w:bCs w:val="false"/>
          <w:i w:val="false"/>
          <w:iCs w:val="false"/>
          <w:color w:val="111827"/>
          <w:sz w:val="21"/>
          <w:szCs w:val="21"/>
        </w:rPr>
        <w:t>Đã dùng Free-GIS-Data 34 tỉnh đúng địa giới hiện hành; còn giới hạn đây là nguồn cộng đồng sync GSO, chưa phải bản đồ pháp lý chính thức của Cục Đo đạc.</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Orphan cleanup phụ thuộc ConfirmAttached. </w:t>
      </w:r>
      <w:r>
        <w:rPr>
          <w:rFonts w:eastAsia="Calibri" w:cs="Calibri"/>
          <w:b w:val="false"/>
          <w:bCs w:val="false"/>
          <w:i w:val="false"/>
          <w:iCs w:val="false"/>
          <w:color w:val="111827"/>
          <w:sz w:val="21"/>
          <w:szCs w:val="21"/>
        </w:rPr>
        <w:t>Nếu dịch vụ consumer có bug quên gọi ConfirmAttached dù đã lưu fileId, file hợp lệ có thể bị xoá nhầm sau 1 tuần — cần lưu ý khi code consumer.</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file-service không phải lớp phòng thủ thứ 2. </w:t>
      </w:r>
      <w:r>
        <w:rPr>
          <w:rFonts w:eastAsia="Calibri" w:cs="Calibri"/>
          <w:b w:val="false"/>
          <w:bCs w:val="false"/>
          <w:i w:val="false"/>
          <w:iCs w:val="false"/>
          <w:color w:val="111827"/>
          <w:sz w:val="21"/>
          <w:szCs w:val="21"/>
        </w:rPr>
        <w:t>Access control dựa vào dịch vụ sở hữu tự validate đúng; nếu dịch vụ đó có lỗ hổng auth, file-service không double-check.</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Nguồn VNSAT dễ vỡ khi đổi layout. </w:t>
      </w:r>
      <w:r>
        <w:rPr>
          <w:rFonts w:eastAsia="Calibri" w:cs="Calibri"/>
          <w:b w:val="false"/>
          <w:bCs w:val="false"/>
          <w:i w:val="false"/>
          <w:iCs w:val="false"/>
          <w:color w:val="111827"/>
          <w:sz w:val="21"/>
          <w:szCs w:val="21"/>
        </w:rPr>
        <w:t>HTML/ASP.NET postback không có cơ chế tự phát hiện; chỉ dựa exception → price_ingestion_failure. rubber/cashew phụ thuộc hoàn toàn Admin nhập tay (không validation chéo).</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Baseline rừng là tín hiệu, không phải kết luận pháp lý. </w:t>
      </w:r>
      <w:r>
        <w:rPr>
          <w:rFonts w:eastAsia="Calibri" w:cs="Calibri"/>
          <w:b w:val="false"/>
          <w:bCs w:val="false"/>
          <w:i w:val="false"/>
          <w:iCs w:val="false"/>
          <w:color w:val="111827"/>
          <w:sz w:val="21"/>
          <w:szCs w:val="21"/>
        </w:rPr>
        <w:t>ForTy/Natural Forests 2020 ở độ phân giải 10m là proxy hỗ trợ due diligence; không được trình bày như đã verify EUDR hoặc thay thế dịch vụ/chứng cứ pháp lý chuyên dụng.</w:t>
      </w:r>
    </w:p>
    <w:p>
      <w:pPr>
        <w:pStyle w:val="Heading2"/>
        <w:pBdr>
          <w:bottom w:val="single" w:sz="6" w:space="6" w:color="D1D5DB"/>
        </w:pBdr>
        <w:spacing w:before="320" w:after="120"/>
        <w:rPr/>
      </w:pPr>
      <w:bookmarkStart w:id="96" w:name="__RefHeading___Toc5678_AgriContract"/>
      <w:bookmarkEnd w:id="96"/>
      <w:r>
        <w:rPr>
          <w:rFonts w:eastAsia="Calibri" w:cs="Calibri" w:ascii="Calibri" w:hAnsi="Calibri"/>
          <w:b/>
          <w:bCs/>
          <w:color w:val="1F2A37"/>
          <w:sz w:val="25"/>
          <w:szCs w:val="25"/>
        </w:rPr>
        <w:t>7. Trạng thái đóng &amp; giới hạn đã biết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Cơ chế nhận mail intake@ đã thống nhất. </w:t>
      </w:r>
      <w:r>
        <w:rPr>
          <w:rFonts w:eastAsia="Calibri" w:cs="Calibri"/>
          <w:b w:val="false"/>
          <w:bCs w:val="false"/>
          <w:i w:val="false"/>
          <w:iCs w:val="false"/>
          <w:color w:val="111827"/>
          <w:sz w:val="21"/>
          <w:szCs w:val="21"/>
        </w:rPr>
        <w:t>file-service sở hữu IMAP polling và phát file.email_notice/file.ready; inspection-service chỉ consume, không đọc mailbox và không dùng webhook.</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migration varietyName </w:t>
      </w:r>
      <w:r>
        <w:rPr>
          <w:rFonts w:eastAsia="Calibri" w:cs="Calibri"/>
          <w:b w:val="false"/>
          <w:bCs w:val="false"/>
          <w:i w:val="false"/>
          <w:iCs w:val="false"/>
          <w:color w:val="111827"/>
          <w:sz w:val="21"/>
          <w:szCs w:val="21"/>
        </w:rPr>
        <w:t>gộp chung với PR Category/ProductImage/coverImageUrl đang làm (cùng đụng bảng products), tránh 2 lần touch schema.</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Khả năng dùng IMAP với mailbox thật của tổ chức giám định — giới hạn đã biết. </w:t>
      </w:r>
      <w:r>
        <w:rPr>
          <w:rFonts w:eastAsia="Calibri" w:cs="Calibri"/>
          <w:b w:val="false"/>
          <w:bCs w:val="false"/>
          <w:i w:val="false"/>
          <w:iCs w:val="false"/>
          <w:color w:val="111827"/>
          <w:sz w:val="21"/>
          <w:szCs w:val="21"/>
        </w:rPr>
        <w:t>Giả định đơn giản hoá cho scope đồ án — không khảo sát/xin cấp phép được với SGS/Bureau Veritas trong phạm vi đồ án. Thiết kế không phụ thuộc chi tiết cơ chế lấy mail: nếu deployment thật dùng cơ chế khác (Inbound Parse webhook, API), chỉ đổi adapter tầng intake, không đụng logic lõi.</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Geo-risk verification qua vệ tinh (mới, 06/07/2026, chốt 13/07/2026). </w:t>
      </w:r>
      <w:r>
        <w:rPr>
          <w:rFonts w:eastAsia="Calibri" w:cs="Calibri"/>
          <w:b w:val="false"/>
          <w:bCs w:val="false"/>
          <w:i w:val="false"/>
          <w:iCs w:val="false"/>
          <w:color w:val="111827"/>
          <w:sz w:val="21"/>
          <w:szCs w:val="21"/>
        </w:rPr>
        <w:t>Đã đóng toàn bộ: ngưỡng NDVI tự đặt đã gỡ — thay bằng baseline ForTy/Natural Forests 2020 làm sẵn (08/07/2026); geoVerificationTimeoutHours chốt 6 giờ (application.yml); luồng EXIF re-evaluation (UC-P5) spec đầy đủ, không còn deferred. Chi tiết đầy đủ ở product-phase2-design.md §2.2.4.</w:t>
      </w:r>
    </w:p>
    <w:p>
      <w:pPr>
        <w:pStyle w:val="Normal"/>
        <w:spacing w:before="0" w:after="0"/>
        <w:rPr/>
      </w:pPr>
      <w:r>
        <w:rPr/>
      </w:r>
      <w:r>
        <w:br w:type="page"/>
      </w:r>
    </w:p>
    <w:p>
      <w:pPr>
        <w:pStyle w:val="Normal"/>
        <w:spacing w:before="0" w:after="0"/>
        <w:rPr/>
      </w:pPr>
      <w:r>
        <w:rPr>
          <w:rFonts w:eastAsia="Calibri" w:cs="Calibri"/>
          <w:b/>
          <w:bCs/>
          <w:color w:val="6B7280"/>
          <w:spacing w:val="40"/>
          <w:sz w:val="24"/>
          <w:szCs w:val="24"/>
        </w:rPr>
        <w:t>AGRICONTRACT · SDS</w:t>
      </w:r>
    </w:p>
    <w:p>
      <w:pPr>
        <w:pStyle w:val="Heading1"/>
        <w:pBdr>
          <w:bottom w:val="single" w:sz="8" w:space="8" w:color="1F2A37"/>
        </w:pBdr>
        <w:spacing w:before="120" w:after="0"/>
        <w:rPr/>
      </w:pPr>
      <w:bookmarkStart w:id="97" w:name="__RefHeading___Toc5680_AgriContract"/>
      <w:bookmarkEnd w:id="97"/>
      <w:r>
        <w:rPr>
          <w:rFonts w:eastAsia="Calibri" w:cs="Calibri" w:ascii="Calibri" w:hAnsi="Calibri"/>
          <w:b/>
          <w:bCs/>
          <w:color w:val="1F2A37"/>
          <w:sz w:val="40"/>
          <w:szCs w:val="40"/>
        </w:rPr>
        <w:t>Phần 5 — Cụm ngoại vi &amp; tổng hợp: user-service · notification-service · analytics-service + Phụ lục</w:t>
      </w:r>
    </w:p>
    <w:p>
      <w:pPr>
        <w:pStyle w:val="Normal"/>
        <w:spacing w:before="0" w:after="0"/>
        <w:rPr/>
      </w:pPr>
      <w:r>
        <w:rPr/>
      </w:r>
      <w:r>
        <w:br w:type="page"/>
      </w:r>
    </w:p>
    <w:p>
      <w:pPr>
        <w:pStyle w:val="Heading2"/>
        <w:pBdr>
          <w:bottom w:val="single" w:sz="6" w:space="6" w:color="D1D5DB"/>
        </w:pBdr>
        <w:spacing w:before="0" w:after="120"/>
        <w:rPr/>
      </w:pPr>
      <w:bookmarkStart w:id="98" w:name="__RefHeading___Toc5682_AgriContract"/>
      <w:bookmarkEnd w:id="98"/>
      <w:r>
        <w:rPr>
          <w:rFonts w:eastAsia="Calibri" w:cs="Calibri" w:ascii="Calibri" w:hAnsi="Calibri"/>
          <w:b/>
          <w:bCs/>
          <w:color w:val="1F2A37"/>
          <w:sz w:val="25"/>
          <w:szCs w:val="25"/>
        </w:rPr>
        <w:t>1. Phạm vi phần 5</w:t>
      </w:r>
    </w:p>
    <w:p>
      <w:pPr>
        <w:pStyle w:val="Normal"/>
        <w:spacing w:lineRule="auto" w:line="276" w:before="0" w:after="120"/>
        <w:jc w:val="both"/>
        <w:rPr/>
      </w:pPr>
      <w:r>
        <w:rPr>
          <w:rFonts w:eastAsia="Calibri" w:cs="Calibri"/>
          <w:b w:val="false"/>
          <w:bCs w:val="false"/>
          <w:i w:val="false"/>
          <w:iCs w:val="false"/>
          <w:color w:val="111827"/>
          <w:sz w:val="21"/>
          <w:szCs w:val="21"/>
        </w:rPr>
        <w:t>Phần 5 đặc tả cụm ngoại vi và tổng hợp — ba dịch vụ hỗ trợ định danh, liên lạc và phân tích, cùng hai phụ lục hợp nhất toàn hệ thống: user-service (cầu nối định danh, KYC, cưỡng chế khoá), notification-service (thông báo, OTP, neo hash qua email), analytics-service (event-driven projection/CQRS read model kiêm derived-signal producer). Tuân theo chuẩn dùng chung ở Phần 1.</w:t>
      </w:r>
    </w:p>
    <w:tbl>
      <w:tblPr>
        <w:tblW w:w="9638" w:type="dxa"/>
        <w:jc w:val="start"/>
        <w:tblInd w:w="0" w:type="dxa"/>
        <w:tblLayout w:type="fixed"/>
        <w:tblCellMar>
          <w:top w:w="60" w:type="dxa"/>
          <w:start w:w="90" w:type="dxa"/>
          <w:bottom w:w="60" w:type="dxa"/>
          <w:end w:w="90" w:type="dxa"/>
        </w:tblCellMar>
      </w:tblPr>
      <w:tblGrid>
        <w:gridCol w:w="2299"/>
        <w:gridCol w:w="7338"/>
      </w:tblGrid>
      <w:tr>
        <w:trPr>
          <w:tblHeader w:val="true"/>
        </w:trPr>
        <w:tc>
          <w:tcPr>
            <w:tcW w:w="22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w:t>
            </w:r>
          </w:p>
        </w:tc>
        <w:tc>
          <w:tcPr>
            <w:tcW w:w="73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Sở hữu</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user-service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Cầu nối Keycloak; profile tổ chức; xác minh thẩm quyền đại diện (KYC); cưỡng chế khoá tài khoản theo quyết định từ reputation-service. KHÔNG giữ credentials (Keycloak giữ)</w:t>
            </w:r>
          </w:p>
        </w:tc>
      </w:tr>
      <w:tr>
        <w:trPr/>
        <w:tc>
          <w:tcPr>
            <w:tcW w:w="22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notification-service</w:t>
            </w:r>
          </w:p>
        </w:tc>
        <w:tc>
          <w:tcPr>
            <w:tcW w:w="73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Thông báo hướng sự kiện; gửi OTP qua internal sync API; neo hash qua email; weekly digest; alert khi verify chain fail. Không sở hữu OTP/hash hay quyết định recipient</w:t>
            </w:r>
          </w:p>
        </w:tc>
      </w:tr>
      <w:tr>
        <w:trPr/>
        <w:tc>
          <w:tcPr>
            <w:tcW w:w="22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analytics-service</w:t>
            </w:r>
          </w:p>
        </w:tc>
        <w:tc>
          <w:tcPr>
            <w:tcW w:w="73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Event-driven projection/CQRS read model kiêm derived-signal producer. Không trên transaction critical path; không gọi sync REST/Feign ngược core service</w:t>
            </w:r>
          </w:p>
        </w:tc>
      </w:tr>
    </w:tbl>
    <w:p>
      <w:pPr>
        <w:pStyle w:val="Heading2"/>
        <w:pBdr>
          <w:bottom w:val="single" w:sz="6" w:space="6" w:color="D1D5DB"/>
        </w:pBdr>
        <w:spacing w:before="320" w:after="120"/>
        <w:rPr/>
      </w:pPr>
      <w:bookmarkStart w:id="99" w:name="__RefHeading___Toc5684_AgriContract"/>
      <w:bookmarkEnd w:id="99"/>
      <w:r>
        <w:rPr>
          <w:rFonts w:eastAsia="Calibri" w:cs="Calibri" w:ascii="Calibri" w:hAnsi="Calibri"/>
          <w:b/>
          <w:bCs/>
          <w:color w:val="1F2A37"/>
          <w:sz w:val="25"/>
          <w:szCs w:val="25"/>
        </w:rPr>
        <w:t>2. user-service</w:t>
      </w:r>
    </w:p>
    <w:p>
      <w:pPr>
        <w:pStyle w:val="Heading3"/>
        <w:spacing w:before="240" w:after="80"/>
        <w:rPr/>
      </w:pPr>
      <w:bookmarkStart w:id="100" w:name="__RefHeading___Toc5686_AgriContract"/>
      <w:bookmarkEnd w:id="100"/>
      <w:r>
        <w:rPr>
          <w:rFonts w:eastAsia="Calibri" w:cs="Calibri" w:ascii="Calibri" w:hAnsi="Calibri"/>
          <w:b/>
          <w:bCs/>
          <w:color w:val="1F2A37"/>
          <w:sz w:val="22"/>
          <w:szCs w:val="22"/>
        </w:rPr>
        <w:t>2.1 Trách nhiệm &amp; mô hình miền</w:t>
      </w:r>
    </w:p>
    <w:p>
      <w:pPr>
        <w:pStyle w:val="Normal"/>
        <w:spacing w:lineRule="auto" w:line="276" w:before="0" w:after="120"/>
        <w:jc w:val="both"/>
        <w:rPr/>
      </w:pPr>
      <w:r>
        <w:rPr>
          <w:rFonts w:eastAsia="Calibri" w:cs="Calibri"/>
          <w:b w:val="false"/>
          <w:bCs w:val="false"/>
          <w:i w:val="false"/>
          <w:iCs w:val="false"/>
          <w:color w:val="111827"/>
          <w:sz w:val="21"/>
          <w:szCs w:val="21"/>
        </w:rPr>
        <w:t>Keycloak là IAM server giữ credentials và cấp JWT; user-service chỉ giữ dữ liệu profile nghiệp vụ và trạng thái xác minh, khoá userId theo claim sub của Keycloak.</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user_profiles (</w:t>
        <w:br/>
        <w:t xml:space="preserve">  id                       BIGINT AUTO_INCREMENT PRIMARY KEY,</w:t>
        <w:br/>
        <w:t xml:space="preserve">  user_id                  VARCHAR(255) NOT NULL UNIQUE, -- = Keycloak sub</w:t>
        <w:br/>
        <w:t xml:space="preserve">  organization_name        VARCHAR(255) NOT NULL,</w:t>
        <w:br/>
        <w:t xml:space="preserve">  role                     VARCHAR(15) NOT NULL,       -- BUYER|SELLER|INSPECTOR|OPERATOR|ADMIN</w:t>
        <w:br/>
        <w:t xml:space="preserve">  email                    VARCHAR(255) NOT NULL, phone VARCHAR(50) NULL, address TEXT NULL,</w:t>
        <w:br/>
        <w:t xml:space="preserve">  verification_status      VARCHAR(20) NOT NULL DEFAULT 'PENDING', -- PENDING|VERIFIED|REJECTED</w:t>
        <w:br/>
        <w:t xml:space="preserve">  authorization_expires_at TIMESTAMP NULL,       -- nhập tay từ giấy tờ; NULL = vô thời hạn</w:t>
        <w:br/>
        <w:t xml:space="preserve">  locked_until             TIMESTAMP(3) NULL,      -- projection từ reputation</w:t>
        <w:br/>
        <w:t xml:space="preserve">  last_lock_revision       BIGINT NOT NULL DEFAULT 0,</w:t>
        <w:br/>
        <w:t xml:space="preserve">  verified_by_actor_id     VARCHAR(255) NULL, verified_at TIMESTAMP(3) NULL,</w:t>
        <w:br/>
        <w:t xml:space="preserve">  rejection_reason         TEXT NULL,</w:t>
        <w:br/>
        <w:t xml:space="preserve">  created_at               TIMESTAMP NOT NULL, updated_at TIMESTAMP NOT NULL</w:t>
        <w:br/>
        <w:t>);</w:t>
      </w:r>
    </w:p>
    <w:p>
      <w:pPr>
        <w:pStyle w:val="Heading3"/>
        <w:spacing w:before="240" w:after="80"/>
        <w:rPr/>
      </w:pPr>
      <w:bookmarkStart w:id="101" w:name="__RefHeading___Toc5688_AgriContract"/>
      <w:bookmarkEnd w:id="101"/>
      <w:r>
        <w:rPr>
          <w:rFonts w:eastAsia="Calibri" w:cs="Calibri" w:ascii="Calibri" w:hAnsi="Calibri"/>
          <w:b/>
          <w:bCs/>
          <w:color w:val="1F2A37"/>
          <w:sz w:val="22"/>
          <w:szCs w:val="22"/>
        </w:rPr>
        <w:t>2.2 Xác minh thẩm quyền đại diện (KYC)</w:t>
      </w:r>
    </w:p>
    <w:p>
      <w:pPr>
        <w:pStyle w:val="Normal"/>
        <w:spacing w:lineRule="auto" w:line="276" w:before="0" w:after="120"/>
        <w:jc w:val="both"/>
        <w:rPr/>
      </w:pPr>
      <w:r>
        <w:rPr>
          <w:rFonts w:eastAsia="Calibri" w:cs="Calibri"/>
          <w:b w:val="false"/>
          <w:bCs w:val="false"/>
          <w:i w:val="false"/>
          <w:iCs w:val="false"/>
          <w:color w:val="111827"/>
          <w:sz w:val="21"/>
          <w:szCs w:val="21"/>
        </w:rPr>
        <w:t>Gate lúc đăng ký tài khoản, fail-closed — chưa qua duyệt thì không tạo được listing/không ký được hợp đồng. Áp dụng ĐỐI XỨNG cho cả buyer và seller (Điều 142 không phân biệt bên nào yếu thế). Nội dung xác minh khác theo vai trò:</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BUYER / SELLER: </w:t>
      </w:r>
      <w:r>
        <w:rPr>
          <w:rFonts w:eastAsia="Calibri" w:cs="Calibri"/>
          <w:b w:val="false"/>
          <w:bCs w:val="false"/>
          <w:i w:val="false"/>
          <w:iCs w:val="false"/>
          <w:color w:val="111827"/>
          <w:sz w:val="21"/>
          <w:szCs w:val="21"/>
        </w:rPr>
        <w:t>thẩm quyền đại diện — người ký có phải người có quyền đại diện pháp nhân (giấy đăng ký kinh doanh + xác nhận người đại diện/giấy uỷ quyền).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INSPECTOR (Level 1.5): </w:t>
      </w:r>
      <w:r>
        <w:rPr>
          <w:rFonts w:eastAsia="Calibri" w:cs="Calibri"/>
          <w:b w:val="false"/>
          <w:bCs w:val="false"/>
          <w:i w:val="false"/>
          <w:iCs w:val="false"/>
          <w:color w:val="111827"/>
          <w:sz w:val="21"/>
          <w:szCs w:val="21"/>
        </w:rPr>
        <w:t>giấy phép hoạt động kiểm định thương mại — tổ chức có đủ tư cách phát hành report làm bằng chứng.</w:t>
      </w:r>
    </w:p>
    <w:p>
      <w:pPr>
        <w:pStyle w:val="Normal"/>
        <w:spacing w:lineRule="auto" w:line="276" w:before="0" w:after="120"/>
        <w:jc w:val="both"/>
        <w:rPr/>
      </w:pPr>
      <w:r>
        <w:rPr>
          <w:rFonts w:eastAsia="Calibri" w:cs="Calibri"/>
          <w:b w:val="false"/>
          <w:bCs w:val="false"/>
          <w:i w:val="false"/>
          <w:iCs w:val="false"/>
          <w:color w:val="111827"/>
          <w:sz w:val="21"/>
          <w:szCs w:val="21"/>
        </w:rPr>
        <w:t>authorizationExpiresAt do OPERATOR/ADMIN nhập lúc duyệt, đọc trực tiếp từ ngày hết hạn ghi trên giấy tờ — KHÔNG hardcode một hằng số chung (giấy tờ khác nhau có hạn khác nhau; hardcode gây chặn nhầm người còn hạn dài hoặc cho ký khi giấy đã hết hạn thật). NULL nếu vô thời hạn. Khác tầng với session freshness (đo bằng phút, xác nhận vừa xác thực) — authorization expiry đo bằng tháng/năm, xác nhận thẩm quyền còn hiệu lực; hai câu hỏi độc lập.</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Căn cứ pháp lý — Bộ luật Dân sự 2015, Điều 142. </w:t>
      </w:r>
      <w:r>
        <w:rPr>
          <w:rFonts w:eastAsia="Calibri" w:cs="Calibri"/>
          <w:color w:val="374151"/>
          <w:sz w:val="20"/>
          <w:szCs w:val="20"/>
        </w:rPr>
        <w:t>Giao dịch do người không có thẩm quyền đại diện xác lập có thể bị tuyên vô hiệu. Gate xác minh trước khi kích hoạt tài khoản (fail-closed) là biện pháp kiến trúc trực tiếp chống rủi ro hợp đồng vô hiệu.</w:t>
      </w:r>
    </w:p>
    <w:p>
      <w:pPr>
        <w:pStyle w:val="Heading3"/>
        <w:spacing w:before="240" w:after="80"/>
        <w:rPr/>
      </w:pPr>
      <w:bookmarkStart w:id="102" w:name="__RefHeading___Toc5690_AgriContract"/>
      <w:bookmarkEnd w:id="102"/>
      <w:r>
        <w:rPr>
          <w:rFonts w:eastAsia="Calibri" w:cs="Calibri" w:ascii="Calibri" w:hAnsi="Calibri"/>
          <w:b/>
          <w:bCs/>
          <w:color w:val="1F2A37"/>
          <w:sz w:val="22"/>
          <w:szCs w:val="22"/>
        </w:rPr>
        <w:t>2.3 Cưỡng chế khoá tài khoản</w:t>
      </w:r>
    </w:p>
    <w:p>
      <w:pPr>
        <w:pStyle w:val="Normal"/>
        <w:spacing w:lineRule="auto" w:line="276" w:before="0" w:after="120"/>
        <w:jc w:val="both"/>
        <w:rPr/>
      </w:pPr>
      <w:r>
        <w:rPr>
          <w:rFonts w:eastAsia="Calibri" w:cs="Calibri"/>
          <w:b w:val="false"/>
          <w:bCs w:val="false"/>
          <w:i w:val="false"/>
          <w:iCs w:val="false"/>
          <w:color w:val="111827"/>
          <w:sz w:val="21"/>
          <w:szCs w:val="21"/>
        </w:rPr>
        <w:t>Không thể chặn ở Keycloak (chỉ biết identity + role, không biết business lock state). user-service là nơi enforce thật:</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Consume reputation.locked/unlocked kèm lockRevision; chỉ apply atomic khi revision &gt; lastLockRevision. locked dùng max(current,incoming); unlocked set đúng effectiveLockedUntil do reputation tính lại. Sau commit publish notification.user_lock_changed_requested đã enrich recipient email.</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Expose InternalUserInfo qua endpoint /internal/v1/users/{id} cho contract-service sign() (fail-closed) — trả verificationStatus, authorizationExpiresAt và lockedUntil cùng DTO nội bộ.</w:t>
      </w:r>
    </w:p>
    <w:p>
      <w:pPr>
        <w:pStyle w:val="ListParagraph"/>
        <w:numPr>
          <w:ilvl w:val="0"/>
          <w:numId w:val="2"/>
        </w:numPr>
        <w:spacing w:lineRule="auto" w:line="276" w:before="0" w:after="60"/>
        <w:rPr/>
      </w:pPr>
      <w:r>
        <w:rPr>
          <w:rFonts w:eastAsia="Calibri" w:cs="Calibri"/>
          <w:b w:val="false"/>
          <w:bCs w:val="false"/>
          <w:i w:val="false"/>
          <w:iCs w:val="false"/>
          <w:color w:val="111827"/>
          <w:sz w:val="21"/>
          <w:szCs w:val="21"/>
        </w:rPr>
        <w:t>CreateListing, CreateOffer và sign() đều kiểm KYC/thẩm quyền/lock fail-closed; user-service down → 503/reject qua circuit-breaker, không cho người chưa KYC/đang khoá lách policy.</w:t>
      </w:r>
    </w:p>
    <w:p>
      <w:pPr>
        <w:pStyle w:val="Normal"/>
        <w:spacing w:lineRule="auto" w:line="276" w:before="0" w:after="120"/>
        <w:jc w:val="both"/>
        <w:rPr/>
      </w:pPr>
      <w:r>
        <w:rPr>
          <w:rFonts w:eastAsia="Calibri" w:cs="Calibri"/>
          <w:b w:val="false"/>
          <w:bCs w:val="false"/>
          <w:i w:val="false"/>
          <w:iCs w:val="false"/>
          <w:color w:val="111827"/>
          <w:sz w:val="21"/>
          <w:szCs w:val="21"/>
        </w:rPr>
        <w:t>Hai tầng không thừa nhau: khoá chỉ chặn tạo mới, không hồi tố hợp đồng đã ACTIVE/SIGNED. Seller sạch lúc tạo offer, dính khoá giữa đàm phán — chỉ sign() check lại mới bắt được.</w:t>
      </w:r>
    </w:p>
    <w:p>
      <w:pPr>
        <w:pStyle w:val="Heading3"/>
        <w:spacing w:before="240" w:after="80"/>
        <w:rPr/>
      </w:pPr>
      <w:bookmarkStart w:id="103" w:name="__RefHeading___Toc5692_AgriContract"/>
      <w:bookmarkEnd w:id="103"/>
      <w:r>
        <w:rPr>
          <w:rFonts w:eastAsia="Calibri" w:cs="Calibri" w:ascii="Calibri" w:hAnsi="Calibri"/>
          <w:b/>
          <w:bCs/>
          <w:color w:val="1F2A37"/>
          <w:sz w:val="22"/>
          <w:szCs w:val="22"/>
        </w:rPr>
        <w:t>2.4 API</w:t>
      </w:r>
    </w:p>
    <w:tbl>
      <w:tblPr>
        <w:tblW w:w="9638" w:type="dxa"/>
        <w:jc w:val="start"/>
        <w:tblInd w:w="0" w:type="dxa"/>
        <w:tblLayout w:type="fixed"/>
        <w:tblCellMar>
          <w:top w:w="60" w:type="dxa"/>
          <w:start w:w="90" w:type="dxa"/>
          <w:bottom w:w="60" w:type="dxa"/>
          <w:end w:w="90" w:type="dxa"/>
        </w:tblCellMar>
      </w:tblPr>
      <w:tblGrid>
        <w:gridCol w:w="4399"/>
        <w:gridCol w:w="1501"/>
        <w:gridCol w:w="3738"/>
      </w:tblGrid>
      <w:tr>
        <w:trPr>
          <w:tblHeader w:val="true"/>
        </w:trPr>
        <w:tc>
          <w:tcPr>
            <w:tcW w:w="43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Endpoint</w:t>
            </w:r>
          </w:p>
        </w:tc>
        <w:tc>
          <w:tcPr>
            <w:tcW w:w="15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37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Mô tả</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/api/v1/users/register</w:t>
            </w:r>
          </w:p>
        </w:tc>
        <w:tc>
          <w:tcPr>
            <w:tcW w:w="1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authenticated</w:t>
            </w:r>
          </w:p>
        </w:tc>
        <w:tc>
          <w:tcPr>
            <w:tcW w:w="3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Đăng ký profile KYC (PENDING), idempotent theo Keycloak sub</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GET /api/v1/users/me</w:t>
            </w:r>
          </w:p>
        </w:tc>
        <w:tc>
          <w:tcPr>
            <w:tcW w:w="1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chính chủ</w:t>
            </w:r>
          </w:p>
        </w:tc>
        <w:tc>
          <w:tcPr>
            <w:tcW w:w="3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Profile đầy đủ: contact, KYC, authorization, lock</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GET /api/v1/users/{id}</w:t>
            </w:r>
          </w:p>
        </w:tc>
        <w:tc>
          <w:tcPr>
            <w:tcW w:w="1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authenticated</w:t>
            </w:r>
          </w:p>
        </w:tc>
        <w:tc>
          <w:tcPr>
            <w:tcW w:w="3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PublicUserResponse — KHÔNG email/phone/address</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GET /api/v1/admin/users?verificationStatus=PENDING</w:t>
            </w:r>
          </w:p>
        </w:tc>
        <w:tc>
          <w:tcPr>
            <w:tcW w:w="1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ADMIN/OPERATOR</w:t>
            </w:r>
          </w:p>
        </w:tc>
        <w:tc>
          <w:tcPr>
            <w:tcW w:w="3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Hàng đợi duyệt KYC</w:t>
            </w:r>
          </w:p>
        </w:tc>
      </w:tr>
      <w:tr>
        <w:trPr/>
        <w:tc>
          <w:tcPr>
            <w:tcW w:w="43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POST /api/v1/admin/users/{id}/verify | /reject</w:t>
            </w:r>
          </w:p>
        </w:tc>
        <w:tc>
          <w:tcPr>
            <w:tcW w:w="15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7"/>
                <w:szCs w:val="17"/>
              </w:rPr>
              <w:t>ADMIN/OPERATOR</w:t>
            </w:r>
          </w:p>
        </w:tc>
        <w:tc>
          <w:tcPr>
            <w:tcW w:w="37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Duyệt hoặc từ chối; verifiedByActorId</w:t>
            </w:r>
          </w:p>
        </w:tc>
      </w:tr>
      <w:tr>
        <w:trPr/>
        <w:tc>
          <w:tcPr>
            <w:tcW w:w="43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GET /internal/v1/users/{id}</w:t>
            </w:r>
          </w:p>
        </w:tc>
        <w:tc>
          <w:tcPr>
            <w:tcW w:w="15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7"/>
                <w:szCs w:val="17"/>
              </w:rPr>
              <w:t>service nội bộ</w:t>
            </w:r>
          </w:p>
        </w:tc>
        <w:tc>
          <w:tcPr>
            <w:tcW w:w="37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InternalUserInfoResponse có email/KYC/authorization/lock; Gateway không route</w:t>
            </w:r>
          </w:p>
        </w:tc>
      </w:tr>
    </w:tbl>
    <w:p>
      <w:pPr>
        <w:pStyle w:val="Heading2"/>
        <w:pBdr>
          <w:bottom w:val="single" w:sz="6" w:space="6" w:color="D1D5DB"/>
        </w:pBdr>
        <w:spacing w:before="320" w:after="120"/>
        <w:rPr/>
      </w:pPr>
      <w:bookmarkStart w:id="104" w:name="__RefHeading___Toc5694_AgriContract"/>
      <w:bookmarkEnd w:id="104"/>
      <w:r>
        <w:rPr>
          <w:rFonts w:eastAsia="Calibri" w:cs="Calibri" w:ascii="Calibri" w:hAnsi="Calibri"/>
          <w:b/>
          <w:bCs/>
          <w:color w:val="1F2A37"/>
          <w:sz w:val="25"/>
          <w:szCs w:val="25"/>
        </w:rPr>
        <w:t>3. notification-service</w:t>
      </w:r>
    </w:p>
    <w:p>
      <w:pPr>
        <w:pStyle w:val="Normal"/>
        <w:spacing w:lineRule="auto" w:line="276" w:before="0" w:after="120"/>
        <w:jc w:val="both"/>
        <w:rPr/>
      </w:pPr>
      <w:r>
        <w:rPr>
          <w:rFonts w:eastAsia="Calibri" w:cs="Calibri"/>
          <w:b w:val="false"/>
          <w:bCs w:val="false"/>
          <w:i w:val="false"/>
          <w:iCs w:val="false"/>
          <w:color w:val="111827"/>
          <w:sz w:val="21"/>
          <w:szCs w:val="21"/>
        </w:rPr>
        <w:t>Không sở hữu nghiệp vụ lõi, OTP hay hash. Notification command đi qua RabbitMQ; riêng OTP dùng internal synchronous API để caller chỉ báo đã gửi khi provider accepted. Không có end-user API và Gateway không route bất kỳ notification endpoint nào; recipient/attachment reference do publisher quyết định.</w:t>
      </w:r>
    </w:p>
    <w:tbl>
      <w:tblPr>
        <w:tblW w:w="9638" w:type="dxa"/>
        <w:jc w:val="start"/>
        <w:tblInd w:w="0" w:type="dxa"/>
        <w:tblLayout w:type="fixed"/>
        <w:tblCellMar>
          <w:top w:w="60" w:type="dxa"/>
          <w:start w:w="90" w:type="dxa"/>
          <w:bottom w:w="60" w:type="dxa"/>
          <w:end w:w="90" w:type="dxa"/>
        </w:tblCellMar>
      </w:tblPr>
      <w:tblGrid>
        <w:gridCol w:w="3000"/>
        <w:gridCol w:w="6637"/>
      </w:tblGrid>
      <w:tr>
        <w:trPr>
          <w:tblHeader w:val="true"/>
        </w:trPr>
        <w:tc>
          <w:tcPr>
            <w:tcW w:w="30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Vai trò</w:t>
            </w:r>
          </w:p>
        </w:tc>
        <w:tc>
          <w:tcPr>
            <w:tcW w:w="66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Cơ chế</w:t>
            </w:r>
          </w:p>
        </w:tc>
      </w:tr>
      <w:tr>
        <w:trPr/>
        <w:tc>
          <w:tcPr>
            <w:tcW w:w="3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Gửi OTP ký</w:t>
            </w:r>
          </w:p>
        </w:tc>
        <w:tc>
          <w:tcPr>
            <w:tcW w:w="66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InitiateSign → gửi email OTP kèm signedContentHash (vừa xác thực người, vừa gắn đúng nội dung ký)</w:t>
            </w:r>
          </w:p>
        </w:tc>
      </w:tr>
      <w:tr>
        <w:trPr/>
        <w:tc>
          <w:tcPr>
            <w:tcW w:w="3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Neo hash qua email</w:t>
            </w:r>
          </w:p>
        </w:tc>
        <w:tc>
          <w:tcPr>
            <w:tcW w:w="66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Sau mỗi sign() và mỗi inspection report submit → gửi hash cho cả hai bên (điểm neo NGOÀI nền tảng); đính .ots tại milestone.settled</w:t>
            </w:r>
          </w:p>
        </w:tc>
      </w:tr>
      <w:tr>
        <w:trPr/>
        <w:tc>
          <w:tcPr>
            <w:tcW w:w="3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Weekly digest</w:t>
            </w:r>
          </w:p>
        </w:tc>
        <w:tc>
          <w:tcPr>
            <w:tcW w:w="66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Hash toàn chuỗi gửi nhiều địa chỉ phía Software Buyer (không chỉ một người)</w:t>
            </w:r>
          </w:p>
        </w:tc>
      </w:tr>
      <w:tr>
        <w:trPr/>
        <w:tc>
          <w:tcPr>
            <w:tcW w:w="3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Alert verify-fail</w:t>
            </w:r>
          </w:p>
        </w:tc>
        <w:tc>
          <w:tcPr>
            <w:tcW w:w="66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VerifyChainJob fail → gửi SONG SONG Admin + nhiều contact Software Buyer, không qua gatekeeper</w:t>
            </w:r>
          </w:p>
        </w:tc>
      </w:tr>
    </w:tbl>
    <w:p>
      <w:pPr>
        <w:pStyle w:val="Normal"/>
        <w:spacing w:lineRule="auto" w:line="276" w:before="0" w:after="120"/>
        <w:jc w:val="both"/>
        <w:rPr/>
      </w:pPr>
      <w:r>
        <w:rPr>
          <w:rFonts w:eastAsia="Calibri" w:cs="Calibri"/>
          <w:b/>
          <w:bCs/>
          <w:i w:val="false"/>
          <w:iCs w:val="false"/>
          <w:color w:val="111827"/>
          <w:sz w:val="21"/>
          <w:szCs w:val="21"/>
        </w:rPr>
        <w:t xml:space="preserve">Recipient, idempotency &amp; retry: </w:t>
      </w:r>
      <w:r>
        <w:rPr>
          <w:rFonts w:eastAsia="Calibri" w:cs="Calibri"/>
          <w:b w:val="false"/>
          <w:bCs w:val="false"/>
          <w:i w:val="false"/>
          <w:iCs w:val="false"/>
          <w:color w:val="111827"/>
          <w:sz w:val="21"/>
          <w:szCs w:val="21"/>
        </w:rPr>
        <w:t>publisher mang recipient email trong event; notification không Feign ngược user-service. Dedup theo (eventId hoặc sourceEventId, recipientEmail, notificationType) để một event gửi đúng một lần cho từng người/loại mail. Async retry 3 lần exponential backoff trước DLX. OTP sync không tự gửi muộn sau khi caller đã nhận failure.</w:t>
      </w:r>
    </w:p>
    <w:p>
      <w:pPr>
        <w:pStyle w:val="Normal"/>
        <w:spacing w:lineRule="auto" w:line="276" w:before="0" w:after="120"/>
        <w:jc w:val="both"/>
        <w:rPr/>
      </w:pPr>
      <w:r>
        <w:rPr>
          <w:rFonts w:eastAsia="Calibri" w:cs="Calibri"/>
          <w:b w:val="false"/>
          <w:bCs w:val="false"/>
          <w:i w:val="false"/>
          <w:iCs w:val="false"/>
          <w:color w:val="111827"/>
          <w:sz w:val="21"/>
          <w:szCs w:val="21"/>
        </w:rPr>
        <w:t>Evidence attachment: milestone anchor mail đính .ots; contract anchor render ContractTerms snapshot + signedContentHash trong body. NotificationLog chỉ lưu attachment SHA-256/size, không lưu bytes hay OTP/full body. notification.reconciliation_mismatch_requested chỉ gửi ADMIN, không fan-out và không auto-fix.</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notification_log (</w:t>
        <w:br/>
        <w:t xml:space="preserve">  notification_id CHAR(36) PRIMARY KEY,</w:t>
        <w:br/>
        <w:t xml:space="preserve">  event_id         VARCHAR(255) NOT NULL, event_type VARCHAR(100) NOT NULL,</w:t>
        <w:br/>
        <w:t xml:space="preserve">  notification_type VARCHAR(100) NOT NULL, recipient_id CHAR(36) NULL,</w:t>
        <w:br/>
        <w:t xml:space="preserve">  recipient_email VARCHAR(255) NOT NULL, channel VARCHAR(10) NOT NULL,</w:t>
        <w:br/>
        <w:t xml:space="preserve">  template_version VARCHAR(50) NOT NULL, status VARCHAR(10) NOT NULL, -- PENDING|SENT|FAILED</w:t>
        <w:br/>
        <w:t xml:space="preserve">  retry_count INT NOT NULL DEFAULT 0, provider_message_id VARCHAR(255) NULL,</w:t>
        <w:br/>
        <w:t xml:space="preserve">  attachment_sha256 VARCHAR(64) NULL, attachment_size BIGINT NULL,</w:t>
        <w:br/>
        <w:t xml:space="preserve">  failure_reason TEXT NULL, sent_at TIMESTAMP(3) NULL,</w:t>
        <w:br/>
        <w:t xml:space="preserve">  UNIQUE(event_id, recipient_email, notification_type)</w:t>
        <w:br/>
        <w:t>);</w:t>
        <w:br/>
        <w:t>-- Evidence/security template version trong code/resources; DB log đúng version đã gửi.</w:t>
      </w:r>
    </w:p>
    <w:p>
      <w:pPr>
        <w:pStyle w:val="Heading2"/>
        <w:pBdr>
          <w:bottom w:val="single" w:sz="6" w:space="6" w:color="D1D5DB"/>
        </w:pBdr>
        <w:spacing w:before="320" w:after="120"/>
        <w:rPr/>
      </w:pPr>
      <w:bookmarkStart w:id="105" w:name="__RefHeading___Toc5696_AgriContract"/>
      <w:bookmarkEnd w:id="105"/>
      <w:r>
        <w:rPr>
          <w:rFonts w:eastAsia="Calibri" w:cs="Calibri" w:ascii="Calibri" w:hAnsi="Calibri"/>
          <w:b/>
          <w:bCs/>
          <w:color w:val="1F2A37"/>
          <w:sz w:val="25"/>
          <w:szCs w:val="25"/>
        </w:rPr>
        <w:t>4. analytics-service</w:t>
      </w:r>
    </w:p>
    <w:p>
      <w:pPr>
        <w:pStyle w:val="Heading3"/>
        <w:spacing w:before="240" w:after="80"/>
        <w:rPr/>
      </w:pPr>
      <w:bookmarkStart w:id="106" w:name="__RefHeading___Toc5698_AgriContract"/>
      <w:bookmarkEnd w:id="106"/>
      <w:r>
        <w:rPr>
          <w:rFonts w:eastAsia="Calibri" w:cs="Calibri" w:ascii="Calibri" w:hAnsi="Calibri"/>
          <w:b/>
          <w:bCs/>
          <w:color w:val="1F2A37"/>
          <w:sz w:val="22"/>
          <w:szCs w:val="22"/>
        </w:rPr>
        <w:t>4.1 Event-driven projection + derived-signal producer</w:t>
      </w:r>
    </w:p>
    <w:p>
      <w:pPr>
        <w:pStyle w:val="Normal"/>
        <w:spacing w:lineRule="auto" w:line="276" w:before="0" w:after="120"/>
        <w:jc w:val="both"/>
        <w:rPr/>
      </w:pPr>
      <w:r>
        <w:rPr>
          <w:rFonts w:eastAsia="Calibri" w:cs="Calibri"/>
          <w:b w:val="false"/>
          <w:bCs w:val="false"/>
          <w:i w:val="false"/>
          <w:iCs w:val="false"/>
          <w:color w:val="111827"/>
          <w:sz w:val="21"/>
          <w:szCs w:val="21"/>
        </w:rPr>
        <w:t>analytics-service là event-driven projection/CQRS read model kiêm derived-signal producer: dữ liệu vào từ RabbitMQ và AmlPatternScanJob có thể publish signal, nhưng service không nằm trên transaction critical path và không gọi đồng bộ REST/Feign ngược core service. Stack MySQL 8 + Redis + RabbitMQ + @Scheduled; analytics sập không được làm contract/bank sập theo.</w:t>
      </w:r>
    </w:p>
    <w:p>
      <w:pPr>
        <w:pStyle w:val="Heading3"/>
        <w:spacing w:before="240" w:after="80"/>
        <w:rPr/>
      </w:pPr>
      <w:bookmarkStart w:id="107" w:name="__RefHeading___Toc5700_AgriContract"/>
      <w:bookmarkEnd w:id="107"/>
      <w:r>
        <w:rPr>
          <w:rFonts w:eastAsia="Calibri" w:cs="Calibri" w:ascii="Calibri" w:hAnsi="Calibri"/>
          <w:b/>
          <w:bCs/>
          <w:color w:val="1F2A37"/>
          <w:sz w:val="22"/>
          <w:szCs w:val="22"/>
        </w:rPr>
        <w:t>4.2 Read model — Star schema thu nhỏ (hybrid)</w:t>
      </w:r>
    </w:p>
    <w:p>
      <w:pPr>
        <w:pStyle w:val="Normal"/>
        <w:spacing w:lineRule="auto" w:line="276" w:before="0" w:after="120"/>
        <w:jc w:val="both"/>
        <w:rPr/>
      </w:pPr>
      <w:r>
        <w:rPr>
          <w:rFonts w:eastAsia="Calibri" w:cs="Calibri"/>
          <w:b w:val="false"/>
          <w:bCs w:val="false"/>
          <w:i w:val="false"/>
          <w:iCs w:val="false"/>
          <w:color w:val="111827"/>
          <w:sz w:val="21"/>
          <w:szCs w:val="21"/>
        </w:rPr>
        <w:t>Tách bảng Dimension (thông tin tĩnh) và Fact/Aggregate (số liệu). Kết hợp hai chiến lược để vừa ghi nhanh vừa đọc nhanh:</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Dimension (dim_contract): </w:t>
      </w:r>
      <w:r>
        <w:rPr>
          <w:rFonts w:eastAsia="Calibri" w:cs="Calibri"/>
          <w:b w:val="false"/>
          <w:bCs w:val="false"/>
          <w:i w:val="false"/>
          <w:iCs w:val="false"/>
          <w:color w:val="111827"/>
          <w:sz w:val="21"/>
          <w:szCs w:val="21"/>
        </w:rPr>
        <w:t>populate từ contract.signed (mới, xem Phần 2 §7) — event cấp Contract publish đúng 1 lần lúc SIGNED, mang commodity/buyerId/sellerId/totalAmount. Đây là điểm ingest duy nhất của dim_contract; trước rà soát 06/07/2026, bảng này tồn tại trên schema nhưng chưa từng được wire vào event nào.</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Fact tables (ghi incremental, không khoá bảng): </w:t>
      </w:r>
      <w:r>
        <w:rPr>
          <w:rFonts w:eastAsia="Calibri" w:cs="Calibri"/>
          <w:b w:val="false"/>
          <w:bCs w:val="false"/>
          <w:i w:val="false"/>
          <w:iCs w:val="false"/>
          <w:color w:val="111827"/>
          <w:sz w:val="21"/>
          <w:szCs w:val="21"/>
        </w:rPr>
        <w:t>lưu event thô append-only — fact_milestone_performance (granularity Milestone), fact_contract_settlement (mới, granularity Contract, nguồn contract.settled), fact_contract_cancellation (granularity Contract, nguồn contract.cancelled). Ghi nhanh, triệt tiêu table-lock contention.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Aggregate tables (pre-computed, đọc O(1)): </w:t>
      </w:r>
      <w:r>
        <w:rPr>
          <w:rFonts w:eastAsia="Calibri" w:cs="Calibri"/>
          <w:b w:val="false"/>
          <w:bCs w:val="false"/>
          <w:i w:val="false"/>
          <w:iCs w:val="false"/>
          <w:color w:val="111827"/>
          <w:sz w:val="21"/>
          <w:szCs w:val="21"/>
        </w:rPr>
        <w:t>agg_monthly_commodity_stats — do job @Scheduled quét fact mỗi đêm, tính sẵn rate (%) ghi thẳng vào cột, API chỉ SELECT.</w:t>
      </w:r>
    </w:p>
    <w:p>
      <w:pPr>
        <w:pStyle w:val="Normal"/>
        <w:pBdr>
          <w:top w:val="single" w:sz="2" w:space="6" w:color="D1D5DB"/>
          <w:left w:val="single" w:sz="12" w:space="10" w:color="374151"/>
          <w:bottom w:val="single" w:sz="2" w:space="6" w:color="D1D5DB"/>
          <w:right w:val="single" w:sz="2" w:space="6" w:color="D1D5DB"/>
        </w:pBdr>
        <w:shd w:val="clear" w:color="auto" w:fill="F3F4F6"/>
        <w:spacing w:lineRule="auto" w:line="264" w:before="120" w:after="140"/>
        <w:ind w:start="60" w:end="60"/>
        <w:rPr/>
      </w:pPr>
      <w:r>
        <w:rPr>
          <w:rFonts w:eastAsia="Calibri" w:cs="Calibri"/>
          <w:b/>
          <w:bCs/>
          <w:color w:val="1F2A37"/>
          <w:sz w:val="20"/>
          <w:szCs w:val="20"/>
        </w:rPr>
        <w:t xml:space="preserve">Idempotency bắt buộc. </w:t>
      </w:r>
      <w:r>
        <w:rPr>
          <w:rFonts w:eastAsia="Calibri" w:cs="Calibri"/>
          <w:color w:val="374151"/>
          <w:sz w:val="20"/>
          <w:szCs w:val="20"/>
        </w:rPr>
        <w:t>RabbitMQ at-least-once: nếu milestone.settled bị gửi lại 2 lần, số tiền báo cáo bị nhân đôi — analytics nhạy cảm không kém bank. Bảng analytics_idempotency_log theo message_id chặn xử lý trùng.</w:t>
      </w:r>
    </w:p>
    <w:p>
      <w:pPr>
        <w:pStyle w:val="Normal"/>
        <w:pBdr>
          <w:top w:val="single" w:sz="2" w:space="6" w:color="D1D5DB"/>
          <w:left w:val="single" w:sz="12" w:space="10" w:color="B45454"/>
          <w:bottom w:val="single" w:sz="2" w:space="6" w:color="D1D5DB"/>
          <w:right w:val="single" w:sz="2" w:space="6" w:color="D1D5DB"/>
        </w:pBdr>
        <w:shd w:val="clear" w:color="auto" w:fill="FDF2F2"/>
        <w:spacing w:lineRule="auto" w:line="264" w:before="120" w:after="140"/>
        <w:ind w:start="60" w:end="60"/>
        <w:rPr/>
      </w:pPr>
      <w:r>
        <w:rPr>
          <w:rFonts w:eastAsia="Calibri" w:cs="Calibri"/>
          <w:b/>
          <w:bCs/>
          <w:color w:val="1F2A37"/>
          <w:sz w:val="20"/>
          <w:szCs w:val="20"/>
        </w:rPr>
        <w:t xml:space="preserve">Bug fix rà soát 06/07/2026 — granularity sai + race condition. </w:t>
      </w:r>
      <w:r>
        <w:rPr>
          <w:rFonts w:eastAsia="Calibri" w:cs="Calibri"/>
          <w:color w:val="374151"/>
          <w:sz w:val="20"/>
          <w:szCs w:val="20"/>
        </w:rPr>
        <w:t>(1) total_contracts_settled không thể đếm đúng từ fact_milestone_performance (granularity Milestone ≠ Contract — một hợp đồng dở dang vẫn có milestone đã SETTLED). Cần fact_contract_settlement riêng, nguồn contract.settled. (2) has_force_majeure hầu như luôn sai nếu chỉ UPDATE trực tiếp: milestone.force_majeure_resolved luôn tới TRƯỚC khi milestone đạt trạng thái cuối, nên fact row chưa tồn tại lúc UPDATE chạy. Giải pháp: bảng staging pending_force_majeure_flag — ghi tạm lúc resolved tới sớm, merge vào đúng lúc INSERT fact row.</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CREATE TABLE dim_contract (</w:t>
        <w:br/>
        <w:t xml:space="preserve">  contract_id CHAR(36) PRIMARY KEY, commodity VARCHAR(50) NOT NULL,</w:t>
        <w:br/>
        <w:t xml:space="preserve">  buyer_id CHAR(36) NOT NULL, seller_id CHAR(36) NOT NULL, total_amount DECIMAL(15,2) NOT NULL,</w:t>
        <w:br/>
        <w:t xml:space="preserve">  signed_at TIMESTAMP NOT NULL</w:t>
        <w:br/>
        <w:t>);</w:t>
        <w:br/>
        <w:t>CREATE TABLE fact_milestone_performance (</w:t>
        <w:br/>
        <w:t xml:space="preserve">  fact_id CHAR(36) PRIMARY KEY, contract_id CHAR(36) NOT NULL, milestone_id CHAR(36) NOT NULL,</w:t>
        <w:br/>
        <w:t xml:space="preserve">  status VARCHAR(20) NOT NULL,           -- SETTLED | CANCELLED_WITH_PENALTY</w:t>
        <w:br/>
        <w:t xml:space="preserve">  locked_amount DECIMAL(15,2) NOT NULL, actual_amount DECIMAL(15,2) NOT NULL,</w:t>
        <w:br/>
        <w:t xml:space="preserve">  delta_shortfall_amount DECIMAL(15,2) NOT NULL,  -- locked - actual</w:t>
        <w:br/>
        <w:t xml:space="preserve">  has_force_majeure BOOLEAN NOT NULL DEFAULT FALSE, resolved_at TIMESTAMP NOT NULL</w:t>
        <w:br/>
        <w:t>);</w:t>
        <w:br/>
        <w:t>CREATE TABLE fact_contract_settlement (         -- mới 06/07/2026, xem 4.2</w:t>
        <w:br/>
        <w:t xml:space="preserve">  fact_id CHAR(36) PRIMARY KEY, contract_id CHAR(36) NOT NULL, settled_at TIMESTAMP NOT NULL</w:t>
        <w:br/>
        <w:t>);</w:t>
        <w:br/>
        <w:t>CREATE TABLE fact_contract_cancellation (</w:t>
        <w:br/>
        <w:t xml:space="preserve">  fact_id CHAR(36) PRIMARY KEY, contract_id CHAR(36) NOT NULL,</w:t>
        <w:br/>
        <w:t xml:space="preserve">  initiated_by VARCHAR(10) NOT NULL, cancelled_at TIMESTAMP NOT NULL</w:t>
        <w:br/>
        <w:t>);</w:t>
        <w:br/>
        <w:t>CREATE TABLE pending_force_majeure_flag (       -- staging, mới 06/07/2026, xem 4.2</w:t>
        <w:br/>
        <w:t xml:space="preserve">  milestone_id CHAR(36) PRIMARY KEY, flagged_at TIMESTAMP NOT NULL</w:t>
        <w:br/>
        <w:t>);</w:t>
        <w:br/>
        <w:t>CREATE TABLE agg_monthly_commodity_stats (</w:t>
        <w:br/>
        <w:t xml:space="preserve">  month_id VARCHAR(7) NOT NULL, commodity VARCHAR(50) NOT NULL,</w:t>
        <w:br/>
        <w:t xml:space="preserve">  total_contracts_settled INT NOT NULL DEFAULT 0, total_contracts_cancelled INT NOT NULL DEFAULT 0,</w:t>
        <w:br/>
        <w:t xml:space="preserve">  cancellation_rate DECIMAL(5,4) NOT NULL DEFAULT 0, force_majeure_incidents INT NOT NULL DEFAULT 0,</w:t>
        <w:br/>
        <w:t xml:space="preserve">  total_value_settled DECIMAL(15,2) NOT NULL DEFAULT 0, escrow_efficiency_rate DECIMAL(5,4) NOT NULL DEFAULT 0,</w:t>
        <w:br/>
        <w:t xml:space="preserve">  PRIMARY KEY (month_id, commodity)</w:t>
        <w:br/>
        <w:t>);</w:t>
        <w:br/>
        <w:t>CREATE TABLE analytics_idempotency_log ( message_id VARCHAR(255) PRIMARY KEY, processed_at TIMESTAMP NOT NULL DEFAULT now() );</w:t>
      </w:r>
    </w:p>
    <w:p>
      <w:pPr>
        <w:pStyle w:val="Heading3"/>
        <w:spacing w:before="240" w:after="80"/>
        <w:rPr/>
      </w:pPr>
      <w:bookmarkStart w:id="108" w:name="__RefHeading___Toc5702_AgriContract"/>
      <w:bookmarkEnd w:id="108"/>
      <w:r>
        <w:rPr>
          <w:rFonts w:eastAsia="Calibri" w:cs="Calibri" w:ascii="Calibri" w:hAnsi="Calibri"/>
          <w:b/>
          <w:bCs/>
          <w:color w:val="1F2A37"/>
          <w:sz w:val="22"/>
          <w:szCs w:val="22"/>
        </w:rPr>
        <w:t>4.3 Batch job &amp; API</w:t>
      </w:r>
    </w:p>
    <w:p>
      <w:pPr>
        <w:pStyle w:val="Normal"/>
        <w:spacing w:lineRule="auto" w:line="276" w:before="0" w:after="120"/>
        <w:jc w:val="both"/>
        <w:rPr/>
      </w:pPr>
      <w:r>
        <w:rPr>
          <w:rFonts w:eastAsia="Calibri" w:cs="Calibri"/>
          <w:b w:val="false"/>
          <w:bCs w:val="false"/>
          <w:i w:val="false"/>
          <w:iCs w:val="false"/>
          <w:color w:val="111827"/>
          <w:sz w:val="21"/>
          <w:szCs w:val="21"/>
        </w:rPr>
        <w:t>MonthlyAggregationJob (@Scheduled) chạy 1:00 sáng mỗi ngày (off-peak, trước VerifyChainJob của audit lúc 2:00 để tránh giành tài nguyên DB). Quét fact_contract_settlement + fact_contract_cancellation (JOIN dim_contract lấy commodity — granularity Contract, cho total_contracts_settled/total_contracts_cancelled) và fact_milestone_performance (JOIN dim_contract, granularity Milestone, cho total_value_settled/escrow_efficiency_rate/force_majeure_incidents) — hai nguồn khác granularity, upsert đúng cột tương ứng vào agg_monthly_commodity_stats tháng hiện tại, tính và ghi đè rate. API cache Redis TTL 1 giờ (phân tích vĩ mô không cần fresh tới giây).</w:t>
      </w:r>
    </w:p>
    <w:p>
      <w:pPr>
        <w:pStyle w:val="Normal"/>
        <w:spacing w:lineRule="auto" w:line="276" w:before="0" w:after="120"/>
        <w:jc w:val="both"/>
        <w:rPr/>
      </w:pPr>
      <w:r>
        <w:rPr>
          <w:rFonts w:eastAsia="Calibri" w:cs="Calibri"/>
          <w:b/>
          <w:bCs/>
          <w:i w:val="false"/>
          <w:iCs w:val="false"/>
          <w:color w:val="111827"/>
          <w:sz w:val="21"/>
          <w:szCs w:val="21"/>
        </w:rPr>
        <w:t xml:space="preserve">AmlPatternScanJob (@Scheduled, bổ sung 10/07/2026) — tầng batch AML: </w:t>
      </w:r>
      <w:r>
        <w:rPr>
          <w:rFonts w:eastAsia="Calibri" w:cs="Calibri"/>
          <w:b w:val="false"/>
          <w:bCs w:val="false"/>
          <w:i w:val="false"/>
          <w:iCs w:val="false"/>
          <w:color w:val="111827"/>
          <w:sz w:val="21"/>
          <w:szCs w:val="21"/>
        </w:rPr>
        <w:t>quét data warehouse tìm cụm near-threshold theo cặp buyer-seller: giá trị trong band [475tr, 500tr), tối thiểu 5 hợp đồng, lookback 90 ngày — bắt structuring chậm rải mỏng dưới ngưỡng tuyệt đối mà 2 tầng realtime (Phần 3, reputation) không với tới. Phát hiện cụm → publish analytics.structuring_pattern_detected; consumer: reputation-service (set cặp ELEVATED_RISK — cơ chế EDD, chi tiết Phần 3) và bank-service (nghĩa vụ báo cáo cơ quan). Analytics chỉ quét projection mình đã có và publish derived signal; không tự hold/flag/báo cáo và không gọi sync ngược core service.</w:t>
      </w:r>
    </w:p>
    <w:p>
      <w:pPr>
        <w:pStyle w:val="Normal"/>
        <w:pBdr>
          <w:top w:val="single" w:sz="2" w:space="4" w:color="D1D5DB"/>
          <w:left w:val="single" w:sz="2" w:space="4" w:color="D1D5DB"/>
          <w:bottom w:val="single" w:sz="2" w:space="4" w:color="D1D5DB"/>
          <w:right w:val="single" w:sz="2" w:space="4" w:color="D1D5DB"/>
        </w:pBdr>
        <w:shd w:val="clear" w:color="auto" w:fill="F3F4F6"/>
        <w:spacing w:lineRule="auto" w:line="240" w:before="80" w:after="140"/>
        <w:ind w:start="60" w:end="60"/>
        <w:rPr/>
      </w:pPr>
      <w:r>
        <w:rPr>
          <w:rFonts w:eastAsia="Consolas" w:cs="Consolas" w:ascii="Consolas" w:hAnsi="Consolas"/>
          <w:color w:val="374151"/>
          <w:sz w:val="17"/>
          <w:szCs w:val="17"/>
        </w:rPr>
        <w:t>SELECT dc.buyer_id, dc.seller_id, COUNT(*) near_threshold_count,</w:t>
        <w:br/>
        <w:t xml:space="preserve">       JSON_ARRAYAGG(fcs.contract_id) contract_ids</w:t>
        <w:br/>
        <w:t>FROM fact_contract_settlement fcs JOIN dim_contract dc USING(contract_id)</w:t>
        <w:br/>
        <w:t>WHERE fcs.settled_at &gt;= DATE_SUB(NOW(), INTERVAL 90 DAY)</w:t>
        <w:br/>
        <w:t xml:space="preserve">  AND dc.total_amount &gt;= 475000000 AND dc.total_amount &lt; 500000000</w:t>
        <w:br/>
        <w:t>GROUP BY dc.buyer_id, dc.seller_id HAVING COUNT(*) &gt;= 5;</w:t>
        <w:br/>
        <w:t>-- MySQL 8 dialect: JSON_ARRAYAGG + DATE_SUB.</w:t>
      </w:r>
    </w:p>
    <w:tbl>
      <w:tblPr>
        <w:tblW w:w="9638" w:type="dxa"/>
        <w:jc w:val="start"/>
        <w:tblInd w:w="0" w:type="dxa"/>
        <w:tblLayout w:type="fixed"/>
        <w:tblCellMar>
          <w:top w:w="60" w:type="dxa"/>
          <w:start w:w="90" w:type="dxa"/>
          <w:bottom w:w="60" w:type="dxa"/>
          <w:end w:w="90" w:type="dxa"/>
        </w:tblCellMar>
      </w:tblPr>
      <w:tblGrid>
        <w:gridCol w:w="4700"/>
        <w:gridCol w:w="4937"/>
      </w:tblGrid>
      <w:tr>
        <w:trPr>
          <w:tblHeader w:val="true"/>
        </w:trPr>
        <w:tc>
          <w:tcPr>
            <w:tcW w:w="47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Endpoint</w:t>
            </w:r>
          </w:p>
        </w:tc>
        <w:tc>
          <w:tcPr>
            <w:tcW w:w="49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Ý nghĩa quản trị (VICOFA/VRA/Admin)</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GET /api/v1/analytics/cancellations?year={YYYY}</w:t>
            </w:r>
          </w:p>
        </w:tc>
        <w:tc>
          <w:tcPr>
            <w:tcW w:w="49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Tỷ lệ phá vỡ hợp đồng theo ngành hàng — đo lòng tin vào hợp đồng forward</w:t>
            </w:r>
          </w:p>
        </w:tc>
      </w:tr>
      <w:tr>
        <w:trPr/>
        <w:tc>
          <w:tcPr>
            <w:tcW w:w="47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GET /api/v1/analytics/escrow-effectiveness?month={YYYY-MM}</w:t>
            </w:r>
          </w:p>
        </w:tc>
        <w:tc>
          <w:tcPr>
            <w:tcW w:w="49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8"/>
                <w:szCs w:val="18"/>
              </w:rPr>
              <w:t>Hiệu quả ký quỹ theo đợt — tiền khoá có bám sát thực nhận không, hay khoá dư</w:t>
            </w:r>
          </w:p>
        </w:tc>
      </w:tr>
      <w:tr>
        <w:trPr/>
        <w:tc>
          <w:tcPr>
            <w:tcW w:w="47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GET /api/v1/analytics/force-majeure-trends?year={YYYY}</w:t>
            </w:r>
          </w:p>
        </w:tc>
        <w:tc>
          <w:tcPr>
            <w:tcW w:w="49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8"/>
                <w:szCs w:val="18"/>
              </w:rPr>
              <w:t>Xu hướng bất khả kháng theo mùa vụ/ngành — báo cáo chuỗi cung ứng cho Bộ NN&amp;MT</w:t>
            </w:r>
          </w:p>
        </w:tc>
      </w:tr>
    </w:tbl>
    <w:p>
      <w:pPr>
        <w:pStyle w:val="Heading3"/>
        <w:spacing w:before="240" w:after="80"/>
        <w:rPr/>
      </w:pPr>
      <w:bookmarkStart w:id="109" w:name="__RefHeading___Toc5704_AgriContract"/>
      <w:bookmarkEnd w:id="109"/>
      <w:r>
        <w:rPr>
          <w:rFonts w:eastAsia="Calibri" w:cs="Calibri" w:ascii="Calibri" w:hAnsi="Calibri"/>
          <w:b/>
          <w:bCs/>
          <w:color w:val="1F2A37"/>
          <w:sz w:val="22"/>
          <w:szCs w:val="22"/>
        </w:rPr>
        <w:t>4.4 Giới hạn (tradeoff CQRS/event-driven)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Eventual consistency &amp; data lag. </w:t>
      </w:r>
      <w:r>
        <w:rPr>
          <w:rFonts w:eastAsia="Calibri" w:cs="Calibri"/>
          <w:b w:val="false"/>
          <w:bCs w:val="false"/>
          <w:i w:val="false"/>
          <w:iCs w:val="false"/>
          <w:color w:val="111827"/>
          <w:sz w:val="21"/>
          <w:szCs w:val="21"/>
        </w:rPr>
        <w:t>Dashboard không khớp tới từng VNĐ theo thời gian thực: lag hệ thống (RabbitMQ) + lag nghiệp vụ (agg chỉ cập nhật qua batch 1:00 sáng — thay đổi trong ngày phản ánh vào biểu đồ % từ ngày mai).</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Catch-up và backup. </w:t>
      </w:r>
      <w:r>
        <w:rPr>
          <w:rFonts w:eastAsia="Calibri" w:cs="Calibri"/>
          <w:b w:val="false"/>
          <w:bCs w:val="false"/>
          <w:i w:val="false"/>
          <w:iCs w:val="false"/>
          <w:color w:val="111827"/>
          <w:sz w:val="21"/>
          <w:szCs w:val="21"/>
        </w:rPr>
        <w:t>Outage ngắn catch-up từ RabbitMQ queue backlog. Không hỗ trợ cold rebuild/full-history và RabbitMQ không phải event archive vô hạn, nên analytics_db phải backup daily như MySQL khác; mất DB không thể chỉ dựa vào queue để phục hồi lịch sử dashboard.</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Không bắt được data-fix tay. </w:t>
      </w:r>
      <w:r>
        <w:rPr>
          <w:rFonts w:eastAsia="Calibri" w:cs="Calibri"/>
          <w:b w:val="false"/>
          <w:bCs w:val="false"/>
          <w:i w:val="false"/>
          <w:iCs w:val="false"/>
          <w:color w:val="111827"/>
          <w:sz w:val="21"/>
          <w:szCs w:val="21"/>
        </w:rPr>
        <w:t>Nếu Admin sửa lịch sử giao dịch bằng SQL trực tiếp, không event nào sinh ra → analytics vĩnh viễn lệch so với DB gốc.</w:t>
      </w:r>
    </w:p>
    <w:p>
      <w:pPr>
        <w:pStyle w:val="Heading2"/>
        <w:pBdr>
          <w:bottom w:val="single" w:sz="6" w:space="6" w:color="D1D5DB"/>
        </w:pBdr>
        <w:spacing w:before="320" w:after="120"/>
        <w:rPr/>
      </w:pPr>
      <w:bookmarkStart w:id="110" w:name="__RefHeading___Toc5706_AgriContract"/>
      <w:bookmarkEnd w:id="110"/>
      <w:r>
        <w:rPr>
          <w:rFonts w:eastAsia="Calibri" w:cs="Calibri" w:ascii="Calibri" w:hAnsi="Calibri"/>
          <w:b/>
          <w:bCs/>
          <w:color w:val="1F2A37"/>
          <w:sz w:val="25"/>
          <w:szCs w:val="25"/>
        </w:rPr>
        <w:t>Phụ lục A — Event Catalog hợp nhất</w:t>
      </w:r>
    </w:p>
    <w:p>
      <w:pPr>
        <w:pStyle w:val="Normal"/>
        <w:spacing w:lineRule="auto" w:line="276" w:before="0" w:after="120"/>
        <w:jc w:val="both"/>
        <w:rPr/>
      </w:pPr>
      <w:r>
        <w:rPr>
          <w:rFonts w:eastAsia="Calibri" w:cs="Calibri"/>
          <w:b w:val="false"/>
          <w:bCs w:val="false"/>
          <w:i w:val="false"/>
          <w:iCs w:val="false"/>
          <w:color w:val="111827"/>
          <w:sz w:val="21"/>
          <w:szCs w:val="21"/>
        </w:rPr>
        <w:t>Toàn bộ sự kiện RabbitMQ xuyên hệ thống. Convention: {aggregate}.{actor}_{past_tense_verb}; mỗi message mang eventId + occurredAt; consumer dedup theo eventId/sourceEventId. Sự kiện Local Outbox (đồng bộ Milestone→Contract) không qua RabbitMQ, không liệt kê ở đây.</w:t>
      </w:r>
    </w:p>
    <w:tbl>
      <w:tblPr>
        <w:tblW w:w="9638" w:type="dxa"/>
        <w:jc w:val="start"/>
        <w:tblInd w:w="0" w:type="dxa"/>
        <w:tblLayout w:type="fixed"/>
        <w:tblCellMar>
          <w:top w:w="60" w:type="dxa"/>
          <w:start w:w="90" w:type="dxa"/>
          <w:bottom w:w="60" w:type="dxa"/>
          <w:end w:w="90" w:type="dxa"/>
        </w:tblCellMar>
      </w:tblPr>
      <w:tblGrid>
        <w:gridCol w:w="3300"/>
        <w:gridCol w:w="2100"/>
        <w:gridCol w:w="4238"/>
      </w:tblGrid>
      <w:tr>
        <w:trPr>
          <w:tblHeader w:val="true"/>
        </w:trPr>
        <w:tc>
          <w:tcPr>
            <w:tcW w:w="33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Routing key</w:t>
            </w:r>
          </w:p>
        </w:tc>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Publisher</w:t>
            </w:r>
          </w:p>
        </w:tc>
        <w:tc>
          <w:tcPr>
            <w:tcW w:w="4238"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Consumer(s)</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contract.signed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audit, analytics — payload có signedContentHash + deposit amounts</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contract.settled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(hoàn cọc), reputation, analytics</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contract.cancelled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(seize/refund cọc), analytics</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milestone.seller_weighed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 audit</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milestone.buyer_confirmed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 (bỏ escrow, tránh release tiền 2 lần)</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milestone.flagged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không có domain consumer bắt buộc; mail qua notification command</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milestone.force_majeure_claimed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milestone.force_majeure_resolved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audit</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milestone.settled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 reputation, analytics, audit (payload propagate recipients để gửi OTS)</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milestone.cancelled_with_penalty</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reputation, analytics, audit</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milestone.dispute_resolved (mới, 08/07/2026)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reputation (đếm tỷ lệ buyer flag-rồi-thua — tín hiệu chống lạm dụng FLAG_ISSUE, Phần 3 §3.5)</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bank.lock/release/seize/refund_requested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bank.lock/release/seize/refund_completed | _failed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escrow-service</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escrow.deposit_lock_failed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 — giữ SIGNED; activation compensation/admin actions</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escrow.deposit_locked (mới, 08/07/2026)</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escrow-service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 (chuyển ACTIVE); escrow-service tự dùng để lock batchAmount milestone đầu</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bank.large_transaction_flagged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reputation + audit; không tự hold</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bank.security_lock_changed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audit-service; action LOCKED|UNLOCKED</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bank.verifier_key_registered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bank.suspicious_report_created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audit-service; STRUCTURING_REPORT</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milestone.level2_provisional_settled | _buffer_reconciled | _terminal_settled (08/07/2026)</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escrow (mail qua notification.milestone_status_requested)</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reputation.locked | reputation.unlocked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reputation-service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user-service; payload lockRevision/effectiveLockedUntil/occurredAt</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reputation.elevated_risk_cleared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reputation-service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audit-service; AML_RISK_CLEARED, maker-checker actor IDs</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analytics.structuring_pattern_detected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analytics-service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reputation-service + bank-service</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inspection.level2_commissioned | inspection.report_confirmed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inspection-service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notification.user_kyc_result_requested | user_lock_changed_requested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user-service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notification.contract_anchor_requested | contract_cancelled_requested | milestone_status_requested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notification.contract_activation_failed_requested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contract-service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notification-service — Buyer+Seller+Admin</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notification.milestone_anchor_requested | audit_digest_requested | audit_failure_requested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audit-service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notification.level2_commission_requested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inspection-service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notification.verifier_key_anchor_requested | security_lock_changed_requested | reconciliation_mismatch_requested</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bank-service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notification-service</w:t>
            </w:r>
          </w:p>
        </w:tc>
      </w:tr>
      <w:tr>
        <w:trPr/>
        <w:tc>
          <w:tcPr>
            <w:tcW w:w="33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file.uploaded.direct | file.email.received</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file-service</w:t>
            </w:r>
          </w:p>
        </w:tc>
        <w:tc>
          <w:tcPr>
            <w:tcW w:w="4238"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7"/>
                <w:szCs w:val="17"/>
              </w:rPr>
              <w:t>file-service (queue nội bộ)</w:t>
            </w:r>
          </w:p>
        </w:tc>
      </w:tr>
      <w:tr>
        <w:trPr/>
        <w:tc>
          <w:tcPr>
            <w:tcW w:w="33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file.ready | file.failed | file.email_notice</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file-service</w:t>
            </w:r>
          </w:p>
        </w:tc>
        <w:tc>
          <w:tcPr>
            <w:tcW w:w="4238"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7"/>
                <w:szCs w:val="17"/>
              </w:rPr>
              <w:t>dịch vụ sở hữu fileId; inspection nhận email handshake</w:t>
            </w:r>
          </w:p>
        </w:tc>
      </w:tr>
    </w:tbl>
    <w:p>
      <w:pPr>
        <w:pStyle w:val="Normal"/>
        <w:spacing w:lineRule="auto" w:line="276" w:before="0" w:after="120"/>
        <w:jc w:val="both"/>
        <w:rPr/>
      </w:pPr>
      <w:r>
        <w:rPr>
          <w:rFonts w:eastAsia="Calibri" w:cs="Calibri"/>
          <w:b w:val="false"/>
          <w:bCs w:val="false"/>
          <w:i w:val="false"/>
          <w:iCs w:val="false"/>
          <w:color w:val="111827"/>
          <w:sz w:val="21"/>
          <w:szCs w:val="21"/>
        </w:rPr>
        <w:t>Audit ingestion đầy đủ qua domain event; audit-service là writer duy nhất. source_type: MILESTONE_EVENT, CONTRACT_SIGNED, INSPECTION_REPORT, EXTERNAL_INSPECTION_REPORT, LEVEL2_INSPECTION_COMMISSIONED, EXTERNAL_VERIFIER_KEY_REGISTERED, SECURITY_LOCK_TRIGGERED, SECURITY_UNLOCK_TRIGGERED, STRUCTURING_REPORT, AML_RISK_CLEARED. Subject là CONTRACT/USER_PAIR/SYSTEM; sourceHash tách recordHash.</w:t>
      </w:r>
    </w:p>
    <w:p>
      <w:pPr>
        <w:pStyle w:val="Normal"/>
        <w:spacing w:lineRule="auto" w:line="276" w:before="0" w:after="120"/>
        <w:jc w:val="both"/>
        <w:rPr/>
      </w:pPr>
      <w:r>
        <w:rPr>
          <w:rFonts w:eastAsia="Calibri" w:cs="Calibri"/>
          <w:b/>
          <w:bCs/>
          <w:i w:val="false"/>
          <w:iCs w:val="false"/>
          <w:color w:val="111827"/>
          <w:sz w:val="21"/>
          <w:szCs w:val="21"/>
        </w:rPr>
        <w:t xml:space="preserve">Kill switch trigger và transport audit: </w:t>
      </w:r>
      <w:r>
        <w:rPr>
          <w:rFonts w:eastAsia="Calibri" w:cs="Calibri"/>
          <w:b w:val="false"/>
          <w:bCs w:val="false"/>
          <w:i w:val="false"/>
          <w:iCs w:val="false"/>
          <w:color w:val="111827"/>
          <w:sz w:val="21"/>
          <w:szCs w:val="21"/>
        </w:rPr>
        <w:t>External Verifier gọi REST emergency-lock/unlock bằng chữ ký bất đối xứng; bank-service gate mọi lệnh tiền qua system_lock, rồi publish bank.security_lock_changed cho audit và notification command cho người cần biết. Key rotation publish bank.verifier_key_registered.</w:t>
      </w:r>
    </w:p>
    <w:p>
      <w:pPr>
        <w:pStyle w:val="Heading2"/>
        <w:pBdr>
          <w:bottom w:val="single" w:sz="6" w:space="6" w:color="D1D5DB"/>
        </w:pBdr>
        <w:spacing w:before="320" w:after="120"/>
        <w:rPr/>
      </w:pPr>
      <w:bookmarkStart w:id="111" w:name="__RefHeading___Toc5708_AgriContract"/>
      <w:bookmarkEnd w:id="111"/>
      <w:r>
        <w:rPr>
          <w:rFonts w:eastAsia="Calibri" w:cs="Calibri" w:ascii="Calibri" w:hAnsi="Calibri"/>
          <w:b/>
          <w:bCs/>
          <w:color w:val="1F2A37"/>
          <w:sz w:val="25"/>
          <w:szCs w:val="25"/>
        </w:rPr>
        <w:t>Phụ lục B — Ma trận dịch vụ</w:t>
      </w:r>
    </w:p>
    <w:tbl>
      <w:tblPr>
        <w:tblW w:w="9638" w:type="dxa"/>
        <w:jc w:val="start"/>
        <w:tblInd w:w="0" w:type="dxa"/>
        <w:tblLayout w:type="fixed"/>
        <w:tblCellMar>
          <w:top w:w="60" w:type="dxa"/>
          <w:start w:w="90" w:type="dxa"/>
          <w:bottom w:w="60" w:type="dxa"/>
          <w:end w:w="90" w:type="dxa"/>
        </w:tblCellMar>
      </w:tblPr>
      <w:tblGrid>
        <w:gridCol w:w="2100"/>
        <w:gridCol w:w="699"/>
        <w:gridCol w:w="2000"/>
        <w:gridCol w:w="2100"/>
        <w:gridCol w:w="2739"/>
      </w:tblGrid>
      <w:tr>
        <w:trPr>
          <w:tblHeader w:val="true"/>
        </w:trPr>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Dịch vụ</w:t>
            </w:r>
          </w:p>
        </w:tc>
        <w:tc>
          <w:tcPr>
            <w:tcW w:w="6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Port</w:t>
            </w:r>
          </w:p>
        </w:tc>
        <w:tc>
          <w:tcPr>
            <w:tcW w:w="20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DB</w:t>
            </w:r>
          </w:p>
        </w:tc>
        <w:tc>
          <w:tcPr>
            <w:tcW w:w="21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Aggregate chính</w:t>
            </w:r>
          </w:p>
        </w:tc>
        <w:tc>
          <w:tcPr>
            <w:tcW w:w="273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Căn cứ pháp lý liên quan</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user-service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8081</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user_db</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UserProfile</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BLDS Điều 142 (KYC)</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product-service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8082</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product_db</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Product, PlotRegistryEntry</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EUDR (geolocation)</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contract-service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8083</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contract_db</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Contract, Milestone, Signature</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GDĐT Điều 22-23, 34; BLDS 156/351</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escrow-service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8084</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escrow_db</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EscrowAccount, EscrowMilestone</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notification-service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8085</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notification_db</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NotificationLog</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GDĐT 14.2 (email anchor)</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bank-service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8086</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bank_db</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LedgerEntry</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NĐ 52/2024 Điều 8.7</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inspection-service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8087</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inspection_db</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InspectionReport, InspectorSignature, Level2Commission</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NĐ 98/2018 Điều 15</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reputation-service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8088</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reputation_db</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LockEntry, LockOverrideEvent, GovernanceActionRequest</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LTM Điều 302; NĐ 52/2024 Điều 29 (AML)</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file-service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8089</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file_db + MinIO</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File</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EUDR Điều 9 (retention 5 năm)</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pricing-service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8091</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pricing_db + Redis</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PriceQuote</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w:t>
            </w:r>
          </w:p>
        </w:tc>
      </w:tr>
      <w:tr>
        <w:trPr/>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audit-service</w:t>
            </w:r>
          </w:p>
        </w:tc>
        <w:tc>
          <w:tcPr>
            <w:tcW w:w="6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8092</w:t>
            </w:r>
          </w:p>
        </w:tc>
        <w:tc>
          <w:tcPr>
            <w:tcW w:w="20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audit_db</w:t>
            </w:r>
          </w:p>
        </w:tc>
        <w:tc>
          <w:tcPr>
            <w:tcW w:w="21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AuditRecord, AuditAnchor</w:t>
            </w:r>
          </w:p>
        </w:tc>
        <w:tc>
          <w:tcPr>
            <w:tcW w:w="273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6"/>
                <w:szCs w:val="16"/>
              </w:rPr>
              <w:t>GDĐT khoản 2 Điều 14</w:t>
            </w:r>
          </w:p>
        </w:tc>
      </w:tr>
      <w:tr>
        <w:trPr/>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analytics-service</w:t>
            </w:r>
          </w:p>
        </w:tc>
        <w:tc>
          <w:tcPr>
            <w:tcW w:w="6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8093</w:t>
            </w:r>
          </w:p>
        </w:tc>
        <w:tc>
          <w:tcPr>
            <w:tcW w:w="20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analytics_db</w:t>
            </w:r>
          </w:p>
        </w:tc>
        <w:tc>
          <w:tcPr>
            <w:tcW w:w="21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dim/fact/agg</w:t>
            </w:r>
          </w:p>
        </w:tc>
        <w:tc>
          <w:tcPr>
            <w:tcW w:w="273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6"/>
                <w:szCs w:val="16"/>
              </w:rPr>
              <w:t>—</w:t>
            </w:r>
          </w:p>
        </w:tc>
      </w:tr>
    </w:tbl>
    <w:p>
      <w:pPr>
        <w:pStyle w:val="Normal"/>
        <w:spacing w:lineRule="auto" w:line="276" w:before="0" w:after="120"/>
        <w:jc w:val="both"/>
        <w:rPr/>
      </w:pPr>
      <w:r>
        <w:rPr>
          <w:rFonts w:eastAsia="Calibri" w:cs="Calibri"/>
          <w:b w:val="false"/>
          <w:bCs w:val="false"/>
          <w:i w:val="false"/>
          <w:iCs w:val="false"/>
          <w:color w:val="111827"/>
          <w:sz w:val="21"/>
          <w:szCs w:val="21"/>
        </w:rPr>
        <w:t>Tìm kiếm/lọc listing được xử lý trực tiếp bằng query parameter trong product-service.</w:t>
      </w:r>
    </w:p>
    <w:p>
      <w:pPr>
        <w:pStyle w:val="Heading2"/>
        <w:pBdr>
          <w:bottom w:val="single" w:sz="6" w:space="6" w:color="D1D5DB"/>
        </w:pBdr>
        <w:spacing w:before="320" w:after="120"/>
        <w:rPr/>
      </w:pPr>
      <w:bookmarkStart w:id="112" w:name="__RefHeading___Toc5710_AgriContract"/>
      <w:bookmarkEnd w:id="112"/>
      <w:r>
        <w:rPr>
          <w:rFonts w:eastAsia="Calibri" w:cs="Calibri" w:ascii="Calibri" w:hAnsi="Calibri"/>
          <w:b/>
          <w:bCs/>
          <w:color w:val="1F2A37"/>
          <w:sz w:val="25"/>
          <w:szCs w:val="25"/>
        </w:rPr>
        <w:t>Phụ lục C — Verification Matrix P0/P1/P2</w:t>
      </w:r>
    </w:p>
    <w:p>
      <w:pPr>
        <w:pStyle w:val="Normal"/>
        <w:spacing w:lineRule="auto" w:line="276" w:before="0" w:after="120"/>
        <w:jc w:val="both"/>
        <w:rPr/>
      </w:pPr>
      <w:r>
        <w:rPr>
          <w:rFonts w:eastAsia="Calibri" w:cs="Calibri"/>
          <w:b w:val="false"/>
          <w:bCs w:val="false"/>
          <w:i w:val="false"/>
          <w:iCs w:val="false"/>
          <w:color w:val="111827"/>
          <w:sz w:val="21"/>
          <w:szCs w:val="21"/>
        </w:rPr>
        <w:t>39 invariant trong bảng design source-of-truth. P0 ưu tiên tiền/immutability/bằng chứng; P1 access control/luồng an toàn; P2 đúng nghiệp vụ. Đây là test plan trước khi viết test coverage thông thường.</w:t>
      </w:r>
    </w:p>
    <w:tbl>
      <w:tblPr>
        <w:tblW w:w="9638" w:type="dxa"/>
        <w:jc w:val="start"/>
        <w:tblInd w:w="0" w:type="dxa"/>
        <w:tblLayout w:type="fixed"/>
        <w:tblCellMar>
          <w:top w:w="60" w:type="dxa"/>
          <w:start w:w="90" w:type="dxa"/>
          <w:bottom w:w="60" w:type="dxa"/>
          <w:end w:w="90" w:type="dxa"/>
        </w:tblCellMar>
      </w:tblPr>
      <w:tblGrid>
        <w:gridCol w:w="900"/>
        <w:gridCol w:w="2999"/>
        <w:gridCol w:w="3901"/>
        <w:gridCol w:w="1837"/>
      </w:tblGrid>
      <w:tr>
        <w:trPr>
          <w:tblHeader w:val="true"/>
        </w:trPr>
        <w:tc>
          <w:tcPr>
            <w:tcW w:w="900"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Mức/#</w:t>
            </w:r>
          </w:p>
        </w:tc>
        <w:tc>
          <w:tcPr>
            <w:tcW w:w="2999"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Invariant</w:t>
            </w:r>
          </w:p>
        </w:tc>
        <w:tc>
          <w:tcPr>
            <w:tcW w:w="3901"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Test chứng minh</w:t>
            </w:r>
          </w:p>
        </w:tc>
        <w:tc>
          <w:tcPr>
            <w:tcW w:w="1837" w:type="dxa"/>
            <w:tcBorders>
              <w:top w:val="single" w:sz="4" w:space="0" w:color="D1D5DB"/>
              <w:start w:val="single" w:sz="4" w:space="0" w:color="D1D5DB"/>
              <w:bottom w:val="single" w:sz="4" w:space="0" w:color="D1D5DB"/>
              <w:end w:val="single" w:sz="4" w:space="0" w:color="D1D5DB"/>
            </w:tcBorders>
            <w:shd w:color="auto" w:fill="374151" w:val="clear"/>
            <w:vAlign w:val="center"/>
          </w:tcPr>
          <w:p>
            <w:pPr>
              <w:pStyle w:val="Normal"/>
              <w:spacing w:lineRule="auto" w:line="252" w:before="0" w:after="0"/>
              <w:jc w:val="start"/>
              <w:rPr/>
            </w:pPr>
            <w:r>
              <w:rPr>
                <w:rFonts w:eastAsia="Calibri" w:cs="Calibri"/>
                <w:b/>
                <w:bCs/>
                <w:color w:val="FFFFFF"/>
                <w:sz w:val="19"/>
                <w:szCs w:val="19"/>
              </w:rPr>
              <w:t>Nguồn</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1</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Event lặp không release/lock tiền hai lần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Publish cùng `eventId` nhiều lần → đúng 1 bộ ledger entry</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bank §4 idempotency</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2</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Ledger append-only — không UPDATE/DELETE</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Repository chỉ có insert/select; test lớp repo + quyền DB user</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bank ledger, governance nguyên tắc 3</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3</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Hợp đồng đã `SIGNED` không sửa được terms</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Gọi update terms sau ký → `409`; hash không đổi</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signature §3, milestone §3.1</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4</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`audit_record` bị sửa phải bị phát hiện</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Tamper trực tiếp DB (đổi amount/hash) → `VerifyChainJob` fail + đúng vị trí</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hash-chain §4.2/§5</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5</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Ledger lệch với record đã anchor phải bị phát hiện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Sửa 1 ledger entry lệch `settledAmount` → `LedgerAuditReconciliationJob` bắn `reconciliation_mismatch`</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bank §5b.1</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6</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Bank completion callback lặp không nhân đôi</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Gửi duplicate callback → 1 bộ entry, trạng thái không đổi lần 2</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bank §4</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7</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DLQ replay không side effect lặp</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Replay `eventId` gốc sau khi đã xử lý → consumer skip, không entry mới</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governance §8b</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8</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Contract settled không còn tiền lock treo</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Sau `contract.settled`/`cancelled`: tổng lock theo contract = 0 (reconciliation test)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bank §3.2, escrow</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9</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Kill switch chặn toàn bộ dòng tiền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`system_lock ACTIVE` → mọi `bank.*_requested` fail có kiểm soát; unlock sai chữ ký/replay nonce → reject</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bank §3.5.2-3.5.5</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10</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Provisional Level 2 không release quá mức sàn khi buyer im lặng</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Hết `disputeOptOutWindowDays` không phản hồi → release mức default sàn</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milestone §3.2 Bước 0</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11</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Khoá cọc fail không kẹt im lặng</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Bank fail liên tục → hết 3 retry → `escrow.deposit_lock_failed` + contract giữ `SIGNED` + notification 3 bên; `RetryDepositLock` sau khi hết lỗi → `ACTIVE`</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milestone §3.1</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11b</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Partial lock không nuốt tiền: buyer LOCKED + seller fail → terminal phải refund</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Mock seller-leg fail vĩnh viễn → `MarkActivationFailed` → `bank.refund_requested` cho leg buyer, qua `ACTIVATION_REFUND_PENDING`, chỉ `ACTIVATION_FAILED` khi refund confirmed; refund fail → đứng lại + alert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milestone §3.1 (18/07)</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11c</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2 chữ ký phải cùng bản terms</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Buyer ký, đổi terms (phải bị 409); ép seller ký hash khác → REJECT, không SIGNED</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signature §6 bước 4 (18/07)</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11d</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Mọi field record đều được hash commit</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Tamper riêng `source_type`/`subject_id`/`prev_hash_subject` (giữ nguyên content) → `VerifyChainJob` recompute fail</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hash-chain §3 canonical (18/07 r2)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P0 · 11e</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`audit_anchor` cũng bất biến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Repository/DB user chỉ INSERT+SELECT trên audit_anchor; UPDATE/DELETE → denied</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hash-chain §3 (18/07 r2)</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P0 · 11f</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source_hash 3-way khớp, record_hash verify riêng</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`Contract.signedContentHash` == `audit_record.source_hash` == hash email; sửa 1 trong 3 → reconcile bắt; record_hash KHÔNG so trực tiếp với signedContentHash</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hash-chain §4.1 (18/07 r2)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12</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User khác không thao tác contract người khác</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Ownership check → `403` (contract, escrow, statement)</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contract/escrow, gateway §4</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13</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Client không tự tiêm identity</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Gửi kèm `X-User-Id`/`X-User-Role`/`X-Gateway-Secret` giả → bị strip/overwrite, downstream nhận identity từ JWT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gateway §2/§7</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14</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`/internal/**` không ra ngoài</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Gọi từ external → `404/403` tại Gateway, không forward</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gateway §3.5</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15</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File nhiễm virus không thành evidence</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Upload EICAR qua `StoreOnBehalfOf` và qua email intake → `FAILED`, không có `file.ready`, không gắn được vào milestone/report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file-service §3-4</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16</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OPERATOR không chạm được đường ADMIN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OPERATOR gọi approve maker-checker / `RetryDepositLock` / `/admin/audit` → `403`</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governance §5.4</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17</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ADMIN không tự approve đề xuất của chính mình</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Cùng 1 account propose rồi approve → reject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governance §5.3</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18</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Unlock sớm không mở khoá nhầm khi nhiều lock chồng</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2 lock (T+60, T+30), unlock sớm lock 1 → `lockedUntil` user-service = T+30, `sign()` vẫn bị chặn</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reputation §7, user §2.2</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19</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`sign()` fail-closed khi user-service chết</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Stop user-service → sign bị reject, không fallback anonymous</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user §3/§7</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20</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OTP fail không gửi muộn</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Provider trả lỗi → contract-service nhận 5xx; xác nhận không có mail nào được gửi sau đó với `requestId` cũ trừ khi caller tự retry</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notification §2.2/§5</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21</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Public DTO không lộ PII</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`GET /users/{id}` → không email/phone/address; public-summary yêu cầu JWT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user §4.1, gateway §3.2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21b</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OTP challenge binding</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Verify với JWT user khác / otpId khác contract / terms đã đổi sau phát OTP → 403/409/invalidate; không lấy được "OTP mới nhất" của người khác</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signature §6-§7 (18/07)</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21c</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Lock ordering sống qua restart</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Apply unlock revision N, restart service, deliver locked revision N-1 (eventId mới) → bị bỏ qua nhờ `last_lock_revision` persist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user §2.2 (18/07)</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21d</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`legalHold` chặn xoá tuyệt đối</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Set legalHold + retention đã hết → lifecycle job gọi `DeleteFile` → REJECT, file còn nguyên</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file-service §7, governance §8 (18/07 r2)</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P1 · 21e</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Xoá file 2 bước tự lành</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Mock MinIO delete fail sau tombstone → job re-run → cả DB lẫn blob về trạng thái nhất quán, không rác</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file-service §7 (18/07 r2)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P1 · 21f</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Listing/offer fail-closed khi user-service chết</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Stop user-service → CreateListing/CreateOffer trả 503, user đang khoá không lách được</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user §3 (18/07 r2)</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P2 · 22</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Cà phê/cao su bắt buộc plot; gạo/điều không</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Commodity-gate test 2 chiều: tạo listing thiếu plot → fail/pass đúng theo commodity</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product (EUDR gate)</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P2 · 23</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Analytics chết không ảnh hưởng giao dịch</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Stop analytics-service → settle milestone vẫn hoàn tất; analytics **catch-up từ queue backlog** khi sống lại (outage ngắn — KHÔNG phải cold rebuild, sửa 18/07/2026)</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governance §3 (read model)</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P2 · 24</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Notification dedup theo recipient + type</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1 event 2 recipients + retry → mỗi (recipient, type) đúng 1 mail `SENT`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notification §3.1/§5</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P2 · 25</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Restore đụng tiền phải qua verify mới mở</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Restore `bank_db` test env → 2 job verify chạy pass trước khi mở traffic (demo DR)</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governance §8c</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P2 · 26</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Event cũ không ghi đè quyết định mới</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Deliver `reputation.locked/unlocked` sai thứ tự (`lockRevision` nhỏ hơn — sửa 18/07) → bị bỏ qua</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user §2.2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P2 · 26b</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Plot overlap chéo seller bị bắt</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Seller B đăng ký polygon trùng/lọt trong polygon Seller A → `plotReuseRisk = HIGH` + OPERATOR review, không auto-reject</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product §2.3b (18/07)</w:t>
            </w:r>
          </w:p>
        </w:tc>
      </w:tr>
      <w:tr>
        <w:trPr/>
        <w:tc>
          <w:tcPr>
            <w:tcW w:w="900"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center"/>
              <w:rPr/>
            </w:pPr>
            <w:r>
              <w:rPr>
                <w:rFonts w:eastAsia="Calibri" w:cs="Calibri"/>
                <w:b w:val="false"/>
                <w:bCs w:val="false"/>
                <w:color w:val="111827"/>
                <w:sz w:val="13"/>
                <w:szCs w:val="13"/>
              </w:rPr>
              <w:t>P2 · 26c</w:t>
            </w:r>
          </w:p>
        </w:tc>
        <w:tc>
          <w:tcPr>
            <w:tcW w:w="2999"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Yield anomaly là signal, không phải gate</w:t>
            </w:r>
          </w:p>
        </w:tc>
        <w:tc>
          <w:tcPr>
            <w:tcW w:w="3901"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`declaredQuantity` vượt Σ(plotArea×maxYield) → `yieldRisk` + yêu cầu bổ sung/review; listing KHÔNG bị auto-reject</w:t>
            </w:r>
          </w:p>
        </w:tc>
        <w:tc>
          <w:tcPr>
            <w:tcW w:w="1837" w:type="dxa"/>
            <w:tcBorders>
              <w:top w:val="single" w:sz="4" w:space="0" w:color="D1D5DB"/>
              <w:start w:val="single" w:sz="4" w:space="0" w:color="D1D5DB"/>
              <w:bottom w:val="single" w:sz="4" w:space="0" w:color="D1D5DB"/>
              <w:end w:val="single" w:sz="4" w:space="0" w:color="D1D5DB"/>
            </w:tcBorders>
            <w:shd w:color="auto" w:fill="F9FAFB" w:val="clear"/>
            <w:vAlign w:val="center"/>
          </w:tcPr>
          <w:p>
            <w:pPr>
              <w:pStyle w:val="Normal"/>
              <w:spacing w:lineRule="auto" w:line="252" w:before="0" w:after="0"/>
              <w:jc w:val="start"/>
              <w:rPr/>
            </w:pPr>
            <w:r>
              <w:rPr>
                <w:rFonts w:eastAsia="Calibri" w:cs="Calibri"/>
                <w:b w:val="false"/>
                <w:bCs w:val="false"/>
                <w:color w:val="111827"/>
                <w:sz w:val="13"/>
                <w:szCs w:val="13"/>
              </w:rPr>
              <w:t>product §2.3b (18/07 r2)</w:t>
            </w:r>
          </w:p>
        </w:tc>
      </w:tr>
      <w:tr>
        <w:trPr/>
        <w:tc>
          <w:tcPr>
            <w:tcW w:w="900"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center"/>
              <w:rPr/>
            </w:pPr>
            <w:r>
              <w:rPr>
                <w:rFonts w:eastAsia="Calibri" w:cs="Calibri"/>
                <w:b w:val="false"/>
                <w:bCs w:val="false"/>
                <w:color w:val="111827"/>
                <w:sz w:val="13"/>
                <w:szCs w:val="13"/>
              </w:rPr>
              <w:t>P2 · 26d</w:t>
            </w:r>
          </w:p>
        </w:tc>
        <w:tc>
          <w:tcPr>
            <w:tcW w:w="2999"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Deployment policy enforce được</w:t>
            </w:r>
          </w:p>
        </w:tc>
        <w:tc>
          <w:tcPr>
            <w:tcW w:w="3901"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CI check: image pin theo digest, secret không nằm trong image, protected branch bắt buộc approval — fail build nếu vi phạm (policy test, không phải runtime test)</w:t>
            </w:r>
          </w:p>
        </w:tc>
        <w:tc>
          <w:tcPr>
            <w:tcW w:w="1837" w:type="dxa"/>
            <w:tcBorders>
              <w:top w:val="single" w:sz="4" w:space="0" w:color="D1D5DB"/>
              <w:start w:val="single" w:sz="4" w:space="0" w:color="D1D5DB"/>
              <w:bottom w:val="single" w:sz="4" w:space="0" w:color="D1D5DB"/>
              <w:end w:val="single" w:sz="4" w:space="0" w:color="D1D5DB"/>
            </w:tcBorders>
            <w:vAlign w:val="center"/>
          </w:tcPr>
          <w:p>
            <w:pPr>
              <w:pStyle w:val="Normal"/>
              <w:spacing w:lineRule="auto" w:line="252" w:before="0" w:after="0"/>
              <w:jc w:val="start"/>
              <w:rPr/>
            </w:pPr>
            <w:r>
              <w:rPr>
                <w:rFonts w:eastAsia="Calibri" w:cs="Calibri"/>
                <w:b w:val="false"/>
                <w:bCs w:val="false"/>
                <w:color w:val="111827"/>
                <w:sz w:val="13"/>
                <w:szCs w:val="13"/>
              </w:rPr>
              <w:t>governance §2 threat model (18/07 r2)</w:t>
            </w:r>
          </w:p>
        </w:tc>
      </w:tr>
    </w:tbl>
    <w:p>
      <w:pPr>
        <w:pStyle w:val="Heading2"/>
        <w:pBdr>
          <w:bottom w:val="single" w:sz="6" w:space="6" w:color="D1D5DB"/>
        </w:pBdr>
        <w:spacing w:before="320" w:after="120"/>
        <w:rPr/>
      </w:pPr>
      <w:bookmarkStart w:id="113" w:name="__RefHeading___Toc5712_AgriContract"/>
      <w:bookmarkEnd w:id="113"/>
      <w:r>
        <w:rPr>
          <w:rFonts w:eastAsia="Calibri" w:cs="Calibri" w:ascii="Calibri" w:hAnsi="Calibri"/>
          <w:b/>
          <w:bCs/>
          <w:color w:val="1F2A37"/>
          <w:sz w:val="25"/>
          <w:szCs w:val="25"/>
        </w:rPr>
        <w:t>Tổng hợp trạng thái đóng &amp; giới hạn đã biết</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KI-3 email IDOR — đã đóng ở design Phase 2. </w:t>
      </w:r>
      <w:r>
        <w:rPr>
          <w:rFonts w:eastAsia="Calibri" w:cs="Calibri"/>
          <w:b w:val="false"/>
          <w:bCs w:val="false"/>
          <w:i w:val="false"/>
          <w:iCs w:val="false"/>
          <w:color w:val="111827"/>
          <w:sz w:val="21"/>
          <w:szCs w:val="21"/>
        </w:rPr>
        <w:t>API tách /users/me (contact chính chủ), /users/{id} (PublicUserResponse không email/phone/address) và /internal/v1/users/{id} (DTO nội bộ có email/KYC/lock, Gateway không route). Không còn dùng một UserInfoResponse cho cả external và Feign.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Payload event mang commodity — đã đóng hoàn toàn (08/07/2026). </w:t>
      </w:r>
      <w:r>
        <w:rPr>
          <w:rFonts w:eastAsia="Calibri" w:cs="Calibri"/>
          <w:b w:val="false"/>
          <w:bCs w:val="false"/>
          <w:i w:val="false"/>
          <w:iCs w:val="false"/>
          <w:color w:val="111827"/>
          <w:sz w:val="21"/>
          <w:szCs w:val="21"/>
        </w:rPr>
        <w:t>contract.signed mang {contractId, commodity, buyerId, sellerId, totalAmount, buyerDepositAmount, sellerDepositAmount, signedContentHash, signedAt} — commodity là enum cứng COFFEE/RICE/RUBBER/CASHEW, luôn non-null (analytics-service chỉ nhận và lưu, không tự map). Nguồn: contract-service đọc Category.commodity của category gắn với sản phẩm — không có case NULL vì category chỉ dùng được khi APPROVED và approve() bắt buộc gán commodity. Cơ chế Category/commodity (2 tầng, vì sao bỏ bảng mapping) chốt ở product-service §2.6 (owner) — không mô tả lại ở đây. Điểm treo mapping trước đây đã đóng hoàn toàn.</w:t>
      </w:r>
    </w:p>
    <w:p>
      <w:pPr>
        <w:pStyle w:val="ListParagraph"/>
        <w:numPr>
          <w:ilvl w:val="0"/>
          <w:numId w:val="1"/>
        </w:numPr>
        <w:spacing w:lineRule="auto" w:line="276" w:before="0" w:after="60"/>
        <w:rPr/>
      </w:pPr>
      <w:r>
        <w:rPr>
          <w:rFonts w:eastAsia="Calibri" w:cs="Calibri"/>
          <w:b/>
          <w:bCs/>
          <w:i w:val="false"/>
          <w:iCs w:val="false"/>
          <w:color w:val="111827"/>
          <w:sz w:val="21"/>
          <w:szCs w:val="21"/>
        </w:rPr>
        <w:t xml:space="preserve">Checklist KYC theo loại hình doanh nghiệp — giới hạn đã biết. </w:t>
      </w:r>
      <w:r>
        <w:rPr>
          <w:rFonts w:eastAsia="Calibri" w:cs="Calibri"/>
          <w:b w:val="false"/>
          <w:bCs w:val="false"/>
          <w:i w:val="false"/>
          <w:iCs w:val="false"/>
          <w:color w:val="111827"/>
          <w:sz w:val="21"/>
          <w:szCs w:val="21"/>
        </w:rPr>
        <w:t>(buyer TNHH/cổ phần/hộ kinh doanh; giấy tờ INSPECTOR) — nguyên tắc đã chốt, danh mục cụ thể cần xác nhận nghiệp vụ với đối tác thật, ngoài phạm vi xác nhận được của đồ án; không block thiết kế.</w:t>
      </w:r>
    </w:p>
    <w:p>
      <w:pPr>
        <w:pStyle w:val="Normal"/>
        <w:pBdr>
          <w:top w:val="single" w:sz="6" w:space="6" w:color="D1D5DB"/>
        </w:pBdr>
        <w:spacing w:before="300" w:after="0"/>
        <w:rPr/>
      </w:pPr>
      <w:r>
        <w:rPr>
          <w:rFonts w:eastAsia="Calibri" w:cs="Calibri"/>
          <w:i/>
          <w:iCs/>
          <w:color w:val="6B7280"/>
          <w:sz w:val="19"/>
          <w:szCs w:val="19"/>
        </w:rPr>
        <w:t xml:space="preserve">— </w:t>
      </w:r>
      <w:r>
        <w:rPr>
          <w:rFonts w:eastAsia="Calibri" w:cs="Calibri"/>
          <w:i/>
          <w:iCs/>
          <w:color w:val="6B7280"/>
          <w:sz w:val="19"/>
          <w:szCs w:val="19"/>
        </w:rPr>
        <w:t>Hết tài liệu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SDS v1.0 · Bản đầy đủ · Tháng 7/2026 · Trang </w:t>
    </w:r>
    <w:r>
      <w:rPr/>
      <w:fldChar w:fldCharType="begin"/>
    </w:r>
    <w:r>
      <w:rPr/>
      <w:instrText xml:space="preserve"> PAGE </w:instrText>
    </w:r>
    <w:r>
      <w:rPr/>
      <w:fldChar w:fldCharType="separate"/>
    </w:r>
    <w:r>
      <w:rPr/>
      <w:t>60</w:t>
    </w:r>
    <w:r>
      <w:rPr/>
      <w:fldChar w:fldCharType="end"/>
    </w:r>
    <w:r>
      <w:rPr>
        <w:rFonts w:eastAsia="Calibri" w:cs="Calibri"/>
        <w:color w:val="6B7280"/>
        <w:sz w:val="16"/>
        <w:szCs w:val="16"/>
      </w:rPr>
      <w:t>/</w:t>
    </w:r>
    <w:r>
      <w:rPr/>
      <w:fldChar w:fldCharType="begin"/>
    </w:r>
    <w:r>
      <w:rPr/>
      <w:instrText xml:space="preserve"> NUMPAGES </w:instrText>
    </w:r>
    <w:r>
      <w:rPr/>
      <w:fldChar w:fldCharType="separate"/>
    </w:r>
    <w:r>
      <w:rPr/>
      <w:t>60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alibri" w:cs="Calibri"/>
        <w:color w:val="6B7280"/>
        <w:sz w:val="16"/>
        <w:szCs w:val="16"/>
      </w:rPr>
      <w:t xml:space="preserve">SDS v1.0 · Bản đầy đủ · Tháng 7/2026 · Trang </w:t>
    </w:r>
    <w:r>
      <w:rPr/>
      <w:fldChar w:fldCharType="begin"/>
    </w:r>
    <w:r>
      <w:rPr/>
      <w:instrText xml:space="preserve"> PAGE </w:instrText>
    </w:r>
    <w:r>
      <w:rPr/>
      <w:fldChar w:fldCharType="separate"/>
    </w:r>
    <w:r>
      <w:rPr/>
      <w:t>60</w:t>
    </w:r>
    <w:r>
      <w:rPr/>
      <w:fldChar w:fldCharType="end"/>
    </w:r>
    <w:r>
      <w:rPr>
        <w:rFonts w:eastAsia="Calibri" w:cs="Calibri"/>
        <w:color w:val="6B7280"/>
        <w:sz w:val="16"/>
        <w:szCs w:val="16"/>
      </w:rPr>
      <w:t>/</w:t>
    </w:r>
    <w:r>
      <w:rPr/>
      <w:fldChar w:fldCharType="begin"/>
    </w:r>
    <w:r>
      <w:rPr/>
      <w:instrText xml:space="preserve"> NUMPAGES </w:instrText>
    </w:r>
    <w:r>
      <w:rPr/>
      <w:fldChar w:fldCharType="separate"/>
    </w:r>
    <w:r>
      <w:rPr/>
      <w:t>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SDS — Bản đầy đủ</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Calibri" w:cs="Calibri"/>
        <w:color w:val="6B7280"/>
        <w:sz w:val="16"/>
        <w:szCs w:val="16"/>
      </w:rPr>
      <w:t>AgriContract · SDS — Bản đầy đủ</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20"/>
      </w:pPr>
      <w:rPr>
        <w:rFonts w:ascii="Symbol" w:hAnsi="Symbol" w:cs="Symbol" w:hint="default"/>
        <w:color w:val="374151"/>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360" w:hanging="22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11827"/>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Heading1">
    <w:name w:val="heading 1"/>
    <w:basedOn w:val="Heading"/>
    <w:qFormat/>
    <w:pPr>
      <w:outlineLvl w:val="0"/>
    </w:pPr>
    <w:rPr>
      <w:rFonts w:ascii="Calibri" w:hAnsi="Calibri" w:eastAsia="Calibri" w:cs="Calibri"/>
      <w:b/>
      <w:bCs/>
      <w:color w:val="1F2A37"/>
      <w:sz w:val="30"/>
      <w:szCs w:val="30"/>
    </w:rPr>
  </w:style>
  <w:style w:type="paragraph" w:styleId="Heading2">
    <w:name w:val="heading 2"/>
    <w:basedOn w:val="Heading"/>
    <w:qFormat/>
    <w:pPr>
      <w:outlineLvl w:val="1"/>
    </w:pPr>
    <w:rPr>
      <w:rFonts w:ascii="Calibri" w:hAnsi="Calibri" w:eastAsia="Calibri" w:cs="Calibri"/>
      <w:b/>
      <w:bCs/>
      <w:color w:val="1F2A37"/>
      <w:sz w:val="25"/>
      <w:szCs w:val="25"/>
    </w:rPr>
  </w:style>
  <w:style w:type="paragraph" w:styleId="Heading3">
    <w:name w:val="heading 3"/>
    <w:basedOn w:val="Heading"/>
    <w:qFormat/>
    <w:pPr>
      <w:outlineLvl w:val="2"/>
    </w:pPr>
    <w:rPr>
      <w:rFonts w:ascii="Calibri" w:hAnsi="Calibri" w:eastAsia="Calibri" w:cs="Calibri"/>
      <w:b/>
      <w:bCs/>
      <w:color w:val="374151"/>
      <w:sz w:val="22"/>
      <w:szCs w:val="22"/>
    </w:rPr>
  </w:style>
  <w:style w:type="paragraph" w:styleId="Heading4">
    <w:name w:val="heading 4"/>
    <w:basedOn w:val="Heading"/>
    <w:qFormat/>
    <w:pPr>
      <w:outlineLvl w:val="3"/>
    </w:pPr>
    <w:rPr>
      <w:rFonts w:ascii="Calibri" w:hAnsi="Calibri" w:eastAsia="Calibri" w:cs="Calibri"/>
      <w:b/>
      <w:bCs/>
      <w:color w:val="374151"/>
      <w:sz w:val="21"/>
      <w:szCs w:val="21"/>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11827"/>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11827"/>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58</Pages>
  <Words>22321</Words>
  <Characters>125205</Characters>
  <CharactersWithSpaces>148281</CharactersWithSpaces>
  <Paragraphs>1740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2026-07-18T08:46:19Z</dcterms:created>
  <dc:creator>AgriContract</dc:creator>
  <dc:description/>
  <dc:language>en-US</dc:language>
  <cp:lastModifiedBy/>
  <dcterms:modified xsi:type="dcterms:W3CDTF">2026-07-18T08:46:25Z</dcterms:modified>
  <cp:revision>2</cp:revision>
  <dc:subject/>
  <dc:title>AgriContract — Software Design Specification (SDS) — Bản đầy đủ v1.0</dc:title>
</cp:coreProperties>
</file>