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A5276"/>
          <w:sz w:val="56"/>
          <w:szCs w:val="56"/>
        </w:rPr>
        <w:t xml:space="preserve">AgriContract</w:t>
      </w:r>
    </w:p>
    <w:p>
      <w:pPr>
        <w:spacing w:after="160" w:before="160"/>
        <w:jc w:val="center"/>
      </w:pPr>
      <w:r>
        <w:rPr>
          <w:rFonts w:ascii="Calibri" w:cs="Calibri" w:eastAsia="Calibri" w:hAnsi="Calibri"/>
          <w:b/>
          <w:bCs/>
          <w:color w:val="2E4057"/>
          <w:sz w:val="30"/>
          <w:szCs w:val="30"/>
        </w:rPr>
        <w:t xml:space="preserve">Phân Tích Thị Trường &amp; Luận Cứ Kinh Doanh</w:t>
      </w:r>
    </w:p>
    <w:p>
      <w:pPr>
        <w:jc w:val="center"/>
      </w:pPr>
      <w:r>
        <w:rPr>
          <w:rFonts w:ascii="Calibri" w:cs="Calibri" w:eastAsia="Calibri" w:hAnsi="Calibri"/>
          <w:i/>
          <w:iCs/>
          <w:color w:val="888888"/>
          <w:sz w:val="20"/>
          <w:szCs w:val="20"/>
        </w:rPr>
        <w:t xml:space="preserve">Tài liệu nội bộ — Đồ Án Tốt Nghiệp · Phiên bản 4.0 · Tháng 6/2026</w:t>
      </w:r>
    </w:p>
    <w:p>
      <w:pPr>
        <w:pageBreakBefore/>
      </w:pPr>
      <w:r>
        <w:t xml:space="preserve"/>
      </w:r>
    </w:p>
    <w:p>
      <w:pPr>
        <w:pStyle w:val="Heading1"/>
        <w:spacing w:after="180" w:before="400"/>
      </w:pPr>
      <w:r>
        <w:rPr>
          <w:rFonts w:ascii="Calibri" w:cs="Calibri" w:eastAsia="Calibri" w:hAnsi="Calibri"/>
          <w:b/>
          <w:bCs/>
          <w:color w:val="1A5276"/>
          <w:sz w:val="30"/>
          <w:szCs w:val="30"/>
        </w:rPr>
        <w:t xml:space="preserve">1. Quy Mô Thị Trường</w:t>
      </w:r>
    </w:p>
    <w:p>
      <w:pPr>
        <w:spacing w:after="100" w:before="80"/>
      </w:pPr>
      <w:r>
        <w:rPr>
          <w:rFonts w:ascii="Calibri" w:cs="Calibri" w:eastAsia="Calibri" w:hAnsi="Calibri"/>
          <w:sz w:val="22"/>
          <w:szCs w:val="22"/>
        </w:rPr>
        <w:t xml:space="preserve">Năm 2025, kim ngạch xuất khẩu nông lâm thủy sản Việt Nam đạt 70,09 tỷ USD, tăng 12% so với năm 2024 và vượt mục tiêu 65 tỷ USD đã đề ra. Thặng dư thương mại đạt kỷ lục 21 tỷ USD. Bộ Nông nghiệp và Môi trường đặt mục tiêu 73–74 tỷ USD cho năm 2026.</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Mặt hàng</w:t>
            </w:r>
          </w:p>
        </w:tc>
        <w:tc>
          <w:tcPr>
            <w:tcW w:type="dxa" w:w="18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Kim ngạch 2025</w:t>
            </w:r>
          </w:p>
        </w:tc>
        <w:tc>
          <w:tcPr>
            <w:tcW w:type="dxa" w:w="18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Tăng trưởng YoY</w:t>
            </w:r>
          </w:p>
        </w:tc>
        <w:tc>
          <w:tcPr>
            <w:tcW w:type="dxa" w:w="29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Vị thế toàn cầu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Cà phê</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8,57 tỷ USD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+54,4%</w:t>
            </w:r>
          </w:p>
        </w:tc>
        <w:tc>
          <w:tcPr>
            <w:tcW w:type="dxa" w:w="2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Xuất khẩu Robusta số 1 thế giới</w:t>
            </w:r>
          </w:p>
        </w:tc>
      </w:tr>
      <w:tr>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Rau quả</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8,56 tỷ USD</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Kỷ lục mới</w:t>
            </w:r>
          </w:p>
        </w:tc>
        <w:tc>
          <w:tcPr>
            <w:tcW w:type="dxa" w:w="29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Top 10 thế giới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Gỗ &amp; sản phẩm gỗ</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17,32 tỷ USD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+6,6%</w:t>
            </w:r>
          </w:p>
        </w:tc>
        <w:tc>
          <w:tcPr>
            <w:tcW w:type="dxa" w:w="2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Xuất khẩu đồ gỗ số 2 thế giới</w:t>
            </w:r>
          </w:p>
        </w:tc>
      </w:tr>
      <w:tr>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Cao su (toàn ngành)</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~11 tỷ USD</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9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Xuất khẩu cao su tự nhiên top 3 thế giới</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Điều nhân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5,23 tỷ USD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+20,4%</w:t>
            </w:r>
          </w:p>
        </w:tc>
        <w:tc>
          <w:tcPr>
            <w:tcW w:type="dxa" w:w="2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Xuất khẩu số 1 thế giới — 18 năm liên tiếp</w:t>
            </w:r>
          </w:p>
        </w:tc>
      </w:tr>
    </w:tbl>
    <w:p>
      <w:pPr>
        <w:spacing w:after="60" w:before="60"/>
      </w:pPr>
      <w:r>
        <w:t xml:space="preserve"/>
      </w:r>
    </w:p>
    <w:p>
      <w:pPr>
        <w:spacing w:after="100" w:before="40"/>
        <w:ind w:left="720"/>
      </w:pPr>
      <w:r>
        <w:rPr>
          <w:rFonts w:ascii="Calibri" w:cs="Calibri" w:eastAsia="Calibri" w:hAnsi="Calibri"/>
          <w:i/>
          <w:iCs/>
          <w:color w:val="888888"/>
          <w:sz w:val="17"/>
          <w:szCs w:val="17"/>
        </w:rPr>
        <w:t xml:space="preserve">Bộ Nông nghiệp và Môi trường — Họp báo tổng kết 2025 (6/1/2026): vietnam.vn/en/xuat-khau-nong-lam-thuy-san-vuot-70-ty-usd</w:t>
      </w:r>
    </w:p>
    <w:p>
      <w:pPr>
        <w:spacing w:after="100" w:before="40"/>
        <w:ind w:left="720"/>
      </w:pPr>
      <w:r>
        <w:rPr>
          <w:rFonts w:ascii="Calibri" w:cs="Calibri" w:eastAsia="Calibri" w:hAnsi="Calibri"/>
          <w:i/>
          <w:iCs/>
          <w:color w:val="888888"/>
          <w:sz w:val="17"/>
          <w:szCs w:val="17"/>
        </w:rPr>
        <w:t xml:space="preserve">VietnamPlus — Agriculture sector on path to $74B (23/2/2026): en.vietnamplus.vn/agriculture-sector-on-path-to-74-billion-usd-in-export-revenue-post338097.vnp</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1.1 Cà phê — Siêu chu kỳ giá và hệ quả chuỗi cung ứng</w:t>
      </w:r>
    </w:p>
    <w:p>
      <w:pPr>
        <w:spacing w:after="100" w:before="80"/>
      </w:pPr>
      <w:r>
        <w:rPr>
          <w:rFonts w:ascii="Calibri" w:cs="Calibri" w:eastAsia="Calibri" w:hAnsi="Calibri"/>
          <w:sz w:val="22"/>
          <w:szCs w:val="22"/>
        </w:rPr>
        <w:t xml:space="preserve">Trong niên vụ 2024, giá cà phê Robusta tại Tây Nguyên leo từ 60 triệu đồng/tấn lên 135 triệu đồng/tấn. Biên độ tăng 125% trong chưa đầy một năm tạo ra áp lực phá vỡ hợp đồng có hệ thống trên toàn chuỗi thu mua — không phải ngoại lệ, mà là phản ứng hợp lý về mặt kinh tế khi không có cơ chế ràng buộc.</w:t>
      </w:r>
    </w:p>
    <w:p>
      <w:pPr>
        <w:spacing w:after="60" w:before="60"/>
      </w:pPr>
      <w:r>
        <w:t xml:space="preserve"/>
      </w:r>
    </w:p>
    <w:p>
      <w:pPr>
        <w:spacing w:after="80" w:before="80"/>
        <w:ind w:left="720"/>
      </w:pPr>
      <w:r>
        <w:rPr>
          <w:rFonts w:ascii="Calibri" w:cs="Calibri" w:eastAsia="Calibri" w:hAnsi="Calibri"/>
          <w:i/>
          <w:iCs/>
          <w:color w:val="333333"/>
          <w:sz w:val="20"/>
          <w:szCs w:val="20"/>
        </w:rPr>
        <w:t xml:space="preserve">"Một tỷ lệ lớn các nhà cung cấp không giao hàng, nên các nhà xuất khẩu đang vật lộn."</w:t>
      </w:r>
    </w:p>
    <w:p>
      <w:pPr>
        <w:spacing w:after="40" w:before="0"/>
        <w:ind w:left="720"/>
      </w:pPr>
      <w:r>
        <w:rPr>
          <w:rFonts w:ascii="Calibri" w:cs="Calibri" w:eastAsia="Calibri" w:hAnsi="Calibri"/>
          <w:color w:val="555555"/>
          <w:sz w:val="18"/>
          <w:szCs w:val="18"/>
        </w:rPr>
        <w:t xml:space="preserve">Ông Phan Minh Thông, Chủ tịch Phúc Sinh Group</w:t>
      </w:r>
    </w:p>
    <w:p>
      <w:pPr>
        <w:spacing w:after="60" w:before="60"/>
      </w:pPr>
      <w:r>
        <w:t xml:space="preserve"/>
      </w:r>
    </w:p>
    <w:p>
      <w:pPr>
        <w:spacing w:after="80" w:before="80"/>
        <w:ind w:left="720"/>
      </w:pPr>
      <w:r>
        <w:rPr>
          <w:rFonts w:ascii="Calibri" w:cs="Calibri" w:eastAsia="Calibri" w:hAnsi="Calibri"/>
          <w:i/>
          <w:iCs/>
          <w:color w:val="333333"/>
          <w:sz w:val="20"/>
          <w:szCs w:val="20"/>
        </w:rPr>
        <w:t xml:space="preserve">"Chúng tôi phải giảm kế hoạch từ 125.000 tấn xuống 105.000 tấn để kiểm soát rủi ro vốn. Với giá tăng như vậy, 100 triệu đồng trước kia mua được 2 tấn thì nay chỉ còn 1 tấn."</w:t>
      </w:r>
    </w:p>
    <w:p>
      <w:pPr>
        <w:spacing w:after="40" w:before="0"/>
        <w:ind w:left="720"/>
      </w:pPr>
      <w:r>
        <w:rPr>
          <w:rFonts w:ascii="Calibri" w:cs="Calibri" w:eastAsia="Calibri" w:hAnsi="Calibri"/>
          <w:color w:val="555555"/>
          <w:sz w:val="18"/>
          <w:szCs w:val="18"/>
        </w:rPr>
        <w:t xml:space="preserve">Ông Lê Đức Huy, Tổng Giám đốc Công ty XNK 2/9 Đắk Lắk</w:t>
      </w:r>
    </w:p>
    <w:p>
      <w:pPr>
        <w:spacing w:after="100" w:before="40"/>
        <w:ind w:left="720"/>
      </w:pPr>
      <w:r>
        <w:rPr>
          <w:rFonts w:ascii="Calibri" w:cs="Calibri" w:eastAsia="Calibri" w:hAnsi="Calibri"/>
          <w:i/>
          <w:iCs/>
          <w:color w:val="888888"/>
          <w:sz w:val="17"/>
          <w:szCs w:val="17"/>
        </w:rPr>
        <w:t xml:space="preserve">VTV.vn — Giá thu mua tăng cao, cơ hội và thách thức của ngành cà phê Việt Nam (17/4/2024): vtv.vn/kinh-te/gia-thu-mua-tang-cao-co-hoi-va-thach-thuc-cua-nganh-ca-phe-viet-nam-20240417111149261.htm</w:t>
      </w:r>
    </w:p>
    <w:p>
      <w:pPr>
        <w:spacing w:after="60" w:before="60"/>
      </w:pPr>
      <w:r>
        <w:t xml:space="preserve"/>
      </w:r>
    </w:p>
    <w:p>
      <w:pPr>
        <w:spacing w:after="100" w:before="80"/>
      </w:pPr>
      <w:r>
        <w:rPr>
          <w:rFonts w:ascii="Calibri" w:cs="Calibri" w:eastAsia="Calibri" w:hAnsi="Calibri"/>
          <w:sz w:val="22"/>
          <w:szCs w:val="22"/>
        </w:rPr>
        <w:t xml:space="preserve">Kim ngạch xuất khẩu cà phê năm 2025 đạt 8,57 tỷ USD (+54,4%), với sản lượng 1,5 triệu tấn. Thị trường EU chiếm ~40% tổng kim ngạch — đây là thị trường xuất khẩu chịu ảnh hưởng trực tiếp từ EUDR.</w:t>
      </w:r>
    </w:p>
    <w:p>
      <w:pPr>
        <w:spacing w:after="100" w:before="40"/>
        <w:ind w:left="720"/>
      </w:pPr>
      <w:r>
        <w:rPr>
          <w:rFonts w:ascii="Calibri" w:cs="Calibri" w:eastAsia="Calibri" w:hAnsi="Calibri"/>
          <w:i/>
          <w:iCs/>
          <w:color w:val="888888"/>
          <w:sz w:val="17"/>
          <w:szCs w:val="17"/>
        </w:rPr>
        <w:t xml:space="preserve">VICOFA — Báo cáo tổng kết niên vụ cà phê 2024–2025 (10/2025): xanh.tanmaixanh.vn/document/view/bao-cao-tong-ket-nien-vu-ca-phe-2024-2025</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1.2 Cao su — Tăng trưởng giá trị</w:t>
      </w:r>
    </w:p>
    <w:p>
      <w:pPr>
        <w:spacing w:after="100" w:before="80"/>
      </w:pPr>
      <w:r>
        <w:rPr>
          <w:rFonts w:ascii="Calibri" w:cs="Calibri" w:eastAsia="Calibri" w:hAnsi="Calibri"/>
          <w:sz w:val="22"/>
          <w:szCs w:val="22"/>
        </w:rPr>
        <w:t xml:space="preserve">Năm 2024, Việt Nam xuất khẩu xấp xỉ 2 triệu tấn cao su tự nhiên, đạt 3,42 tỷ USD (+18% về giá trị dù giảm 6% về sản lượng). Tính toàn ngành — bao gồm sản phẩm chế biến và gỗ cao su — đạt 10,2 tỷ USD. VRA dự báo năm 2025 đạt 11–11,6 tỷ USD, nhờ giá hồi phục và nhu cầu tăng từ Trung Quốc và Ấn Độ.</w:t>
      </w:r>
    </w:p>
    <w:p>
      <w:pPr>
        <w:spacing w:after="100" w:before="40"/>
        <w:ind w:left="720"/>
      </w:pPr>
      <w:r>
        <w:rPr>
          <w:rFonts w:ascii="Calibri" w:cs="Calibri" w:eastAsia="Calibri" w:hAnsi="Calibri"/>
          <w:i/>
          <w:iCs/>
          <w:color w:val="888888"/>
          <w:sz w:val="17"/>
          <w:szCs w:val="17"/>
        </w:rPr>
        <w:t xml:space="preserve">VRA — Vietnam Rubber Industry International Conference 2025 (12/2025): vietnam.vn/en/xuat-khau-cao-su-du-kien-dat-hon-11-ty-usd</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1.3 Điều — Dẫn đầu xuất khẩu, phụ thuộc nguyên liệu nhập khẩu</w:t>
      </w:r>
    </w:p>
    <w:p>
      <w:pPr>
        <w:spacing w:after="100" w:before="80"/>
      </w:pPr>
      <w:r>
        <w:rPr>
          <w:rFonts w:ascii="Calibri" w:cs="Calibri" w:eastAsia="Calibri" w:hAnsi="Calibri"/>
          <w:sz w:val="22"/>
          <w:szCs w:val="22"/>
        </w:rPr>
        <w:t xml:space="preserve">Năm 2025, Việt Nam xuất khẩu 766.600 tấn điều nhân, đạt 5,23 tỷ USD (+20,4%), giữ vị trí số 1 thế giới 18 năm liên tiếp với thị phần hơn 80% tổng xuất khẩu điều nhân toàn cầu. Điểm yếu cấu trúc: 90% nguyên liệu thô phụ thuộc nhập khẩu từ châu Phi và Campuchia — rủi ro đứt gãy chuỗi cung ứng là thường trực.</w:t>
      </w:r>
    </w:p>
    <w:p>
      <w:pPr>
        <w:spacing w:after="100" w:before="40"/>
        <w:ind w:left="720"/>
      </w:pPr>
      <w:r>
        <w:rPr>
          <w:rFonts w:ascii="Calibri" w:cs="Calibri" w:eastAsia="Calibri" w:hAnsi="Calibri"/>
          <w:i/>
          <w:iCs/>
          <w:color w:val="888888"/>
          <w:sz w:val="17"/>
          <w:szCs w:val="17"/>
        </w:rPr>
        <w:t xml:space="preserve">VINACAS &amp; Tổng cục Hải quan Việt Nam (1/2026): vietnamnet.vn/en/cashew-paradox-vietnam-exports-soar-but-imports-hit-record-high-2480954.html</w:t>
      </w:r>
    </w:p>
    <w:p>
      <w:pPr>
        <w:spacing w:after="60" w:before="60"/>
      </w:pPr>
      <w:r>
        <w:t xml:space="preserve"/>
      </w:r>
    </w:p>
    <w:p>
      <w:pPr>
        <w:pStyle w:val="Heading1"/>
        <w:spacing w:after="180" w:before="400"/>
      </w:pPr>
      <w:r>
        <w:rPr>
          <w:rFonts w:ascii="Calibri" w:cs="Calibri" w:eastAsia="Calibri" w:hAnsi="Calibri"/>
          <w:b/>
          <w:bCs/>
          <w:color w:val="1A5276"/>
          <w:sz w:val="30"/>
          <w:szCs w:val="30"/>
        </w:rPr>
        <w:t xml:space="preserve">2. Ba Đặc Thù Cấu Trúc Tạo Ra Nhu Cầu</w:t>
      </w:r>
    </w:p>
    <w:p>
      <w:pPr>
        <w:spacing w:after="100" w:before="80"/>
      </w:pPr>
      <w:r>
        <w:rPr>
          <w:rFonts w:ascii="Calibri" w:cs="Calibri" w:eastAsia="Calibri" w:hAnsi="Calibri"/>
          <w:sz w:val="22"/>
          <w:szCs w:val="22"/>
        </w:rPr>
        <w:t xml:space="preserve">Các ngành hàng trên có quy mô xuất khẩu lớn nhưng cơ sở hạ tầng giao dịch B2B vẫn hoạt động theo cơ chế thủ công, phụ thuộc vào niềm tin cá nhân và chịu rủi ro tập trung cao. Ba đặc thù cấu trúc sau đây tạo ra môi trường mà chi phí phá vỡ hợp đồng thường thấp hơn lợi ích thu được — đây là gốc rễ của vấn đề, không phải triệu chứng.</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2.1 Tính mùa vụ — phá vỡ hợp đồng là quyết định kinh tế hợp lý</w:t>
      </w:r>
    </w:p>
    <w:p>
      <w:pPr>
        <w:spacing w:after="100" w:before="80"/>
      </w:pPr>
      <w:r>
        <w:rPr>
          <w:rFonts w:ascii="Calibri" w:cs="Calibri" w:eastAsia="Calibri" w:hAnsi="Calibri"/>
          <w:sz w:val="22"/>
          <w:szCs w:val="22"/>
        </w:rPr>
        <w:t xml:space="preserve">Hợp đồng nông sản thường ký trước thu hoạch 3–6 tháng. Trong khoảng thời gian đó, nếu giá thị trường tăng mạnh, seller có thể thu được khoản chênh lệch lớn hơn bất kỳ khoản phạt nào — đặc biệt khi hợp đồng không có cơ chế ràng buộc tài chính nào ngoài lời hứa. Đây không phải vấn đề đạo đức mà là incentive có thật, cần được giải quyết ở tầng thiết kế cơ chế.</w:t>
      </w:r>
    </w:p>
    <w:p>
      <w:pPr>
        <w:spacing w:after="60" w:before="60"/>
      </w:pPr>
      <w:r>
        <w:t xml:space="preserve"/>
      </w:r>
    </w:p>
    <w:p>
      <w:pPr>
        <w:spacing w:after="80" w:before="80"/>
        <w:ind w:left="720"/>
      </w:pPr>
      <w:r>
        <w:rPr>
          <w:rFonts w:ascii="Calibri" w:cs="Calibri" w:eastAsia="Calibri" w:hAnsi="Calibri"/>
          <w:i/>
          <w:iCs/>
          <w:color w:val="333333"/>
          <w:sz w:val="20"/>
          <w:szCs w:val="20"/>
        </w:rPr>
        <w:t xml:space="preserve">"Khi doanh nghiệp ký hợp đồng thu mua với nông dân ở mức 7.000 đồng/kg, nhưng đến thời điểm thu mua giá tăng lên 10.000 đồng/kg, doanh nghiệp chỉ trả đúng giá hợp đồng. Nông dân bẻ kèo là phản ứng tất yếu."</w:t>
      </w:r>
    </w:p>
    <w:p>
      <w:pPr>
        <w:spacing w:after="40" w:before="0"/>
        <w:ind w:left="720"/>
      </w:pPr>
      <w:r>
        <w:rPr>
          <w:rFonts w:ascii="Calibri" w:cs="Calibri" w:eastAsia="Calibri" w:hAnsi="Calibri"/>
          <w:color w:val="555555"/>
          <w:sz w:val="18"/>
          <w:szCs w:val="18"/>
        </w:rPr>
        <w:t xml:space="preserve">GS.TS Trần Đức Viên, nguyên Giám đốc Học viện Nông nghiệp Việt Nam</w:t>
      </w:r>
    </w:p>
    <w:p>
      <w:pPr>
        <w:spacing w:after="100" w:before="40"/>
        <w:ind w:left="720"/>
      </w:pPr>
      <w:r>
        <w:rPr>
          <w:rFonts w:ascii="Calibri" w:cs="Calibri" w:eastAsia="Calibri" w:hAnsi="Calibri"/>
          <w:i/>
          <w:iCs/>
          <w:color w:val="888888"/>
          <w:sz w:val="17"/>
          <w:szCs w:val="17"/>
        </w:rPr>
        <w:t xml:space="preserve">Vietnamnet — 3 chiêu để hạn chế doanh nghiệp bẻ kèo, nông dân chạy làng (30/8/2024): vietnamnet.vn/3-chieu-de-han-che-doanh-nghiep-be-keo-nong-dan-chay-lang-2316909.html</w:t>
      </w:r>
    </w:p>
    <w:p>
      <w:pPr>
        <w:spacing w:after="60" w:before="60"/>
      </w:pPr>
      <w:r>
        <w:t xml:space="preserve"/>
      </w:r>
    </w:p>
    <w:p>
      <w:pPr>
        <w:spacing w:after="100" w:before="80"/>
      </w:pPr>
      <w:r>
        <w:rPr>
          <w:rFonts w:ascii="Calibri" w:cs="Calibri" w:eastAsia="Calibri" w:hAnsi="Calibri"/>
          <w:sz w:val="22"/>
          <w:szCs w:val="22"/>
        </w:rPr>
        <w:t xml:space="preserve">Theo đánh giá tại Diễn đàn Thúc đẩy hợp tác liên kết chuỗi giá trị nông nghiệp (tháng 8/2024), chỉ khoảng 30% liên kết đạt mức bền chắc. Phần còn lại là liên kết lỏng lẻo, không có cơ chế thực thi.</w:t>
      </w:r>
    </w:p>
    <w:p>
      <w:pPr>
        <w:spacing w:after="60" w:before="60"/>
      </w:pPr>
      <w:r>
        <w:t xml:space="preserve"/>
      </w:r>
    </w:p>
    <w:p>
      <w:pPr>
        <w:spacing w:after="80" w:before="80"/>
        <w:ind w:left="720"/>
      </w:pPr>
      <w:r>
        <w:rPr>
          <w:rFonts w:ascii="Calibri" w:cs="Calibri" w:eastAsia="Calibri" w:hAnsi="Calibri"/>
          <w:i/>
          <w:iCs/>
          <w:color w:val="333333"/>
          <w:sz w:val="20"/>
          <w:szCs w:val="20"/>
        </w:rPr>
        <w:t xml:space="preserve">"Mô hình liên kết "4 nhà" đang đứt gãy vì nạn bẻ kèo. Cần lập các hợp đồng chuỗi ràng buộc trách nhiệm để ngân hàng tự tin giải ngân, thay vì chỉ chăm chăm đếm tài sản thế chấp."</w:t>
      </w:r>
    </w:p>
    <w:p>
      <w:pPr>
        <w:spacing w:after="40" w:before="0"/>
        <w:ind w:left="720"/>
      </w:pPr>
      <w:r>
        <w:rPr>
          <w:rFonts w:ascii="Calibri" w:cs="Calibri" w:eastAsia="Calibri" w:hAnsi="Calibri"/>
          <w:color w:val="555555"/>
          <w:sz w:val="18"/>
          <w:szCs w:val="18"/>
        </w:rPr>
        <w:t xml:space="preserve">Bà Cao Xuân Thu Vân, Chủ tịch Liên minh Hợp tác xã Việt Nam</w:t>
      </w:r>
    </w:p>
    <w:p>
      <w:pPr>
        <w:spacing w:after="100" w:before="40"/>
        <w:ind w:left="720"/>
      </w:pPr>
      <w:r>
        <w:rPr>
          <w:rFonts w:ascii="Calibri" w:cs="Calibri" w:eastAsia="Calibri" w:hAnsi="Calibri"/>
          <w:i/>
          <w:iCs/>
          <w:color w:val="888888"/>
          <w:sz w:val="17"/>
          <w:szCs w:val="17"/>
        </w:rPr>
        <w:t xml:space="preserve">Báo Pháp Luật TP.HCM — Nghịch lý xuất khẩu cà phê Việt (4/4/2026): plo.vn/nghich-ly-xuat-khau-ca-phe-viet-post902660.html</w:t>
      </w:r>
    </w:p>
    <w:p>
      <w:pPr>
        <w:spacing w:after="60" w:before="60"/>
      </w:pPr>
      <w:r>
        <w:t xml:space="preserve"/>
      </w:r>
    </w:p>
    <w:p>
      <w:pPr>
        <w:spacing w:after="100" w:before="80"/>
      </w:pPr>
      <w:r>
        <w:rPr>
          <w:rFonts w:ascii="Calibri" w:cs="Calibri" w:eastAsia="Calibri" w:hAnsi="Calibri"/>
          <w:i/>
          <w:iCs/>
          <w:color w:val="1A5276"/>
          <w:sz w:val="19"/>
          <w:szCs w:val="19"/>
        </w:rPr>
        <w:t xml:space="preserve">⚖  Nghị định 98/2018/NĐ-CP, Điều 4: Hợp đồng liên kết sản xuất và tiêu thụ nông sản phải được lập thành văn bản. Điều 15: Các bên được lựa chọn phương thức phù hợp — thương lượng, hòa giải, hoặc trọng tài — mà không bắt buộc qua tòa án.</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2.2 Hàng dễ hỏng — mỗi ngày tranh chấp là thiệt hại không thu hồi được</w:t>
      </w:r>
    </w:p>
    <w:p>
      <w:pPr>
        <w:spacing w:after="100" w:before="80"/>
      </w:pPr>
      <w:r>
        <w:rPr>
          <w:rFonts w:ascii="Calibri" w:cs="Calibri" w:eastAsia="Calibri" w:hAnsi="Calibri"/>
          <w:sz w:val="22"/>
          <w:szCs w:val="22"/>
        </w:rPr>
        <w:t xml:space="preserve">Khác với hàng công nghiệp, nông sản không thể chờ. Thủ tục tố tụng tại tòa án thương mại Việt Nam trung bình kéo dài 1–3 năm — đủ thời gian để toàn bộ hàng hóa mất giá trị hoàn toàn. Năm 2024, VIAC ghi nhận 475 vụ tranh chấp thương mại, cao nhất kể từ khi thành lập, trong đó tranh chấp mua bán hàng hóa chiếm tỷ lệ lớn nhất (25%).</w:t>
      </w:r>
    </w:p>
    <w:p>
      <w:pPr>
        <w:spacing w:after="100" w:before="40"/>
        <w:ind w:left="720"/>
      </w:pPr>
      <w:r>
        <w:rPr>
          <w:rFonts w:ascii="Calibri" w:cs="Calibri" w:eastAsia="Calibri" w:hAnsi="Calibri"/>
          <w:i/>
          <w:iCs/>
          <w:color w:val="888888"/>
          <w:sz w:val="17"/>
          <w:szCs w:val="17"/>
        </w:rPr>
        <w:t xml:space="preserve">VIAC — Thống kê hoạt động giải quyết tranh chấp năm 2024: viac.vn/thong-ke/thong-ke-hoat-dong-giai-quyet-tranh-chap-nam-2024-s45.html</w:t>
      </w:r>
    </w:p>
    <w:p>
      <w:pPr>
        <w:spacing w:after="60" w:before="60"/>
      </w:pPr>
      <w:r>
        <w:t xml:space="preserve"/>
      </w:r>
    </w:p>
    <w:p>
      <w:pPr>
        <w:spacing w:after="100" w:before="80"/>
      </w:pPr>
      <w:r>
        <w:rPr>
          <w:rFonts w:ascii="Calibri" w:cs="Calibri" w:eastAsia="Calibri" w:hAnsi="Calibri"/>
          <w:i/>
          <w:iCs/>
          <w:color w:val="1A5276"/>
          <w:sz w:val="19"/>
          <w:szCs w:val="19"/>
        </w:rPr>
        <w:t xml:space="preserve">⚖  Luật Trọng tài Thương mại 2010, Điều 5: Các bên có quyền thỏa thuận chọn trọng tài làm phương thức giải quyết tranh chấp trước hoặc sau khi tranh chấp phát sinh. Phán quyết trọng tài là chung thẩm, không bị kháng cáo — nhanh hơn tòa án và phù hợp với đặc thù hàng hóa dễ hỏng.</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2.3 Bất đối xứng quyền lực — HTX không có công cụ tự bảo vệ</w:t>
      </w:r>
    </w:p>
    <w:p>
      <w:pPr>
        <w:spacing w:after="100" w:before="80"/>
      </w:pPr>
      <w:r>
        <w:rPr>
          <w:rFonts w:ascii="Calibri" w:cs="Calibri" w:eastAsia="Calibri" w:hAnsi="Calibri"/>
          <w:sz w:val="22"/>
          <w:szCs w:val="22"/>
        </w:rPr>
        <w:t xml:space="preserve">Tại Đồng bằng sông Cửu Long, 90% sản lượng lúa vẫn tiêu thụ qua kênh thương lái. Doanh nghiệp thu mua trực tiếp từ nông dân chỉ chiếm khoảng 10%. Bất đối xứng thông tin và quyền lực khiến HTX nhỏ không có khả năng đàm phán thực chất, càng không có nguồn lực pháp lý để tự bảo vệ khi bị vi phạm hợp đồng.</w:t>
      </w:r>
    </w:p>
    <w:p>
      <w:pPr>
        <w:spacing w:after="100" w:before="40"/>
        <w:ind w:left="720"/>
      </w:pPr>
      <w:r>
        <w:rPr>
          <w:rFonts w:ascii="Calibri" w:cs="Calibri" w:eastAsia="Calibri" w:hAnsi="Calibri"/>
          <w:i/>
          <w:iCs/>
          <w:color w:val="888888"/>
          <w:sz w:val="17"/>
          <w:szCs w:val="17"/>
        </w:rPr>
        <w:t xml:space="preserve">Tạp chí Kinh tế Sài Gòn (20/6/2025): thesaigontimes.vn/duoc-mien-thue-nhung-nong-dan-van-ganh-5-vat-tu-thuong-lai-chuyen-sang/</w:t>
      </w:r>
    </w:p>
    <w:p>
      <w:pPr>
        <w:spacing w:after="60" w:before="60"/>
      </w:pPr>
      <w:r>
        <w:t xml:space="preserve"/>
      </w:r>
    </w:p>
    <w:p>
      <w:pPr>
        <w:pStyle w:val="ListParagraph"/>
        <w:numPr>
          <w:ilvl w:val="0"/>
          <w:numId w:val="2"/>
        </w:numPr>
        <w:spacing w:after="60" w:before="60"/>
      </w:pPr>
      <w:r>
        <w:rPr>
          <w:rFonts w:ascii="Calibri" w:cs="Calibri" w:eastAsia="Calibri" w:hAnsi="Calibri"/>
          <w:sz w:val="22"/>
          <w:szCs w:val="22"/>
        </w:rPr>
        <w:t xml:space="preserve">57% doanh nghiệp vừa và nhỏ chính thức tại Việt Nam không tiếp cận được tài chính (We-Fi / OCB, 2022)</w:t>
      </w:r>
    </w:p>
    <w:p>
      <w:pPr>
        <w:pStyle w:val="ListParagraph"/>
        <w:numPr>
          <w:ilvl w:val="0"/>
          <w:numId w:val="2"/>
        </w:numPr>
        <w:spacing w:after="60" w:before="60"/>
      </w:pPr>
      <w:r>
        <w:rPr>
          <w:rFonts w:ascii="Calibri" w:cs="Calibri" w:eastAsia="Calibri" w:hAnsi="Calibri"/>
          <w:sz w:val="22"/>
          <w:szCs w:val="22"/>
        </w:rPr>
        <w:t xml:space="preserve">Khoảng cách tài chính SME so với nhu cầu tiềm năng ước tính 68%</w:t>
      </w:r>
    </w:p>
    <w:p>
      <w:pPr>
        <w:pStyle w:val="ListParagraph"/>
        <w:numPr>
          <w:ilvl w:val="0"/>
          <w:numId w:val="2"/>
        </w:numPr>
        <w:spacing w:after="60" w:before="60"/>
      </w:pPr>
      <w:r>
        <w:rPr>
          <w:rFonts w:ascii="Calibri" w:cs="Calibri" w:eastAsia="Calibri" w:hAnsi="Calibri"/>
          <w:sz w:val="22"/>
          <w:szCs w:val="22"/>
        </w:rPr>
        <w:t xml:space="preserve">Nguyên nhân chính: thiếu tài sản thế chấp và không có lịch sử tín dụng chính thức có thể xác minh</w:t>
      </w:r>
    </w:p>
    <w:p>
      <w:pPr>
        <w:spacing w:after="100" w:before="40"/>
        <w:ind w:left="720"/>
      </w:pPr>
      <w:r>
        <w:rPr>
          <w:rFonts w:ascii="Calibri" w:cs="Calibri" w:eastAsia="Calibri" w:hAnsi="Calibri"/>
          <w:i/>
          <w:iCs/>
          <w:color w:val="888888"/>
          <w:sz w:val="17"/>
          <w:szCs w:val="17"/>
        </w:rPr>
        <w:t xml:space="preserve">We-Fi &amp; OCB — How cooperation from a bank gives wings to women entrepreneurs in Vietnam (2022): we-fi.org/how-professionalism-and-cooperation-from-a-bank-give-wings-to-women-entrepreneurs-in-vietnam-to-fly/</w:t>
      </w:r>
    </w:p>
    <w:p>
      <w:pPr>
        <w:spacing w:after="60" w:before="60"/>
      </w:pPr>
      <w:r>
        <w:t xml:space="preserve"/>
      </w:r>
    </w:p>
    <w:p>
      <w:pPr>
        <w:pStyle w:val="Heading1"/>
        <w:spacing w:after="180" w:before="400"/>
      </w:pPr>
      <w:r>
        <w:rPr>
          <w:rFonts w:ascii="Calibri" w:cs="Calibri" w:eastAsia="Calibri" w:hAnsi="Calibri"/>
          <w:b/>
          <w:bCs/>
          <w:color w:val="1A5276"/>
          <w:sz w:val="30"/>
          <w:szCs w:val="30"/>
        </w:rPr>
        <w:t xml:space="preserve">3. Ba Yếu Tố Thúc Đẩy Đồng Thời</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3.1 EUDR — Áp lực tuân thủ cứng từ thị trường EU</w:t>
      </w:r>
    </w:p>
    <w:p>
      <w:pPr>
        <w:spacing w:after="100" w:before="80"/>
      </w:pPr>
      <w:r>
        <w:rPr>
          <w:rFonts w:ascii="Calibri" w:cs="Calibri" w:eastAsia="Calibri" w:hAnsi="Calibri"/>
          <w:sz w:val="22"/>
          <w:szCs w:val="22"/>
        </w:rPr>
        <w:t xml:space="preserve">Quy định EU 2023/1115 (sửa đổi bởi 2025/2650) yêu cầu toàn bộ lô hàng cà phê, cao su, gỗ, ca cao nhập khẩu vào EU phải kèm bằng chứng deforestation-free và audit trail truy xuất đến tọa độ GPS từng mảnh đất trồng. Deadline ràng buộc pháp lý: 30/12/2026 đối với doanh nghiệp lớn và vừa; 30/6/2027 đối với doanh nghiệp nhỏ.</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Deadline</w:t>
            </w:r>
          </w:p>
        </w:tc>
        <w:tc>
          <w:tcPr>
            <w:tcW w:type="dxa" w:w="28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Đối tượng</w:t>
            </w:r>
          </w:p>
        </w:tc>
        <w:tc>
          <w:tcPr>
            <w:tcW w:type="dxa" w:w="40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Yêu cầu tối thiểu</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30/12/2026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Doanh nghiệp lớn &amp; vừa</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Due Diligence Statement đầy đủ, truy xuất đến tọa độ GPS</w:t>
            </w:r>
          </w:p>
        </w:tc>
      </w:tr>
      <w:tr>
        <w:tc>
          <w:tcPr>
            <w:tcW w:type="dxa" w:w="2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30/6/2027</w:t>
            </w:r>
          </w:p>
        </w:tc>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Doanh nghiệp nhỏ &amp; siêu nhỏ</w:t>
            </w:r>
          </w:p>
        </w:tc>
        <w:tc>
          <w:tcPr>
            <w:tcW w:type="dxa" w:w="40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DDS đơn giản hóa, truy xuất theo postal code</w:t>
            </w:r>
          </w:p>
        </w:tc>
      </w:tr>
    </w:tbl>
    <w:p>
      <w:pPr>
        <w:spacing w:after="60" w:before="60"/>
      </w:pPr>
      <w:r>
        <w:t xml:space="preserve"/>
      </w:r>
    </w:p>
    <w:p>
      <w:pPr>
        <w:spacing w:after="100" w:before="40"/>
        <w:ind w:left="720"/>
      </w:pPr>
      <w:r>
        <w:rPr>
          <w:rFonts w:ascii="Calibri" w:cs="Calibri" w:eastAsia="Calibri" w:hAnsi="Calibri"/>
          <w:i/>
          <w:iCs/>
          <w:color w:val="888888"/>
          <w:sz w:val="17"/>
          <w:szCs w:val="17"/>
        </w:rPr>
        <w:t xml:space="preserve">EC Regulation (EU) 2025/2650 — Official Journal 23/12/2025: consilium.europa.eu/en/press/press-releases/2025/12/18/</w:t>
      </w:r>
    </w:p>
    <w:p>
      <w:pPr>
        <w:spacing w:after="100" w:before="40"/>
        <w:ind w:left="720"/>
      </w:pPr>
      <w:r>
        <w:rPr>
          <w:rFonts w:ascii="Calibri" w:cs="Calibri" w:eastAsia="Calibri" w:hAnsi="Calibri"/>
          <w:i/>
          <w:iCs/>
          <w:color w:val="888888"/>
          <w:sz w:val="17"/>
          <w:szCs w:val="17"/>
        </w:rPr>
        <w:t xml:space="preserve">World Resources Institute — What Is the EUDR? (cập nhật 5/2026): wri.org/insights/explain-eu-deforestation-regulation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6914" w:sz="4"/>
              <w:left w:val="single" w:color="8B6914" w:sz="4"/>
              <w:bottom w:val="single" w:color="8B6914" w:sz="4"/>
              <w:right w:val="single" w:color="8B6914" w:sz="4"/>
            </w:tcBorders>
            <w:shd w:fill="FEF9E7" w:val="clear"/>
            <w:tcMar>
              <w:top w:type="dxa" w:w="140"/>
              <w:left w:type="dxa" w:w="240"/>
              <w:bottom w:type="dxa" w:w="140"/>
              <w:right w:type="dxa" w:w="240"/>
            </w:tcMar>
          </w:tcPr>
          <w:p>
            <w:pPr>
              <w:spacing w:after="60" w:before="60"/>
            </w:pPr>
            <w:r>
              <w:rPr>
                <w:rFonts w:ascii="Calibri" w:cs="Calibri" w:eastAsia="Calibri" w:hAnsi="Calibri"/>
                <w:sz w:val="20"/>
                <w:szCs w:val="20"/>
              </w:rPr>
              <w:t xml:space="preserve">Phạm vi của AgriContract trong bối cảnh EUDR:</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EUDR không bắt buộc sử dụng AgriContract. EUDR tạo yêu cầu pháp lý về audit trail</w:t>
            </w:r>
          </w:p>
          <w:p>
            <w:pPr>
              <w:spacing w:after="60" w:before="60"/>
            </w:pPr>
            <w:r>
              <w:rPr>
                <w:rFonts w:ascii="Calibri" w:cs="Calibri" w:eastAsia="Calibri" w:hAnsi="Calibri"/>
                <w:sz w:val="20"/>
                <w:szCs w:val="20"/>
              </w:rPr>
              <w:t xml:space="preserve">số hóa trên toàn chuỗi cung ứng. AgriContract giải quyết tầng hợp đồng thu mua từ</w:t>
            </w:r>
          </w:p>
          <w:p>
            <w:pPr>
              <w:spacing w:after="60" w:before="60"/>
            </w:pPr>
            <w:r>
              <w:rPr>
                <w:rFonts w:ascii="Calibri" w:cs="Calibri" w:eastAsia="Calibri" w:hAnsi="Calibri"/>
                <w:sz w:val="20"/>
                <w:szCs w:val="20"/>
              </w:rPr>
              <w:t xml:space="preserve">HTX — một mắt xích cụ thể trong bức tranh compliance tổng thể, không phải toàn bộ giải pháp.</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Việt Nam được phân loại "low-risk" trong EUDR benchmarking, tạo lợi thế cạnh tranh</w:t>
            </w:r>
          </w:p>
          <w:p>
            <w:pPr>
              <w:spacing w:after="60" w:before="60"/>
            </w:pPr>
            <w:r>
              <w:rPr>
                <w:rFonts w:ascii="Calibri" w:cs="Calibri" w:eastAsia="Calibri" w:hAnsi="Calibri"/>
                <w:sz w:val="20"/>
                <w:szCs w:val="20"/>
              </w:rPr>
              <w:t xml:space="preserve">so với các nguồn cung "high-risk". Để tận dụng lợi thế này, doanh nghiệp cần chứng</w:t>
            </w:r>
          </w:p>
          <w:p>
            <w:pPr>
              <w:spacing w:after="60" w:before="60"/>
            </w:pPr>
            <w:r>
              <w:rPr>
                <w:rFonts w:ascii="Calibri" w:cs="Calibri" w:eastAsia="Calibri" w:hAnsi="Calibri"/>
                <w:sz w:val="20"/>
                <w:szCs w:val="20"/>
              </w:rPr>
              <w:t xml:space="preserve">minh audit trail đầy đủ tại tầng thu mua từ HTX — đây chính là layer AgriContract xử lý.</w:t>
            </w:r>
          </w:p>
        </w:tc>
      </w:tr>
    </w:tbl>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3.2 Quy mô xuất khẩu và áp lực chuẩn hóa</w:t>
      </w:r>
    </w:p>
    <w:p>
      <w:pPr>
        <w:spacing w:after="100" w:before="80"/>
      </w:pPr>
      <w:r>
        <w:rPr>
          <w:rFonts w:ascii="Calibri" w:cs="Calibri" w:eastAsia="Calibri" w:hAnsi="Calibri"/>
          <w:sz w:val="22"/>
          <w:szCs w:val="22"/>
        </w:rPr>
        <w:t xml:space="preserve">Với 70 tỷ USD xuất khẩu năm 2025, chuẩn hóa quy trình giao dịch không còn là lựa chọn tối ưu mà là điều kiện duy trì khả năng tiếp cận thị trường quốc tế. BIDV và Techcombank đã tham gia nền tảng truy xuất blockchain Agrichain (Exabyte) với vai trò xác thực dữ liệu — tín hiệu rõ ràng rằng các định chế tài chính đang dịch chuyển từ vai trò tài trợ vốn sang vai trò xác thực thông tin trong chuỗi nông sản.</w:t>
      </w:r>
    </w:p>
    <w:p>
      <w:pPr>
        <w:spacing w:after="100" w:before="40"/>
        <w:ind w:left="720"/>
      </w:pPr>
      <w:r>
        <w:rPr>
          <w:rFonts w:ascii="Calibri" w:cs="Calibri" w:eastAsia="Calibri" w:hAnsi="Calibri"/>
          <w:i/>
          <w:iCs/>
          <w:color w:val="888888"/>
          <w:sz w:val="17"/>
          <w:szCs w:val="17"/>
        </w:rPr>
        <w:t xml:space="preserve">Vietnam.vn — Banks partner with the digital agricultural supply chain (1/4/2026): vietnam.vn/en/ngan-hang-dong-hanh-cung-chuoi-nong-san-so</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3.3 Chính sách số hóa nông nghiệp</w:t>
      </w:r>
    </w:p>
    <w:p>
      <w:pPr>
        <w:spacing w:after="100" w:before="80"/>
      </w:pPr>
      <w:r>
        <w:rPr>
          <w:rFonts w:ascii="Calibri" w:cs="Calibri" w:eastAsia="Calibri" w:hAnsi="Calibri"/>
          <w:sz w:val="22"/>
          <w:szCs w:val="22"/>
        </w:rPr>
        <w:t xml:space="preserve">Quyết định 749/QĐ-TTg (3/6/2020) xác định nông nghiệp là một trong tám lĩnh vực ưu tiên chuyển đổi số quốc gia, với mục tiêu 50% doanh nghiệp nông nghiệp ứng dụng công nghệ số vào năm 2025. Thực tế đạt được chỉ khoảng 30% — khoảng cách 20 điểm phần trăm là dư địa thị trường cụ thể, không phải ước tính.</w:t>
      </w:r>
    </w:p>
    <w:p>
      <w:pPr>
        <w:spacing w:after="100" w:before="40"/>
        <w:ind w:left="720"/>
      </w:pPr>
      <w:r>
        <w:rPr>
          <w:rFonts w:ascii="Calibri" w:cs="Calibri" w:eastAsia="Calibri" w:hAnsi="Calibri"/>
          <w:i/>
          <w:iCs/>
          <w:color w:val="888888"/>
          <w:sz w:val="17"/>
          <w:szCs w:val="17"/>
        </w:rPr>
        <w:t xml:space="preserve">PSAV — Viet Nam prioritizes digitalization of agriculture sector: psav-mard.org.vn/viet-nam-prioritizes-digitalization-of-agriculture-sector.html</w:t>
      </w:r>
    </w:p>
    <w:p>
      <w:pPr>
        <w:spacing w:after="100" w:before="40"/>
        <w:ind w:left="720"/>
      </w:pPr>
      <w:r>
        <w:rPr>
          <w:rFonts w:ascii="Calibri" w:cs="Calibri" w:eastAsia="Calibri" w:hAnsi="Calibri"/>
          <w:i/>
          <w:iCs/>
          <w:color w:val="888888"/>
          <w:sz w:val="17"/>
          <w:szCs w:val="17"/>
        </w:rPr>
        <w:t xml:space="preserve">Tạp chí Kinh tế và Dự báo (28/2/2025): kinhtevadubao.vn/giai-phap-thuc-day-chuyen-doi-so-nganh-nong-nghiep-viet-nam-31106.html</w:t>
      </w:r>
    </w:p>
    <w:p>
      <w:pPr>
        <w:spacing w:after="60" w:before="60"/>
      </w:pPr>
      <w:r>
        <w:t xml:space="preserve"/>
      </w:r>
    </w:p>
    <w:p>
      <w:pPr>
        <w:pStyle w:val="Heading1"/>
        <w:spacing w:after="180" w:before="400"/>
      </w:pPr>
      <w:r>
        <w:rPr>
          <w:rFonts w:ascii="Calibri" w:cs="Calibri" w:eastAsia="Calibri" w:hAnsi="Calibri"/>
          <w:b/>
          <w:bCs/>
          <w:color w:val="1A5276"/>
          <w:sz w:val="30"/>
          <w:szCs w:val="30"/>
        </w:rPr>
        <w:t xml:space="preserve">4. Khoảng Trống Thị Trường</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4.1 Các giải pháp hiện có và giới hạn của chúng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00"/>
        <w:gridCol w:w="2026"/>
      </w:tblGrid>
      <w:tr>
        <w:trPr>
          <w:tblHeader/>
        </w:trPr>
        <w:tc>
          <w:tcPr>
            <w:tcW w:type="dxa" w:w="19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Giải pháp</w:t>
            </w:r>
          </w:p>
        </w:tc>
        <w:tc>
          <w:tcPr>
            <w:tcW w:type="dxa" w:w="25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Năng lực</w:t>
            </w:r>
          </w:p>
        </w:tc>
        <w:tc>
          <w:tcPr>
            <w:tcW w:type="dxa" w:w="26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Giới hạn</w:t>
            </w:r>
          </w:p>
        </w:tc>
        <w:tc>
          <w:tcPr>
            <w:tcW w:type="dxa" w:w="20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Tình trạng</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Hợp đồng giấy truyền thống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Có giá trị pháp lý theo BLDS 2015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Không có escrow; không có audit trail số; không tự thực thi penalty</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Chiếm ~70% thị trường hiện tại</w:t>
            </w:r>
          </w:p>
        </w:tc>
      </w:tr>
      <w:tr>
        <w:tc>
          <w:tcPr>
            <w:tcW w:type="dxa" w:w="19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Agrichain (Exabyte)</w:t>
            </w:r>
          </w:p>
        </w:tc>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Truy xuất nguồn gốc blockchain; BIDV và Techcombank tích hợp</w:t>
            </w:r>
          </w:p>
        </w:tc>
        <w:tc>
          <w:tcPr>
            <w:tcW w:type="dxa" w:w="2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có contract negotiation; không có escrow; không có cơ chế penalty</w:t>
            </w:r>
          </w:p>
        </w:tc>
        <w:tc>
          <w:tcPr>
            <w:tcW w:type="dxa" w:w="20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Đang hoạt động — phục vụ traceability layer</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Kamereo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B2B procurement cho nhà hàng và retailer; raise $7,8M Series 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Không phải forward contract nông sản; không phục vụ HTX</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Đang hoạt động — phục vụ segment khác</w:t>
            </w:r>
          </w:p>
        </w:tc>
      </w:tr>
      <w:tr>
        <w:tc>
          <w:tcPr>
            <w:tcW w:type="dxa" w:w="19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Alibaba Trade Assurance</w:t>
            </w:r>
          </w:p>
        </w:tc>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Escrow B2B quốc tế; bảo vệ hơn 160 triệu đơn hàng; 37 triệu buyer</w:t>
            </w:r>
          </w:p>
        </w:tc>
        <w:tc>
          <w:tcPr>
            <w:tcW w:type="dxa" w:w="2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có bản địa hóa cho HTX Việt Nam; không có workflow tiếng Việt; không tích hợp EUDR</w:t>
            </w:r>
          </w:p>
        </w:tc>
        <w:tc>
          <w:tcPr>
            <w:tcW w:type="dxa" w:w="20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Bằng chứng khái niệm: escrow B2B hàng hóa vận hành được ở quy mô lớn</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Koina (đóng cửa 2024)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Farm-to-business supply chain; được VinaCapital hậu thuẫn; huy động hơn $1M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Không có contract layer; không có escrow; mô hình full-stack đốt vốn quá nhanh trước khi có doanh thu</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Đã ngừng hoạt động — sai phân khúc mục tiêu và không có revenue model bền vững</w:t>
            </w:r>
          </w:p>
        </w:tc>
      </w:tr>
      <w:tr>
        <w:tc>
          <w:tcPr>
            <w:tcW w:type="dxa" w:w="19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AgriContract</w:t>
            </w:r>
          </w:p>
        </w:tc>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Vòng đời hợp đồng + Escrow + Audit trail + Giải quyết tranh chấp</w:t>
            </w:r>
          </w:p>
        </w:tc>
        <w:tc>
          <w:tcPr>
            <w:tcW w:type="dxa" w:w="2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giải quyết logistics layer — phạm vi được giới hạn có chủ đích</w:t>
            </w:r>
          </w:p>
        </w:tc>
        <w:tc>
          <w:tcPr>
            <w:tcW w:type="dxa" w:w="20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Đang phát triển</w:t>
            </w:r>
          </w:p>
        </w:tc>
      </w:tr>
    </w:tbl>
    <w:p>
      <w:pPr>
        <w:spacing w:after="60" w:before="60"/>
      </w:pPr>
      <w:r>
        <w:t xml:space="preserve"/>
      </w:r>
    </w:p>
    <w:p>
      <w:pPr>
        <w:spacing w:after="100" w:before="40"/>
        <w:ind w:left="720"/>
      </w:pPr>
      <w:r>
        <w:rPr>
          <w:rFonts w:ascii="Calibri" w:cs="Calibri" w:eastAsia="Calibri" w:hAnsi="Calibri"/>
          <w:i/>
          <w:iCs/>
          <w:color w:val="888888"/>
          <w:sz w:val="17"/>
          <w:szCs w:val="17"/>
        </w:rPr>
        <w:t xml:space="preserve">Kamereo Series B (2024): e27.co/kamereo-raises-7-8m-series-b-to-expand-b2b-food-supply-chain-platform-in-vietnam-20240325/</w:t>
      </w:r>
    </w:p>
    <w:p>
      <w:pPr>
        <w:spacing w:after="100" w:before="40"/>
        <w:ind w:left="720"/>
      </w:pPr>
      <w:r>
        <w:rPr>
          <w:rFonts w:ascii="Calibri" w:cs="Calibri" w:eastAsia="Calibri" w:hAnsi="Calibri"/>
          <w:i/>
          <w:iCs/>
          <w:color w:val="888888"/>
          <w:sz w:val="17"/>
          <w:szCs w:val="17"/>
        </w:rPr>
        <w:t xml:space="preserve">Alibaba Trade Assurance: alibaba.com/trade-assurance</w:t>
      </w:r>
    </w:p>
    <w:p>
      <w:pPr>
        <w:spacing w:after="60" w:before="60"/>
      </w:pPr>
      <w:r>
        <w:t xml:space="preserve"/>
      </w:r>
    </w:p>
    <w:p>
      <w:pPr>
        <w:pStyle w:val="Heading2"/>
        <w:spacing w:after="120" w:before="280"/>
      </w:pPr>
      <w:r>
        <w:rPr>
          <w:rFonts w:ascii="Calibri" w:cs="Calibri" w:eastAsia="Calibri" w:hAnsi="Calibri"/>
          <w:b/>
          <w:bCs/>
          <w:color w:val="1A5276"/>
          <w:sz w:val="26"/>
          <w:szCs w:val="26"/>
        </w:rPr>
        <w:t xml:space="preserve">4.2 Lý do khoảng trống contract layer vẫn còn tồn tại</w:t>
      </w:r>
    </w:p>
    <w:p>
      <w:pPr>
        <w:spacing w:after="100" w:before="80"/>
      </w:pPr>
      <w:r>
        <w:rPr>
          <w:rFonts w:ascii="Calibri" w:cs="Calibri" w:eastAsia="Calibri" w:hAnsi="Calibri"/>
          <w:sz w:val="22"/>
          <w:szCs w:val="22"/>
        </w:rPr>
        <w:t xml:space="preserve">Các startup đã thử gia nhập thị trường agtech Việt Nam đều tiếp cận sai phân khúc: bán trực tiếp cho nông dân lẻ, nơi quy mô giao dịch quá nhỏ để unit economics có thể hoạt động. Không ai trong số đó xây dựng mô hình triển khai qua hiệp hội ngành hàng — đây là cách duy nhất giải quyết được vấn đề niềm tin ở tầng HTX mà không cần startup tự xây dựng brand từ đầu.</w:t>
      </w:r>
    </w:p>
    <w:p>
      <w:pPr>
        <w:spacing w:after="60" w:before="60"/>
      </w:pPr>
      <w:r>
        <w:t xml:space="preserve"/>
      </w:r>
    </w:p>
    <w:p>
      <w:pPr>
        <w:spacing w:after="100" w:before="80"/>
      </w:pPr>
      <w:r>
        <w:rPr>
          <w:rFonts w:ascii="Calibri" w:cs="Calibri" w:eastAsia="Calibri" w:hAnsi="Calibri"/>
          <w:sz w:val="22"/>
          <w:szCs w:val="22"/>
        </w:rPr>
        <w:t xml:space="preserve">Barrier pháp lý là trở ngại thứ hai. Giữ tiền của người khác mà không có giấy phép trung gian thanh toán từ Ngân hàng Nhà nước là hành vi bị nghiêm cấm theo Nghị định 52/2024 — mức phạt hành chính 100–200 triệu đồng và có thể truy cứu trách nhiệm hình sự theo Nghị định 88/2019. Yêu cầu tích hợp ngân hàng ngay từ đầu là rào cản đáng kể đối với startup ở giai đoạn sớm.</w:t>
      </w:r>
    </w:p>
    <w:p>
      <w:pPr>
        <w:spacing w:after="100" w:before="80"/>
      </w:pPr>
      <w:r>
        <w:rPr>
          <w:rFonts w:ascii="Calibri" w:cs="Calibri" w:eastAsia="Calibri" w:hAnsi="Calibri"/>
          <w:i/>
          <w:iCs/>
          <w:color w:val="1A5276"/>
          <w:sz w:val="19"/>
          <w:szCs w:val="19"/>
        </w:rPr>
        <w:t xml:space="preserve">⚖  Nghị định 52/2024/NĐ-CP, Điều 8, Khoản 7: Nghiêm cấm cung ứng dịch vụ trung gian thanh toán khi chưa được NHNN cấp Giấy phép hoạt động. Nghị định 88/2019/NĐ-CP: Phạt 100–200 triệu đồng đối với hành vi vi phạm; buộc chấm dứt hoạt động.</w:t>
      </w:r>
    </w:p>
    <w:p>
      <w:pPr>
        <w:spacing w:after="60" w:before="60"/>
      </w:pPr>
      <w:r>
        <w:t xml:space="preserve"/>
      </w:r>
    </w:p>
    <w:p>
      <w:pPr>
        <w:spacing w:after="100" w:before="80"/>
      </w:pPr>
      <w:r>
        <w:rPr>
          <w:rFonts w:ascii="Calibri" w:cs="Calibri" w:eastAsia="Calibri" w:hAnsi="Calibri"/>
          <w:sz w:val="22"/>
          <w:szCs w:val="22"/>
        </w:rPr>
        <w:t xml:space="preserve">Yếu tố thứ ba là timing: trước khi EUDR có deadline pháp lý cứng, không có áp lực bên ngoài nào buộc doanh nghiệp xuất khẩu phải số hóa tầng thu mua. Excel và hợp đồng giấy vẫn đủ để vận hành. EUDR 30/12/2026 chuyển đổi nhu cầu này từ "nên có" thành "bắt buộc phải có".</w:t>
      </w:r>
    </w:p>
    <w:p>
      <w:pPr>
        <w:spacing w:after="60" w:before="60"/>
      </w:pPr>
      <w:r>
        <w:t xml:space="preserve"/>
      </w:r>
    </w:p>
    <w:p>
      <w:pPr>
        <w:pStyle w:val="Heading1"/>
        <w:spacing w:after="180" w:before="400"/>
      </w:pPr>
      <w:r>
        <w:rPr>
          <w:rFonts w:ascii="Calibri" w:cs="Calibri" w:eastAsia="Calibri" w:hAnsi="Calibri"/>
          <w:b/>
          <w:bCs/>
          <w:color w:val="1A5276"/>
          <w:sz w:val="30"/>
          <w:szCs w:val="30"/>
        </w:rPr>
        <w:t xml:space="preserve">5. Ba Pain Point Hệ Thống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126"/>
      </w:tblGrid>
      <w:tr>
        <w:trPr>
          <w:tblHeader/>
        </w:trPr>
        <w:tc>
          <w:tcPr>
            <w:tcW w:type="dxa" w:w="20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Pain Point</w:t>
            </w:r>
          </w:p>
        </w:tc>
        <w:tc>
          <w:tcPr>
            <w:tcW w:type="dxa" w:w="24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Biểu hiện thực tế</w:t>
            </w:r>
          </w:p>
        </w:tc>
        <w:tc>
          <w:tcPr>
            <w:tcW w:type="dxa" w:w="25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Giải pháp AgriContract</w:t>
            </w:r>
          </w:p>
        </w:tc>
        <w:tc>
          <w:tcPr>
            <w:tcW w:type="dxa" w:w="21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Căn cứ pháp lý</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Thiếu bằng chứng hợp đồng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Chỉ 30% liên kết đạt mức bền chắc; phần còn lại dựa vào thoả thuận miệng hoặc tin nhắn không có giá trị pháp lý</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Hợp đồng điện tử với timestamp, lịch sử đàm phán bất biến và audit trail xuất được — dùng làm bằng chứng pháp lý hoặc nộp cho kiểm toán EUDR</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Luật GDĐT 2023, Điều 34: "Giá trị pháp lý của hợp đồng điện tử không thể bị phủ nhận chỉ vì hợp đồng đó được thể hiện dưới dạng thông điệp dữ liệu"</w:t>
            </w:r>
          </w:p>
        </w:tc>
      </w:tr>
      <w:tr>
        <w:tc>
          <w:tcPr>
            <w:tcW w:type="dxa" w:w="20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có escrow</w:t>
            </w:r>
          </w:p>
        </w:tc>
        <w:tc>
          <w:tcPr>
            <w:tcW w:type="dxa" w:w="24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có bên thứ ba giữ tiền trung lập; bên có lợi thế thường xuyên trì hoãn thanh toán hoặc từ chối nhận hàng</w:t>
            </w:r>
          </w:p>
        </w:tc>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Escrow lock tiền theo điều khoản đã ký trước khi giao hàng; penalty tự động thực thi theo rate đã thỏa thuận</w:t>
            </w:r>
          </w:p>
        </w:tc>
        <w:tc>
          <w:tcPr>
            <w:tcW w:type="dxa" w:w="21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BLDS 2015, Điều 328: Ký quỹ là biện pháp bảo đảm thực hiện nghĩa vụ hợp pháp; Luật TM 2005, Điều 300: Phạt vi phạm theo thỏa thuận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Thiếu thông tin về đối tác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Không có lịch sử giao dịch số hóa; HTX lần đầu hợp tác với doanh nghiệp không có cơ sở nào để đánh giá mức độ tin cậy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Audit trail tích lũy thành credit history; reputation scoring sau mỗi hợp đồng hoàn thành; INSPECTOR xác nhận chất lượng độc lập</w:t>
            </w:r>
          </w:p>
        </w:tc>
        <w:tc>
          <w:tcPr>
            <w:tcW w:type="dxa" w:w="2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Luật GDĐT 2023, Điều 14.2: Giá trị chứng cứ của thông điệp dữ liệu được xác định dựa trên độ tin cậy của phương thức khởi tạo và lưu trữ</w:t>
            </w:r>
          </w:p>
        </w:tc>
      </w:tr>
    </w:tbl>
    <w:p>
      <w:pPr>
        <w:spacing w:after="60" w:before="60"/>
      </w:pPr>
      <w:r>
        <w:t xml:space="preserve"/>
      </w:r>
    </w:p>
    <w:p>
      <w:pPr>
        <w:pStyle w:val="Heading1"/>
        <w:spacing w:after="180" w:before="400"/>
      </w:pPr>
      <w:r>
        <w:rPr>
          <w:rFonts w:ascii="Calibri" w:cs="Calibri" w:eastAsia="Calibri" w:hAnsi="Calibri"/>
          <w:b/>
          <w:bCs/>
          <w:color w:val="1A5276"/>
          <w:sz w:val="30"/>
          <w:szCs w:val="30"/>
        </w:rPr>
        <w:t xml:space="preserve">6. Tầm Nhìn Dài Hạn — Cơ Sở Hạ Tầng Dữ Liệu Cho Tín Dụng Nông Nghiệp</w:t>
      </w:r>
    </w:p>
    <w:p>
      <w:pPr>
        <w:spacing w:after="100" w:before="80"/>
      </w:pPr>
      <w:r>
        <w:rPr>
          <w:rFonts w:ascii="Calibri" w:cs="Calibri" w:eastAsia="Calibri" w:hAnsi="Calibri"/>
          <w:sz w:val="22"/>
          <w:szCs w:val="22"/>
        </w:rPr>
        <w:t xml:space="preserve">57% doanh nghiệp vừa và nhỏ chính thức tại Việt Nam không tiếp cận được tài chính, chủ yếu vì thiếu tài sản thế chấp và không có lịch sử tín dụng có thể xác minh (We-Fi / OCB, 2022). AgriContract tích lũy chính xác dữ liệu mà ngân hàng cần để đánh giá tín dụng: lịch sử hoàn thành hợp đồng, tỷ lệ giao hàng đúng hạn, kết quả kiểm định chất lượng, và điểm đánh giá từ đối tác. Đây là credit profile thực chất — không phải tài sản thế chấp, không phải báo cáo tài chính.</w:t>
      </w:r>
    </w:p>
    <w:p>
      <w:pPr>
        <w:spacing w:after="60" w:before="60"/>
      </w:pPr>
      <w:r>
        <w:t xml:space="preserve"/>
      </w:r>
    </w:p>
    <w:p>
      <w:pPr>
        <w:spacing w:after="100" w:before="80"/>
      </w:pPr>
      <w:r>
        <w:rPr>
          <w:rFonts w:ascii="Calibri" w:cs="Calibri" w:eastAsia="Calibri" w:hAnsi="Calibri"/>
          <w:sz w:val="22"/>
          <w:szCs w:val="22"/>
        </w:rPr>
        <w:t xml:space="preserve">BIDV đã bắt đầu tham gia nền tảng Agrichain blockchain với vai trò xác thực dữ liệu — không phải chỉ là bên tài trợ vốn. Đây là dịch chuyển có chủ đích từ cho vay theo tài sản thế chấp sang cho vay theo dữ liệu giao dịch. AgriContract xây dựng đúng lớp infrastructure mà xu hướng này cần.</w:t>
      </w:r>
    </w:p>
    <w:p>
      <w:pPr>
        <w:spacing w:after="100" w:before="40"/>
        <w:ind w:left="720"/>
      </w:pPr>
      <w:r>
        <w:rPr>
          <w:rFonts w:ascii="Calibri" w:cs="Calibri" w:eastAsia="Calibri" w:hAnsi="Calibri"/>
          <w:i/>
          <w:iCs/>
          <w:color w:val="888888"/>
          <w:sz w:val="17"/>
          <w:szCs w:val="17"/>
        </w:rPr>
        <w:t xml:space="preserve">Vietnam.vn — Xu hướng ứng dụng ngân hàng số vào chuỗi cung ứng nông sản (4/4/2026): vietnam.vn/en/xu-huong-ung-dung-ngan-hang-so-va-cong-nghe-vao-chuoi-cung-ung-nong-san</w:t>
      </w:r>
    </w:p>
    <w:p>
      <w:pPr>
        <w:spacing w:after="100" w:before="40"/>
        <w:ind w:left="720"/>
      </w:pPr>
      <w:r>
        <w:rPr>
          <w:rFonts w:ascii="Calibri" w:cs="Calibri" w:eastAsia="Calibri" w:hAnsi="Calibri"/>
          <w:i/>
          <w:iCs/>
          <w:color w:val="888888"/>
          <w:sz w:val="17"/>
          <w:szCs w:val="17"/>
        </w:rPr>
        <w:t xml:space="preserve">We-Fi / OCB — SME financing gap 68% in Vietnam (2022): we-fi.org/</w:t>
      </w:r>
    </w:p>
    <w:p>
      <w:pPr>
        <w:spacing w:after="60" w:before="60"/>
      </w:pPr>
      <w:r>
        <w:t xml:space="preserve"/>
      </w:r>
    </w:p>
    <w:p>
      <w:pPr>
        <w:pStyle w:val="Heading1"/>
        <w:spacing w:after="180" w:before="400"/>
      </w:pPr>
      <w:r>
        <w:rPr>
          <w:rFonts w:ascii="Calibri" w:cs="Calibri" w:eastAsia="Calibri" w:hAnsi="Calibri"/>
          <w:b/>
          <w:bCs/>
          <w:color w:val="1A5276"/>
          <w:sz w:val="30"/>
          <w:szCs w:val="30"/>
        </w:rPr>
        <w:t xml:space="preserve">7. Danh Mục Nguồn Tham Khảo</w:t>
      </w:r>
    </w:p>
    <w:p>
      <w:pPr>
        <w:pStyle w:val="Heading3"/>
        <w:spacing w:after="100" w:before="200"/>
      </w:pPr>
      <w:r>
        <w:rPr>
          <w:rFonts w:ascii="Calibri" w:cs="Calibri" w:eastAsia="Calibri" w:hAnsi="Calibri"/>
          <w:b/>
          <w:bCs/>
          <w:color w:val="2E4057"/>
          <w:sz w:val="23"/>
          <w:szCs w:val="23"/>
        </w:rPr>
        <w:t xml:space="preserve">Chính phủ &amp; tổ chức quốc tế</w:t>
      </w:r>
    </w:p>
    <w:p>
      <w:pPr>
        <w:pStyle w:val="ListParagraph"/>
        <w:numPr>
          <w:ilvl w:val="0"/>
          <w:numId w:val="2"/>
        </w:numPr>
        <w:spacing w:after="60" w:before="60"/>
      </w:pPr>
      <w:r>
        <w:rPr>
          <w:rFonts w:ascii="Calibri" w:cs="Calibri" w:eastAsia="Calibri" w:hAnsi="Calibri"/>
          <w:sz w:val="22"/>
          <w:szCs w:val="22"/>
        </w:rPr>
        <w:t xml:space="preserve">Bộ Nông nghiệp và Môi trường — Tổng kết xuất khẩu 2025 (6/1/2026): vietnam.vn/en/xuat-khau-nong-lam-thuy-san-vuot-70-ty-usd</w:t>
      </w:r>
    </w:p>
    <w:p>
      <w:pPr>
        <w:pStyle w:val="ListParagraph"/>
        <w:numPr>
          <w:ilvl w:val="0"/>
          <w:numId w:val="2"/>
        </w:numPr>
        <w:spacing w:after="60" w:before="60"/>
      </w:pPr>
      <w:r>
        <w:rPr>
          <w:rFonts w:ascii="Calibri" w:cs="Calibri" w:eastAsia="Calibri" w:hAnsi="Calibri"/>
          <w:sz w:val="22"/>
          <w:szCs w:val="22"/>
        </w:rPr>
        <w:t xml:space="preserve">EC Regulation (EU) 2025/2650 — Official Journal 23/12/2025: consilium.europa.eu/en/press/press-releases/2025/12/18/</w:t>
      </w:r>
    </w:p>
    <w:p>
      <w:pPr>
        <w:pStyle w:val="ListParagraph"/>
        <w:numPr>
          <w:ilvl w:val="0"/>
          <w:numId w:val="2"/>
        </w:numPr>
        <w:spacing w:after="60" w:before="60"/>
      </w:pPr>
      <w:r>
        <w:rPr>
          <w:rFonts w:ascii="Calibri" w:cs="Calibri" w:eastAsia="Calibri" w:hAnsi="Calibri"/>
          <w:sz w:val="22"/>
          <w:szCs w:val="22"/>
        </w:rPr>
        <w:t xml:space="preserve">VIAC — Thống kê tranh chấp 2024: viac.vn/thong-ke/thong-ke-hoat-dong-giai-quyet-tranh-chap-nam-2024-s45.html</w:t>
      </w:r>
    </w:p>
    <w:p>
      <w:pPr>
        <w:pStyle w:val="ListParagraph"/>
        <w:numPr>
          <w:ilvl w:val="0"/>
          <w:numId w:val="2"/>
        </w:numPr>
        <w:spacing w:after="60" w:before="60"/>
      </w:pPr>
      <w:r>
        <w:rPr>
          <w:rFonts w:ascii="Calibri" w:cs="Calibri" w:eastAsia="Calibri" w:hAnsi="Calibri"/>
          <w:sz w:val="22"/>
          <w:szCs w:val="22"/>
        </w:rPr>
        <w:t xml:space="preserve">WRI — What Is EUDR? (5/2026): wri.org/insights/explain-eu-deforestation-regulation</w:t>
      </w:r>
    </w:p>
    <w:p>
      <w:pPr>
        <w:pStyle w:val="ListParagraph"/>
        <w:numPr>
          <w:ilvl w:val="0"/>
          <w:numId w:val="2"/>
        </w:numPr>
        <w:spacing w:after="60" w:before="60"/>
      </w:pPr>
      <w:r>
        <w:rPr>
          <w:rFonts w:ascii="Calibri" w:cs="Calibri" w:eastAsia="Calibri" w:hAnsi="Calibri"/>
          <w:sz w:val="22"/>
          <w:szCs w:val="22"/>
        </w:rPr>
        <w:t xml:space="preserve">We-Fi / OCB — SME financing gap Vietnam (2022): we-fi.org/</w:t>
      </w:r>
    </w:p>
    <w:p>
      <w:pPr>
        <w:pStyle w:val="ListParagraph"/>
        <w:numPr>
          <w:ilvl w:val="0"/>
          <w:numId w:val="2"/>
        </w:numPr>
        <w:spacing w:after="60" w:before="60"/>
      </w:pPr>
      <w:r>
        <w:rPr>
          <w:rFonts w:ascii="Calibri" w:cs="Calibri" w:eastAsia="Calibri" w:hAnsi="Calibri"/>
          <w:sz w:val="22"/>
          <w:szCs w:val="22"/>
        </w:rPr>
        <w:t xml:space="preserve">PSAV — Vietnam digitalization of agriculture (QĐ 749/QĐ-TTg): psav-mard.org.vn/</w:t>
      </w:r>
    </w:p>
    <w:p>
      <w:pPr>
        <w:spacing w:after="60" w:before="60"/>
      </w:pPr>
      <w:r>
        <w:t xml:space="preserve"/>
      </w:r>
    </w:p>
    <w:p>
      <w:pPr>
        <w:pStyle w:val="Heading3"/>
        <w:spacing w:after="100" w:before="200"/>
      </w:pPr>
      <w:r>
        <w:rPr>
          <w:rFonts w:ascii="Calibri" w:cs="Calibri" w:eastAsia="Calibri" w:hAnsi="Calibri"/>
          <w:b/>
          <w:bCs/>
          <w:color w:val="2E4057"/>
          <w:sz w:val="23"/>
          <w:szCs w:val="23"/>
        </w:rPr>
        <w:t xml:space="preserve">Hiệp hội ngành hàng</w:t>
      </w:r>
    </w:p>
    <w:p>
      <w:pPr>
        <w:pStyle w:val="ListParagraph"/>
        <w:numPr>
          <w:ilvl w:val="0"/>
          <w:numId w:val="2"/>
        </w:numPr>
        <w:spacing w:after="60" w:before="60"/>
      </w:pPr>
      <w:r>
        <w:rPr>
          <w:rFonts w:ascii="Calibri" w:cs="Calibri" w:eastAsia="Calibri" w:hAnsi="Calibri"/>
          <w:sz w:val="22"/>
          <w:szCs w:val="22"/>
        </w:rPr>
        <w:t xml:space="preserve">VICOFA — Báo cáo niên vụ cà phê 2024–2025: xanh.tanmaixanh.vn/document/view/bao-cao-tong-ket-nien-vu-ca-phe-2024-2025</w:t>
      </w:r>
    </w:p>
    <w:p>
      <w:pPr>
        <w:pStyle w:val="ListParagraph"/>
        <w:numPr>
          <w:ilvl w:val="0"/>
          <w:numId w:val="2"/>
        </w:numPr>
        <w:spacing w:after="60" w:before="60"/>
      </w:pPr>
      <w:r>
        <w:rPr>
          <w:rFonts w:ascii="Calibri" w:cs="Calibri" w:eastAsia="Calibri" w:hAnsi="Calibri"/>
          <w:sz w:val="22"/>
          <w:szCs w:val="22"/>
        </w:rPr>
        <w:t xml:space="preserve">VRA — Vietnam Rubber Industry Conference 2025: vietnam.vn/en/xuat-khau-cao-su-du-kien-dat-hon-11-ty-usd</w:t>
      </w:r>
    </w:p>
    <w:p>
      <w:pPr>
        <w:pStyle w:val="ListParagraph"/>
        <w:numPr>
          <w:ilvl w:val="0"/>
          <w:numId w:val="2"/>
        </w:numPr>
        <w:spacing w:after="60" w:before="60"/>
      </w:pPr>
      <w:r>
        <w:rPr>
          <w:rFonts w:ascii="Calibri" w:cs="Calibri" w:eastAsia="Calibri" w:hAnsi="Calibri"/>
          <w:sz w:val="22"/>
          <w:szCs w:val="22"/>
        </w:rPr>
        <w:t xml:space="preserve">VINACAS — Xuất khẩu điều 2025: vietnamnet.vn/en/cashew-paradox-vietnam-exports-soar-but-imports-hit-record-high-2480954.html</w:t>
      </w:r>
    </w:p>
    <w:p>
      <w:pPr>
        <w:spacing w:after="60" w:before="60"/>
      </w:pPr>
      <w:r>
        <w:t xml:space="preserve"/>
      </w:r>
    </w:p>
    <w:p>
      <w:pPr>
        <w:pStyle w:val="Heading3"/>
        <w:spacing w:after="100" w:before="200"/>
      </w:pPr>
      <w:r>
        <w:rPr>
          <w:rFonts w:ascii="Calibri" w:cs="Calibri" w:eastAsia="Calibri" w:hAnsi="Calibri"/>
          <w:b/>
          <w:bCs/>
          <w:color w:val="2E4057"/>
          <w:sz w:val="23"/>
          <w:szCs w:val="23"/>
        </w:rPr>
        <w:t xml:space="preserve">Báo chí &amp; chuyên gia</w:t>
      </w:r>
    </w:p>
    <w:p>
      <w:pPr>
        <w:pStyle w:val="ListParagraph"/>
        <w:numPr>
          <w:ilvl w:val="0"/>
          <w:numId w:val="2"/>
        </w:numPr>
        <w:spacing w:after="60" w:before="60"/>
      </w:pPr>
      <w:r>
        <w:rPr>
          <w:rFonts w:ascii="Calibri" w:cs="Calibri" w:eastAsia="Calibri" w:hAnsi="Calibri"/>
          <w:sz w:val="22"/>
          <w:szCs w:val="22"/>
        </w:rPr>
        <w:t xml:space="preserve">VTV.vn — Giá cà phê tăng, bẻ kèo hàng loạt (17/4/2024): vtv.vn/kinh-te/gia-thu-mua-tang-cao-co-hoi-va-thach-thuc-cua-nganh-ca-phe-viet-nam-20240417111149261.htm</w:t>
      </w:r>
    </w:p>
    <w:p>
      <w:pPr>
        <w:pStyle w:val="ListParagraph"/>
        <w:numPr>
          <w:ilvl w:val="0"/>
          <w:numId w:val="2"/>
        </w:numPr>
        <w:spacing w:after="60" w:before="60"/>
      </w:pPr>
      <w:r>
        <w:rPr>
          <w:rFonts w:ascii="Calibri" w:cs="Calibri" w:eastAsia="Calibri" w:hAnsi="Calibri"/>
          <w:sz w:val="22"/>
          <w:szCs w:val="22"/>
        </w:rPr>
        <w:t xml:space="preserve">Vietnamnet — Hạn chế bẻ kèo trong liên kết nông sản (30/8/2024): vietnamnet.vn/3-chieu-de-han-che-doanh-nghiep-be-keo-nong-dan-chay-lang-2316909.html</w:t>
      </w:r>
    </w:p>
    <w:p>
      <w:pPr>
        <w:pStyle w:val="ListParagraph"/>
        <w:numPr>
          <w:ilvl w:val="0"/>
          <w:numId w:val="2"/>
        </w:numPr>
        <w:spacing w:after="60" w:before="60"/>
      </w:pPr>
      <w:r>
        <w:rPr>
          <w:rFonts w:ascii="Calibri" w:cs="Calibri" w:eastAsia="Calibri" w:hAnsi="Calibri"/>
          <w:sz w:val="22"/>
          <w:szCs w:val="22"/>
        </w:rPr>
        <w:t xml:space="preserve">Báo Pháp Luật TP.HCM — Nghịch lý xuất khẩu cà phê Việt (4/4/2026): plo.vn/nghich-ly-xuat-khau-ca-phe-viet-post902660.html</w:t>
      </w:r>
    </w:p>
    <w:p>
      <w:pPr>
        <w:pStyle w:val="ListParagraph"/>
        <w:numPr>
          <w:ilvl w:val="0"/>
          <w:numId w:val="2"/>
        </w:numPr>
        <w:spacing w:after="60" w:before="60"/>
      </w:pPr>
      <w:r>
        <w:rPr>
          <w:rFonts w:ascii="Calibri" w:cs="Calibri" w:eastAsia="Calibri" w:hAnsi="Calibri"/>
          <w:sz w:val="22"/>
          <w:szCs w:val="22"/>
        </w:rPr>
        <w:t xml:space="preserve">Vietnam.vn — Banks digital agri supply chain (1/4/2026): vietnam.vn/en/ngan-hang-dong-hanh-cung-chuoi-nong-san-so</w:t>
      </w:r>
    </w:p>
    <w:p>
      <w:pPr>
        <w:pStyle w:val="ListParagraph"/>
        <w:numPr>
          <w:ilvl w:val="0"/>
          <w:numId w:val="2"/>
        </w:numPr>
        <w:spacing w:after="60" w:before="60"/>
      </w:pPr>
      <w:r>
        <w:rPr>
          <w:rFonts w:ascii="Calibri" w:cs="Calibri" w:eastAsia="Calibri" w:hAnsi="Calibri"/>
          <w:sz w:val="22"/>
          <w:szCs w:val="22"/>
        </w:rPr>
        <w:t xml:space="preserve">Vietnam Investment Review — Agribank credit programme (4/6/2024): vir.com.vn/agribank-ramps-up-efforts-to-spur-business-development-111584-111584.html</w:t>
      </w:r>
    </w:p>
    <w:p>
      <w:pPr>
        <w:pStyle w:val="ListParagraph"/>
        <w:numPr>
          <w:ilvl w:val="0"/>
          <w:numId w:val="2"/>
        </w:numPr>
        <w:spacing w:after="60" w:before="60"/>
      </w:pPr>
      <w:r>
        <w:rPr>
          <w:rFonts w:ascii="Calibri" w:cs="Calibri" w:eastAsia="Calibri" w:hAnsi="Calibri"/>
          <w:sz w:val="22"/>
          <w:szCs w:val="22"/>
        </w:rPr>
        <w:t xml:space="preserve">Tạp chí Kinh tế và Dự báo — Chuyển đổi số nông nghiệp (28/2/2025): kinhtevadubao.vn/giai-phap-thuc-day-chuyen-doi-so-nganh-nong-nghiep-viet-nam-31106.html</w:t>
      </w:r>
    </w:p>
    <w:p>
      <w:pPr>
        <w:spacing w:after="60" w:before="60"/>
      </w:pPr>
      <w:r>
        <w:t xml:space="preserve"/>
      </w:r>
    </w:p>
    <w:p>
      <w:pPr>
        <w:pStyle w:val="Heading3"/>
        <w:spacing w:after="100" w:before="200"/>
      </w:pPr>
      <w:r>
        <w:rPr>
          <w:rFonts w:ascii="Calibri" w:cs="Calibri" w:eastAsia="Calibri" w:hAnsi="Calibri"/>
          <w:b/>
          <w:bCs/>
          <w:color w:val="2E4057"/>
          <w:sz w:val="23"/>
          <w:szCs w:val="23"/>
        </w:rPr>
        <w:t xml:space="preserve">Văn bản pháp luật</w:t>
      </w:r>
    </w:p>
    <w:p>
      <w:pPr>
        <w:pStyle w:val="ListParagraph"/>
        <w:numPr>
          <w:ilvl w:val="0"/>
          <w:numId w:val="2"/>
        </w:numPr>
        <w:spacing w:after="60" w:before="60"/>
      </w:pPr>
      <w:r>
        <w:rPr>
          <w:rFonts w:ascii="Calibri" w:cs="Calibri" w:eastAsia="Calibri" w:hAnsi="Calibri"/>
          <w:sz w:val="22"/>
          <w:szCs w:val="22"/>
        </w:rPr>
        <w:t xml:space="preserve">Luật Giao dịch Điện tử 2023 (Luật 20/2023/QH15, hiệu lực 1/7/2024)</w:t>
      </w:r>
    </w:p>
    <w:p>
      <w:pPr>
        <w:pStyle w:val="ListParagraph"/>
        <w:numPr>
          <w:ilvl w:val="0"/>
          <w:numId w:val="2"/>
        </w:numPr>
        <w:spacing w:after="60" w:before="60"/>
      </w:pPr>
      <w:r>
        <w:rPr>
          <w:rFonts w:ascii="Calibri" w:cs="Calibri" w:eastAsia="Calibri" w:hAnsi="Calibri"/>
          <w:sz w:val="22"/>
          <w:szCs w:val="22"/>
        </w:rPr>
        <w:t xml:space="preserve">Nghị định 52/2024/NĐ-CP — Thanh toán không dùng tiền mặt (hiệu lực 1/7/2024)</w:t>
      </w:r>
    </w:p>
    <w:p>
      <w:pPr>
        <w:pStyle w:val="ListParagraph"/>
        <w:numPr>
          <w:ilvl w:val="0"/>
          <w:numId w:val="2"/>
        </w:numPr>
        <w:spacing w:after="60" w:before="60"/>
      </w:pPr>
      <w:r>
        <w:rPr>
          <w:rFonts w:ascii="Calibri" w:cs="Calibri" w:eastAsia="Calibri" w:hAnsi="Calibri"/>
          <w:sz w:val="22"/>
          <w:szCs w:val="22"/>
        </w:rPr>
        <w:t xml:space="preserve">Nghị định 98/2018/NĐ-CP — Liên kết sản xuất và tiêu thụ nông sản</w:t>
      </w:r>
    </w:p>
    <w:p>
      <w:pPr>
        <w:pStyle w:val="ListParagraph"/>
        <w:numPr>
          <w:ilvl w:val="0"/>
          <w:numId w:val="2"/>
        </w:numPr>
        <w:spacing w:after="60" w:before="60"/>
      </w:pPr>
      <w:r>
        <w:rPr>
          <w:rFonts w:ascii="Calibri" w:cs="Calibri" w:eastAsia="Calibri" w:hAnsi="Calibri"/>
          <w:sz w:val="22"/>
          <w:szCs w:val="22"/>
        </w:rPr>
        <w:t xml:space="preserve">Luật Trọng tài Thương mại 2010 (Luật 54/2010/QH12)</w:t>
      </w:r>
    </w:p>
    <w:p>
      <w:pPr>
        <w:pStyle w:val="ListParagraph"/>
        <w:numPr>
          <w:ilvl w:val="0"/>
          <w:numId w:val="2"/>
        </w:numPr>
        <w:spacing w:after="60" w:before="60"/>
      </w:pPr>
      <w:r>
        <w:rPr>
          <w:rFonts w:ascii="Calibri" w:cs="Calibri" w:eastAsia="Calibri" w:hAnsi="Calibri"/>
          <w:sz w:val="22"/>
          <w:szCs w:val="22"/>
        </w:rPr>
        <w:t xml:space="preserve">Bộ luật Dân sự 2015 — Điều 328 (ký quỹ), Điều 142 (đại diện theo ủy quyền)</w:t>
      </w:r>
    </w:p>
    <w:p>
      <w:pPr>
        <w:pStyle w:val="ListParagraph"/>
        <w:numPr>
          <w:ilvl w:val="0"/>
          <w:numId w:val="2"/>
        </w:numPr>
        <w:spacing w:after="60" w:before="60"/>
      </w:pPr>
      <w:r>
        <w:rPr>
          <w:rFonts w:ascii="Calibri" w:cs="Calibri" w:eastAsia="Calibri" w:hAnsi="Calibri"/>
          <w:sz w:val="22"/>
          <w:szCs w:val="22"/>
        </w:rPr>
        <w:t xml:space="preserve">Nghị định 88/2019/NĐ-CP — Xử phạt vi phạm hành chính lĩnh vực tiền tệ</w:t>
      </w:r>
    </w:p>
    <w:p>
      <w:pPr>
        <w:spacing w:after="60" w:before="60"/>
      </w:pPr>
      <w:r>
        <w:t xml:space="preserve"/>
      </w:r>
    </w:p>
    <w:p>
      <w:pPr>
        <w:spacing w:before="400"/>
        <w:jc w:val="center"/>
      </w:pPr>
      <w:r>
        <w:rPr>
          <w:rFonts w:ascii="Calibri" w:cs="Calibri" w:eastAsia="Calibri" w:hAnsi="Calibri"/>
          <w:i/>
          <w:iCs/>
          <w:color w:val="999999"/>
          <w:sz w:val="20"/>
          <w:szCs w:val="20"/>
        </w:rPr>
        <w:t xml:space="preserve">— Hết tài liệu —</w:t>
      </w:r>
    </w:p>
    <w:p>
      <w:pPr>
        <w:jc w:val="center"/>
      </w:pPr>
      <w:r>
        <w:rPr>
          <w:rFonts w:ascii="Calibri" w:cs="Calibri" w:eastAsia="Calibri" w:hAnsi="Calibri"/>
          <w:color w:val="AAAAAA"/>
          <w:sz w:val="18"/>
          <w:szCs w:val="18"/>
        </w:rPr>
        <w:t xml:space="preserve">AgriContract  |  Phân Tích Thị Trường  |  v4.0 · Tháng 6/2026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Trang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pPr>
    <w:r>
      <w:rPr>
        <w:rFonts w:ascii="Calibri" w:cs="Calibri" w:eastAsia="Calibri" w:hAnsi="Calibri"/>
        <w:b/>
        <w:bCs/>
        <w:color w:val="1A5276"/>
        <w:sz w:val="20"/>
        <w:szCs w:val="20"/>
      </w:rPr>
      <w:t xml:space="preserve">AgriContract</w:t>
    </w:r>
    <w:r>
      <w:rPr>
        <w:rFonts w:ascii="Calibri" w:cs="Calibri" w:eastAsia="Calibri" w:hAnsi="Calibri"/>
        <w:color w:val="888888"/>
        <w:sz w:val="18"/>
        <w:szCs w:val="18"/>
      </w:rPr>
      <w:t xml:space="preserve">   |   Phân Tích Thị Trường &amp; Luận Cứ Kinh Doanh   |   v4.0 · Tháng 6/2026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1A5276"/>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1A527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40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2026-06-26T06:17:00.867Z</dcterms:created>
  <dcterms:modified xsi:type="dcterms:W3CDTF">2026-06-26T06:17:00.868Z</dcterms:modified>
</cp:coreProperties>
</file>

<file path=docProps/custom.xml><?xml version="1.0" encoding="utf-8"?>
<Properties xmlns="http://schemas.openxmlformats.org/officeDocument/2006/custom-properties" xmlns:vt="http://schemas.openxmlformats.org/officeDocument/2006/docPropsVTypes"/>
</file>