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A5276"/>
          <w:sz w:val="52"/>
          <w:szCs w:val="52"/>
        </w:rPr>
        <w:t xml:space="preserve">AgriContract</w:t>
      </w:r>
    </w:p>
    <w:p>
      <w:pPr>
        <w:spacing w:after="200" w:before="200"/>
        <w:jc w:val="center"/>
      </w:pPr>
      <w:r>
        <w:rPr>
          <w:rFonts w:ascii="Calibri" w:cs="Calibri" w:eastAsia="Calibri" w:hAnsi="Calibri"/>
          <w:b/>
          <w:bCs/>
          <w:color w:val="2E4057"/>
          <w:sz w:val="32"/>
          <w:szCs w:val="32"/>
        </w:rPr>
        <w:t xml:space="preserve">Phân Tích Thị Trường &amp; Luận Cứ Kinh Doanh</w:t>
      </w:r>
    </w:p>
    <w:p>
      <w:pPr>
        <w:jc w:val="center"/>
      </w:pPr>
      <w:r>
        <w:rPr>
          <w:rFonts w:ascii="Calibri" w:cs="Calibri" w:eastAsia="Calibri" w:hAnsi="Calibri"/>
          <w:i/>
          <w:iCs/>
          <w:color w:val="777777"/>
          <w:sz w:val="22"/>
          <w:szCs w:val="22"/>
        </w:rPr>
        <w:t xml:space="preserve">Tài liệu nội bộ — Đồ Án Tốt Nghiệp</w:t>
      </w:r>
    </w:p>
    <w:p>
      <w:pPr>
        <w:spacing w:before="400"/>
        <w:jc w:val="center"/>
      </w:pPr>
      <w:r>
        <w:rPr>
          <w:rFonts w:ascii="Calibri" w:cs="Calibri" w:eastAsia="Calibri" w:hAnsi="Calibri"/>
          <w:color w:val="999999"/>
          <w:sz w:val="20"/>
          <w:szCs w:val="20"/>
        </w:rPr>
        <w:t xml:space="preserve">Phiên bản 2.0  |  Tháng 6/2026</w:t>
      </w:r>
    </w:p>
    <w:p>
      <w:pPr>
        <w:pageBreakBefore/>
      </w:pPr>
      <w:r>
        <w:t xml:space="preserve"/>
      </w:r>
    </w:p>
    <w:p>
      <w:pPr>
        <w:pStyle w:val="Heading1"/>
        <w:spacing w:after="180" w:before="360"/>
      </w:pPr>
      <w:r>
        <w:rPr>
          <w:rFonts w:ascii="Calibri" w:cs="Calibri" w:eastAsia="Calibri" w:hAnsi="Calibri"/>
          <w:b/>
          <w:bCs/>
          <w:color w:val="1A5276"/>
          <w:sz w:val="28"/>
          <w:szCs w:val="28"/>
        </w:rPr>
        <w:t xml:space="preserve">1. Bối Cảnh Kinh Tế Vĩ Mô — Ngành Nông Nghiệp Việt Nam</w:t>
      </w:r>
    </w:p>
    <w:p>
      <w:pPr>
        <w:spacing w:after="80" w:before="80"/>
      </w:pPr>
      <w:r>
        <w:rPr>
          <w:rFonts w:ascii="Calibri" w:cs="Calibri" w:eastAsia="Calibri" w:hAnsi="Calibri"/>
          <w:sz w:val="22"/>
          <w:szCs w:val="22"/>
        </w:rPr>
        <w:t xml:space="preserve">Nông nghiệp là trụ đỡ chiến lược của nền kinh tế Việt Nam. Trong bối cảnh biến động toàn cầu năm 2025, ngành nông nghiệp không chỉ giữ vững mà còn tăng tốc mạnh mẽ.</w:t>
      </w:r>
    </w:p>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1.1 Quy Mô Xuất Khẩu — Kỷ Lục Liên Tiếp</w:t>
      </w:r>
    </w:p>
    <w:p>
      <w:pPr>
        <w:spacing w:after="80" w:before="80"/>
      </w:pPr>
      <w:r>
        <w:rPr>
          <w:rFonts w:ascii="Calibri" w:cs="Calibri" w:eastAsia="Calibri" w:hAnsi="Calibri"/>
          <w:sz w:val="22"/>
          <w:szCs w:val="22"/>
        </w:rPr>
        <w:t xml:space="preserve">Năm 2025, kim ngạch xuất khẩu nông lâm thủy sản Việt Nam đạt 70,09 tỷ USD, tăng 12% so với năm 2024 và vượt xa mục tiêu 65 tỷ USD ban đầu. Thặng dư thương mại đạt kỷ lục 21 tỷ USD.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600"/>
      </w:tblGrid>
      <w:tr>
        <w:trPr>
          <w:tblHeader/>
        </w:trPr>
        <w:tc>
          <w:tcPr>
            <w:tcW w:type="dxa" w:w="28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Mặt hàng</w:t>
            </w:r>
          </w:p>
        </w:tc>
        <w:tc>
          <w:tcPr>
            <w:tcW w:type="dxa" w:w="18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Kim ngạch 2025</w:t>
            </w:r>
          </w:p>
        </w:tc>
        <w:tc>
          <w:tcPr>
            <w:tcW w:type="dxa" w:w="18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Tăng trưởng YoY</w:t>
            </w:r>
          </w:p>
        </w:tc>
        <w:tc>
          <w:tcPr>
            <w:tcW w:type="dxa" w:w="26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Vị thế thế giới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Cà phê</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8,57 tỷ USD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+54,4%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Xuất khẩu Robusta số 1 thế giới</w:t>
            </w:r>
          </w:p>
        </w:tc>
      </w:tr>
      <w:tr>
        <w:tc>
          <w:tcPr>
            <w:tcW w:type="dxa" w:w="2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Rau quả</w:t>
            </w:r>
          </w:p>
        </w:tc>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8,56 tỷ USD</w:t>
            </w:r>
          </w:p>
        </w:tc>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Kỷ lục mới</w:t>
            </w:r>
          </w:p>
        </w:tc>
        <w:tc>
          <w:tcPr>
            <w:tcW w:type="dxa" w:w="26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Top 10 thế giới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Gỗ &amp; sản phẩm gỗ</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17,32 tỷ USD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+6,6%</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Xuất khẩu đồ gỗ số 2 thế giới</w:t>
            </w:r>
          </w:p>
        </w:tc>
      </w:tr>
      <w:tr>
        <w:tc>
          <w:tcPr>
            <w:tcW w:type="dxa" w:w="2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Cao su</w:t>
            </w:r>
          </w:p>
        </w:tc>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11 tỷ USD (ước)</w:t>
            </w:r>
          </w:p>
        </w:tc>
        <w:tc>
          <w:tcPr>
            <w:tcW w:type="dxa" w:w="18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+~10%</w:t>
            </w:r>
          </w:p>
        </w:tc>
        <w:tc>
          <w:tcPr>
            <w:tcW w:type="dxa" w:w="26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Xuất khẩu cao su tự nhiên top 3 thế giới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Điều</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5,23 tỷ USD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+20,4%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Xuất khẩu điều nhân số 1 thế giới, 18 năm liên tiếp</w:t>
            </w:r>
          </w:p>
        </w:tc>
      </w:tr>
    </w:tbl>
    <w:p>
      <w:pPr>
        <w:spacing w:after="80" w:before="80"/>
      </w:pPr>
      <w:r>
        <w:t xml:space="preserve"/>
      </w:r>
    </w:p>
    <w:p>
      <w:pPr>
        <w:spacing w:after="80" w:before="80"/>
      </w:pPr>
      <w:r>
        <w:rPr>
          <w:rFonts w:ascii="Calibri" w:cs="Calibri" w:eastAsia="Calibri" w:hAnsi="Calibri"/>
          <w:i/>
          <w:iCs/>
          <w:color w:val="555555"/>
          <w:sz w:val="22"/>
          <w:szCs w:val="22"/>
        </w:rPr>
        <w:t xml:space="preserve">Nguồn tổng hợp: Bộ Nông nghiệp và Môi trường (tháng 1/2026); VICOFA; VRA; VINACAS; VietnamPlus</w:t>
      </w:r>
    </w:p>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1.2 Chi Tiết Từng Ngành Hàng Chiến Lược</w:t>
      </w:r>
    </w:p>
    <w:p>
      <w:pPr>
        <w:pStyle w:val="Heading3"/>
        <w:spacing w:after="100" w:before="200"/>
      </w:pPr>
      <w:r>
        <w:rPr>
          <w:rFonts w:ascii="Calibri" w:cs="Calibri" w:eastAsia="Calibri" w:hAnsi="Calibri"/>
          <w:b/>
          <w:bCs/>
          <w:color w:val="2E4057"/>
          <w:sz w:val="22"/>
          <w:szCs w:val="22"/>
        </w:rPr>
        <w:t xml:space="preserve">Cà phê — Siêu chu kỳ giá chưa từng có</w:t>
      </w:r>
    </w:p>
    <w:p>
      <w:pPr>
        <w:spacing w:after="80" w:before="80"/>
      </w:pPr>
      <w:r>
        <w:rPr>
          <w:rFonts w:ascii="Calibri" w:cs="Calibri" w:eastAsia="Calibri" w:hAnsi="Calibri"/>
          <w:sz w:val="22"/>
          <w:szCs w:val="22"/>
        </w:rPr>
        <w:t xml:space="preserve">Năm 2024, giá cà phê Robusta tại Tây Nguyên tăng từ 60 triệu đồng/tấn lên 135 triệu đồng/tấn — mức cao nhất lịch sử. Đây là nguyên nhân trực tiếp gây ra làn sóng bẻ kèo hàng loạt trên toàn chuỗi cung ứng.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4"/>
              <w:left w:val="single" w:color="1A5276" w:sz="4"/>
              <w:bottom w:val="single" w:color="1A5276" w:sz="4"/>
              <w:right w:val="single" w:color="1A5276" w:sz="4"/>
            </w:tcBorders>
            <w:shd w:fill="D5F5E3" w:val="clear"/>
            <w:tcMar>
              <w:top w:type="dxa" w:w="120"/>
              <w:left w:type="dxa" w:w="200"/>
              <w:bottom w:type="dxa" w:w="120"/>
              <w:right w:type="dxa" w:w="200"/>
            </w:tcMar>
          </w:tcPr>
          <w:p>
            <w:pPr>
              <w:spacing w:after="60" w:before="60"/>
            </w:pPr>
            <w:r>
              <w:rPr>
                <w:rFonts w:ascii="Calibri" w:cs="Calibri" w:eastAsia="Calibri" w:hAnsi="Calibri"/>
                <w:sz w:val="20"/>
                <w:szCs w:val="20"/>
              </w:rPr>
              <w:t xml:space="preserve">Ông Phan Minh Thông, Chủ tịch Phúc Sinh Group:</w:t>
            </w:r>
          </w:p>
          <w:p>
            <w:pPr>
              <w:spacing w:after="60" w:before="60"/>
            </w:pPr>
            <w:r>
              <w:rPr>
                <w:rFonts w:ascii="Calibri" w:cs="Calibri" w:eastAsia="Calibri" w:hAnsi="Calibri"/>
                <w:sz w:val="20"/>
                <w:szCs w:val="20"/>
              </w:rPr>
              <w:t xml:space="preserve">"Một tỷ lệ lớn các nhà cung cấp không giao hàng, nên các nhà xuất khẩu đang vật lộn."</w:t>
            </w:r>
          </w:p>
          <w:p>
            <w:pPr>
              <w:spacing w:after="60" w:before="60"/>
            </w:pPr>
            <w:r>
              <w:rPr>
                <w:rFonts w:ascii="Calibri" w:cs="Calibri" w:eastAsia="Calibri" w:hAnsi="Calibri"/>
                <w:sz w:val="20"/>
                <w:szCs w:val="20"/>
              </w:rPr>
              <w:t xml:space="preserve"/>
            </w:r>
          </w:p>
          <w:p>
            <w:pPr>
              <w:spacing w:after="60" w:before="60"/>
            </w:pPr>
            <w:r>
              <w:rPr>
                <w:rFonts w:ascii="Calibri" w:cs="Calibri" w:eastAsia="Calibri" w:hAnsi="Calibri"/>
                <w:sz w:val="20"/>
                <w:szCs w:val="20"/>
              </w:rPr>
              <w:t xml:space="preserve">Ông Lê Đức Huy, TGĐ Công ty XNK 2/9 Đắk Lắk:</w:t>
            </w:r>
          </w:p>
          <w:p>
            <w:pPr>
              <w:spacing w:after="60" w:before="60"/>
            </w:pPr>
            <w:r>
              <w:rPr>
                <w:rFonts w:ascii="Calibri" w:cs="Calibri" w:eastAsia="Calibri" w:hAnsi="Calibri"/>
                <w:sz w:val="20"/>
                <w:szCs w:val="20"/>
              </w:rPr>
              <w:t xml:space="preserve">"Doanh nghiệp điều chỉnh kế hoạch kinh doanh, giảm 15% sản lượng từ 125.000 tấn xuống 105.000 tấn để kiểm soát rủi ro."</w:t>
            </w:r>
          </w:p>
        </w:tc>
      </w:tr>
    </w:tbl>
    <w:p>
      <w:pPr>
        <w:spacing w:after="80" w:before="80"/>
      </w:pPr>
      <w:r>
        <w:t xml:space="preserve"/>
      </w:r>
    </w:p>
    <w:p>
      <w:pPr>
        <w:spacing w:after="120" w:before="40"/>
        <w:ind w:left="720"/>
      </w:pPr>
      <w:r>
        <w:rPr>
          <w:rFonts w:ascii="Calibri" w:cs="Calibri" w:eastAsia="Calibri" w:hAnsi="Calibri"/>
          <w:i/>
          <w:iCs/>
          <w:color w:val="777777"/>
          <w:sz w:val="18"/>
          <w:szCs w:val="18"/>
        </w:rPr>
        <w:t xml:space="preserve">Nguồn: VTV.vn — Giá thu mua tăng cao, cơ hội và thách thức của ngành cà phê Việt Nam, 17/4/2024
https://vtv.vn/kinh-te/gia-thu-mua-tang-cao-co-hoi-va-thach-thuc-cua-nganh-ca-phe-viet-nam-20240417111149261.htm</w:t>
      </w:r>
    </w:p>
    <w:p>
      <w:pPr>
        <w:spacing w:after="80" w:before="80"/>
      </w:pPr>
      <w:r>
        <w:t xml:space="preserve"/>
      </w:r>
    </w:p>
    <w:p>
      <w:pPr>
        <w:spacing w:after="80" w:before="80"/>
      </w:pPr>
      <w:r>
        <w:rPr>
          <w:rFonts w:ascii="Calibri" w:cs="Calibri" w:eastAsia="Calibri" w:hAnsi="Calibri"/>
          <w:sz w:val="22"/>
          <w:szCs w:val="22"/>
        </w:rPr>
        <w:t xml:space="preserve">Kim ngạch xuất khẩu cà phê 2025 đạt 8,57 tỷ USD, tăng 54,4% so với 2024. Việt Nam xuất khẩu 1,5 triệu tấn, doanh thu kỷ lục. Thị trường EU chiếm ~40% kim ngạch xuất khẩu cà phê.</w:t>
      </w:r>
    </w:p>
    <w:p>
      <w:pPr>
        <w:spacing w:after="120" w:before="40"/>
        <w:ind w:left="720"/>
      </w:pPr>
      <w:r>
        <w:rPr>
          <w:rFonts w:ascii="Calibri" w:cs="Calibri" w:eastAsia="Calibri" w:hAnsi="Calibri"/>
          <w:i/>
          <w:iCs/>
          <w:color w:val="777777"/>
          <w:sz w:val="18"/>
          <w:szCs w:val="18"/>
        </w:rPr>
        <w:t xml:space="preserve">Nguồn: VICOFA — Báo cáo tổng kết niên vụ cà phê 2024–2025, tháng 10/2025
https://xanh.tanmaixanh.vn/document/view/bao-cao-tong-ket-nien-vu-ca-phe-2024-2025-va-phuong-huong-nhiem-vu-nien-vu-2025-2026</w:t>
      </w:r>
    </w:p>
    <w:p>
      <w:pPr>
        <w:spacing w:after="80" w:before="80"/>
      </w:pPr>
      <w:r>
        <w:t xml:space="preserve"/>
      </w:r>
    </w:p>
    <w:p>
      <w:pPr>
        <w:pStyle w:val="Heading3"/>
        <w:spacing w:after="100" w:before="200"/>
      </w:pPr>
      <w:r>
        <w:rPr>
          <w:rFonts w:ascii="Calibri" w:cs="Calibri" w:eastAsia="Calibri" w:hAnsi="Calibri"/>
          <w:b/>
          <w:bCs/>
          <w:color w:val="2E4057"/>
          <w:sz w:val="22"/>
          <w:szCs w:val="22"/>
        </w:rPr>
        <w:t xml:space="preserve">Cao su — Tăng trưởng giá trị vượt trội</w:t>
      </w:r>
    </w:p>
    <w:p>
      <w:pPr>
        <w:spacing w:after="80" w:before="80"/>
      </w:pPr>
      <w:r>
        <w:rPr>
          <w:rFonts w:ascii="Calibri" w:cs="Calibri" w:eastAsia="Calibri" w:hAnsi="Calibri"/>
          <w:sz w:val="22"/>
          <w:szCs w:val="22"/>
        </w:rPr>
        <w:t xml:space="preserve">Năm 2024, Việt Nam xuất khẩu ~2 triệu tấn cao su tự nhiên, đạt 3,42 tỷ USD (+18% giá trị dù -6% khối lượng). Tổng toàn ngành cao su (bao gồm sản phẩm chế biến và gỗ cao su) đạt 10,2 tỷ USD.</w:t>
      </w:r>
    </w:p>
    <w:p>
      <w:pPr>
        <w:spacing w:after="80" w:before="80"/>
      </w:pPr>
      <w:r>
        <w:rPr>
          <w:rFonts w:ascii="Calibri" w:cs="Calibri" w:eastAsia="Calibri" w:hAnsi="Calibri"/>
          <w:sz w:val="22"/>
          <w:szCs w:val="22"/>
        </w:rPr>
        <w:t xml:space="preserve">VRA dự báo năm 2025 toàn ngành đạt 11–11,6 tỷ USD (+10%), dựa trên giá tăng mạnh và nhu cầu phục hồi từ Trung Quốc, Ấn Độ.</w:t>
      </w:r>
    </w:p>
    <w:p>
      <w:pPr>
        <w:spacing w:after="120" w:before="40"/>
        <w:ind w:left="720"/>
      </w:pPr>
      <w:r>
        <w:rPr>
          <w:rFonts w:ascii="Calibri" w:cs="Calibri" w:eastAsia="Calibri" w:hAnsi="Calibri"/>
          <w:i/>
          <w:iCs/>
          <w:color w:val="777777"/>
          <w:sz w:val="18"/>
          <w:szCs w:val="18"/>
        </w:rPr>
        <w:t xml:space="preserve">Nguồn: Vietnam Rubber Association (VRA) — Vietnam Rubber Industry International Conference 2025, tháng 12/2025
https://www.vietnam.vn/en/xuat-khau-cao-su-du-kien-dat-hon-11-ty-usd</w:t>
      </w:r>
    </w:p>
    <w:p>
      <w:pPr>
        <w:spacing w:after="80" w:before="80"/>
      </w:pPr>
      <w:r>
        <w:t xml:space="preserve"/>
      </w:r>
    </w:p>
    <w:p>
      <w:pPr>
        <w:pStyle w:val="Heading3"/>
        <w:spacing w:after="100" w:before="200"/>
      </w:pPr>
      <w:r>
        <w:rPr>
          <w:rFonts w:ascii="Calibri" w:cs="Calibri" w:eastAsia="Calibri" w:hAnsi="Calibri"/>
          <w:b/>
          <w:bCs/>
          <w:color w:val="2E4057"/>
          <w:sz w:val="22"/>
          <w:szCs w:val="22"/>
        </w:rPr>
        <w:t xml:space="preserve">Điều — Xuất khẩu kỷ lục, rủi ro chuỗi cung ứng</w:t>
      </w:r>
    </w:p>
    <w:p>
      <w:pPr>
        <w:spacing w:after="80" w:before="80"/>
      </w:pPr>
      <w:r>
        <w:rPr>
          <w:rFonts w:ascii="Calibri" w:cs="Calibri" w:eastAsia="Calibri" w:hAnsi="Calibri"/>
          <w:sz w:val="22"/>
          <w:szCs w:val="22"/>
        </w:rPr>
        <w:t xml:space="preserve">Năm 2025, Việt Nam xuất khẩu 766.600 tấn điều nhân, đạt 5,23 tỷ USD (+20,4%). Việt Nam giữ vị trí số 1 thế giới 18 năm liên tiếp, chiếm &gt;80% tổng xuất khẩu điều toàn cầu.</w:t>
      </w:r>
    </w:p>
    <w:p>
      <w:pPr>
        <w:spacing w:after="80" w:before="80"/>
      </w:pPr>
      <w:r>
        <w:rPr>
          <w:rFonts w:ascii="Calibri" w:cs="Calibri" w:eastAsia="Calibri" w:hAnsi="Calibri"/>
          <w:sz w:val="22"/>
          <w:szCs w:val="22"/>
        </w:rPr>
        <w:t xml:space="preserve">Tuy nhiên, 90% nguyên liệu thô phụ thuộc vào nhập khẩu từ châu Phi và Campuchia — đây là rủi ro chuỗi cung ứng cấu trúc nghiêm trọng.</w:t>
      </w:r>
    </w:p>
    <w:p>
      <w:pPr>
        <w:spacing w:after="120" w:before="40"/>
        <w:ind w:left="720"/>
      </w:pPr>
      <w:r>
        <w:rPr>
          <w:rFonts w:ascii="Calibri" w:cs="Calibri" w:eastAsia="Calibri" w:hAnsi="Calibri"/>
          <w:i/>
          <w:iCs/>
          <w:color w:val="777777"/>
          <w:sz w:val="18"/>
          <w:szCs w:val="18"/>
        </w:rPr>
        <w:t xml:space="preserve">Nguồn: VINACAS &amp; Tổng cục Hải quan Việt Nam — Số liệu xuất khẩu điều 2025, tháng 1/2026
https://vietnamnet.vn/en/cashew-paradox-vietnam-exports-soar-but-imports-hit-record-high-2480954.html</w:t>
      </w:r>
    </w:p>
    <w:p>
      <w:pPr>
        <w:spacing w:after="80" w:before="80"/>
      </w:pPr>
      <w:r>
        <w:t xml:space="preserve"/>
      </w:r>
    </w:p>
    <w:p>
      <w:pPr>
        <w:pStyle w:val="Heading1"/>
        <w:spacing w:after="180" w:before="360"/>
      </w:pPr>
      <w:r>
        <w:rPr>
          <w:rFonts w:ascii="Calibri" w:cs="Calibri" w:eastAsia="Calibri" w:hAnsi="Calibri"/>
          <w:b/>
          <w:bCs/>
          <w:color w:val="1A5276"/>
          <w:sz w:val="28"/>
          <w:szCs w:val="28"/>
        </w:rPr>
        <w:t xml:space="preserve">2. Ba Đặc Thù Cấu Trúc Của Thị Trường Nông Sản B2B</w:t>
      </w:r>
    </w:p>
    <w:p>
      <w:pPr>
        <w:spacing w:after="80" w:before="80"/>
      </w:pPr>
      <w:r>
        <w:rPr>
          <w:rFonts w:ascii="Calibri" w:cs="Calibri" w:eastAsia="Calibri" w:hAnsi="Calibri"/>
          <w:sz w:val="22"/>
          <w:szCs w:val="22"/>
        </w:rPr>
        <w:t xml:space="preserve">AgriContract không nhắm vào nông nghiệp nói chung — mà nhắm vào ba đặc thù cấu trúc cụ thể khiến giao dịch B2B nông sản đặc biệt khó khăn và nguy hiểm hơn bất kỳ ngành hàng nào khác.</w:t>
      </w:r>
    </w:p>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2.1 Tính Mùa Vụ — Bẻ Kèo Là Incentive Có Thật</w:t>
      </w:r>
    </w:p>
    <w:p>
      <w:pPr>
        <w:spacing w:after="80" w:before="80"/>
      </w:pPr>
      <w:r>
        <w:rPr>
          <w:rFonts w:ascii="Calibri" w:cs="Calibri" w:eastAsia="Calibri" w:hAnsi="Calibri"/>
          <w:sz w:val="22"/>
          <w:szCs w:val="22"/>
        </w:rPr>
        <w:t xml:space="preserve">Hợp đồng nông sản thường ký trước thu hoạch 3–6 tháng. Trong khoảng thời gian đó, giá thị trường có thể thay đổi hoàn toàn. Khi giá tăng, seller có động cơ bán cho thương lái giá cao hơn; khi giá giảm, buyer có động cơ từ chối hoặc ép giá lại.</w:t>
      </w:r>
    </w:p>
    <w:p>
      <w:pPr>
        <w:spacing w:after="80" w:before="80"/>
      </w:pPr>
      <w:r>
        <w:t xml:space="preserve"/>
      </w:r>
    </w:p>
    <w:p>
      <w:pPr>
        <w:spacing w:after="80" w:before="80"/>
      </w:pPr>
      <w:r>
        <w:rPr>
          <w:rFonts w:ascii="Calibri" w:cs="Calibri" w:eastAsia="Calibri" w:hAnsi="Calibri"/>
          <w:sz w:val="22"/>
          <w:szCs w:val="22"/>
        </w:rPr>
        <w:t xml:space="preserve">Khủng hoảng cà phê 2024 là case study điển hình nhất:</w:t>
      </w:r>
    </w:p>
    <w:p>
      <w:pPr>
        <w:spacing w:after="60" w:before="60"/>
        <w:ind w:left="480" w:hanging="240"/>
      </w:pPr>
      <w:r>
        <w:rPr>
          <w:rFonts w:ascii="Calibri" w:cs="Calibri" w:eastAsia="Calibri" w:hAnsi="Calibri"/>
          <w:sz w:val="22"/>
          <w:szCs w:val="22"/>
        </w:rPr>
        <w:t xml:space="preserve">• Giá Robusta tăng từ 60 triệu → 135 triệu đồng/tấn chỉ trong vài tháng</w:t>
      </w:r>
    </w:p>
    <w:p>
      <w:pPr>
        <w:spacing w:after="60" w:before="60"/>
        <w:ind w:left="480" w:hanging="240"/>
      </w:pPr>
      <w:r>
        <w:rPr>
          <w:rFonts w:ascii="Calibri" w:cs="Calibri" w:eastAsia="Calibri" w:hAnsi="Calibri"/>
          <w:sz w:val="22"/>
          <w:szCs w:val="22"/>
        </w:rPr>
        <w:t xml:space="preserve">• Tỷ lệ nhà cung cấp không giao hàng theo hợp đồng ở mức "lớn" theo xác nhận CEO Phúc Sinh Group</w:t>
      </w:r>
    </w:p>
    <w:p>
      <w:pPr>
        <w:spacing w:after="60" w:before="60"/>
        <w:ind w:left="480" w:hanging="240"/>
      </w:pPr>
      <w:r>
        <w:rPr>
          <w:rFonts w:ascii="Calibri" w:cs="Calibri" w:eastAsia="Calibri" w:hAnsi="Calibri"/>
          <w:sz w:val="22"/>
          <w:szCs w:val="22"/>
        </w:rPr>
        <w:t xml:space="preserve">• Nhiều doanh nghiệp phải cắt giảm kế hoạch kinh doanh 15–20% do thiếu hàng</w:t>
      </w:r>
    </w:p>
    <w:p>
      <w:pPr>
        <w:spacing w:after="80" w:before="80"/>
      </w:pPr>
      <w:r>
        <w:t xml:space="preserve"/>
      </w:r>
    </w:p>
    <w:p>
      <w:pPr>
        <w:spacing w:after="120" w:before="40"/>
        <w:ind w:left="720"/>
      </w:pPr>
      <w:r>
        <w:rPr>
          <w:rFonts w:ascii="Calibri" w:cs="Calibri" w:eastAsia="Calibri" w:hAnsi="Calibri"/>
          <w:i/>
          <w:iCs/>
          <w:color w:val="777777"/>
          <w:sz w:val="18"/>
          <w:szCs w:val="18"/>
        </w:rPr>
        <w:t xml:space="preserve">Nguồn: VTV.vn — Giá thu mua tăng cao, cơ hội và thách thức của ngành cà phê Việt Nam, 17/4/2024
https://vtv.vn/kinh-te/gia-thu-mua-tang-cao-co-hoi-va-thach-thuc-cua-nganh-ca-phe-viet-nam-20240417111149261.htm</w:t>
      </w:r>
    </w:p>
    <w:p>
      <w:pPr>
        <w:spacing w:after="80" w:before="80"/>
      </w:pPr>
      <w:r>
        <w:t xml:space="preserve"/>
      </w:r>
    </w:p>
    <w:p>
      <w:pPr>
        <w:spacing w:after="80" w:before="80"/>
      </w:pPr>
      <w:r>
        <w:rPr>
          <w:rFonts w:ascii="Calibri" w:cs="Calibri" w:eastAsia="Calibri" w:hAnsi="Calibri"/>
          <w:sz w:val="22"/>
          <w:szCs w:val="22"/>
        </w:rPr>
        <w:t xml:space="preserve">Đây không phải hiện tượng riêng của cà phê. GS.TS Trần Đức Viên, nguyên Giám đốc Học viện Nông nghiệp Việt Nam, phân tích:</w:t>
      </w:r>
    </w:p>
    <w:p>
      <w:pPr>
        <w:spacing w:after="60" w:before="60"/>
        <w:ind w:left="720"/>
      </w:pPr>
      <w:r>
        <w:rPr>
          <w:rFonts w:ascii="Calibri" w:cs="Calibri" w:eastAsia="Calibri" w:hAnsi="Calibri"/>
          <w:i/>
          <w:iCs/>
          <w:color w:val="444444"/>
          <w:sz w:val="20"/>
          <w:szCs w:val="20"/>
        </w:rPr>
        <w:t xml:space="preserve">"Khi doanh nghiệp ký hợp đồng thu mua với nông dân, giá chỉ 7.000 đồng/kg, nhưng tới khi thu mua thực tế, giá tăng lên 10.000 đồng/kg. Doanh nghiệp chỉ trả đúng giá hợp đồng. Nông dân không chịu nên bẻ kèo."</w:t>
      </w:r>
    </w:p>
    <w:p>
      <w:pPr>
        <w:spacing w:after="120" w:before="40"/>
        <w:ind w:left="720"/>
      </w:pPr>
      <w:r>
        <w:rPr>
          <w:rFonts w:ascii="Calibri" w:cs="Calibri" w:eastAsia="Calibri" w:hAnsi="Calibri"/>
          <w:i/>
          <w:iCs/>
          <w:color w:val="777777"/>
          <w:sz w:val="18"/>
          <w:szCs w:val="18"/>
        </w:rPr>
        <w:t xml:space="preserve">Nguồn: Vietnamnet — 3 chiêu để hạn chế doanh nghiệp bẻ kèo, nông dân chạy làng, 30/8/2024
https://vietnamnet.vn/3-chieu-de-han-che-doanh-nghiep-be-keo-nong-dan-chay-lang-2316909.html</w:t>
      </w:r>
    </w:p>
    <w:p>
      <w:pPr>
        <w:spacing w:after="80" w:before="80"/>
      </w:pPr>
      <w:r>
        <w:t xml:space="preserve"/>
      </w:r>
    </w:p>
    <w:p>
      <w:pPr>
        <w:spacing w:after="80" w:before="80"/>
      </w:pPr>
      <w:r>
        <w:rPr>
          <w:rFonts w:ascii="Calibri" w:cs="Calibri" w:eastAsia="Calibri" w:hAnsi="Calibri"/>
          <w:sz w:val="22"/>
          <w:szCs w:val="22"/>
        </w:rPr>
        <w:t xml:space="preserve">Theo đánh giá chung tại diễn đàn Thúc đẩy hợp tác liên kết chuỗi giá trị nông nghiệp (tháng 8/2024): tỷ lệ liên kết bền chắc chỉ đạt khoảng 30%. Phần còn lại là liên kết lỏng lẻo, không có cơ chế ràng buộc pháp lý.</w:t>
      </w:r>
    </w:p>
    <w:p>
      <w:pPr>
        <w:spacing w:after="120" w:before="40"/>
        <w:ind w:left="720"/>
      </w:pPr>
      <w:r>
        <w:rPr>
          <w:rFonts w:ascii="Calibri" w:cs="Calibri" w:eastAsia="Calibri" w:hAnsi="Calibri"/>
          <w:i/>
          <w:iCs/>
          <w:color w:val="777777"/>
          <w:sz w:val="18"/>
          <w:szCs w:val="18"/>
        </w:rPr>
        <w:t xml:space="preserve">Nguồn: GS.TS Trần Đức Viên — Viện Nghiên cứu chiến lược thương hiệu và cạnh tranh, 8/2024
https://vietnamnet.vn/3-chieu-de-han-che-doanh-nghiep-be-keo-nong-dan-chay-lang-2316909.html</w:t>
      </w:r>
    </w:p>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2.2 Hàng Dễ Hỏng — Tranh Chấp Không Thể Chờ</w:t>
      </w:r>
    </w:p>
    <w:p>
      <w:pPr>
        <w:spacing w:after="80" w:before="80"/>
      </w:pPr>
      <w:r>
        <w:rPr>
          <w:rFonts w:ascii="Calibri" w:cs="Calibri" w:eastAsia="Calibri" w:hAnsi="Calibri"/>
          <w:sz w:val="22"/>
          <w:szCs w:val="22"/>
        </w:rPr>
        <w:t xml:space="preserve">Không như thép, xi măng hay hàng công nghiệp, nông sản không thể chờ. Khi tranh chấp xảy ra tại thời điểm giao hàng, hệ thống tòa án thương mại Việt Nam có thể mất 1–3 năm để phán xử — trong khi hàng hóa đã hỏng hoàn toàn.</w:t>
      </w:r>
    </w:p>
    <w:p>
      <w:pPr>
        <w:spacing w:after="80" w:before="80"/>
      </w:pPr>
      <w:r>
        <w:t xml:space="preserve"/>
      </w:r>
    </w:p>
    <w:p>
      <w:pPr>
        <w:spacing w:after="80" w:before="80"/>
      </w:pPr>
      <w:r>
        <w:rPr>
          <w:rFonts w:ascii="Calibri" w:cs="Calibri" w:eastAsia="Calibri" w:hAnsi="Calibri"/>
          <w:sz w:val="22"/>
          <w:szCs w:val="22"/>
        </w:rPr>
        <w:t xml:space="preserve">Năm 2024, VIAC (Trung tâm Trọng tài Quốc tế Việt Nam) ghi nhận 475 vụ tranh chấp — cao kỷ lục từ khi thành lập. Trong đó tranh chấp mua bán hàng hóa chiếm tỷ lệ lớn nhất (25%), và đây cũng là lĩnh vực có tốc độ tăng trưởng cao.</w:t>
      </w:r>
    </w:p>
    <w:p>
      <w:pPr>
        <w:spacing w:after="120" w:before="40"/>
        <w:ind w:left="720"/>
      </w:pPr>
      <w:r>
        <w:rPr>
          <w:rFonts w:ascii="Calibri" w:cs="Calibri" w:eastAsia="Calibri" w:hAnsi="Calibri"/>
          <w:i/>
          <w:iCs/>
          <w:color w:val="777777"/>
          <w:sz w:val="18"/>
          <w:szCs w:val="18"/>
        </w:rPr>
        <w:t xml:space="preserve">Nguồn: VIAC — Thống kê hoạt động giải quyết tranh chấp năm 2024
https://www.viac.vn/thong-ke/thong-ke-hoat-dong-giai-quyet-tranh-chap-nam-2024-s45.html</w:t>
      </w:r>
    </w:p>
    <w:p>
      <w:pPr>
        <w:spacing w:after="80" w:before="80"/>
      </w:pPr>
      <w:r>
        <w:t xml:space="preserve"/>
      </w:r>
    </w:p>
    <w:p>
      <w:pPr>
        <w:spacing w:after="80" w:before="80"/>
      </w:pPr>
      <w:r>
        <w:rPr>
          <w:rFonts w:ascii="Calibri" w:cs="Calibri" w:eastAsia="Calibri" w:hAnsi="Calibri"/>
          <w:sz w:val="22"/>
          <w:szCs w:val="22"/>
        </w:rPr>
        <w:t xml:space="preserve">Cơ chế escrow và dispute resolution nhanh là đặc biệt cần thiết với nông sản — không phải vì tiện lợi, mà vì tính chất vật lý của hàng hóa. Mỗi ngày trễ trong giải quyết tranh chấp là thiệt hại không thể thu hồi.</w:t>
      </w:r>
    </w:p>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2.3 Bất Đối Xứng Quyền Lực — HTX Nhỏ vs Doanh Nghiệp Lớn</w:t>
      </w:r>
    </w:p>
    <w:p>
      <w:pPr>
        <w:spacing w:after="80" w:before="80"/>
      </w:pPr>
      <w:r>
        <w:rPr>
          <w:rFonts w:ascii="Calibri" w:cs="Calibri" w:eastAsia="Calibri" w:hAnsi="Calibri"/>
          <w:sz w:val="22"/>
          <w:szCs w:val="22"/>
        </w:rPr>
        <w:t xml:space="preserve">90% sản lượng lúa tại ĐBSCL được tiêu thụ qua kênh thương lái. Doanh nghiệp chỉ mua trực tiếp từ nông dân ~10%.</w:t>
      </w:r>
    </w:p>
    <w:p>
      <w:pPr>
        <w:spacing w:after="120" w:before="40"/>
        <w:ind w:left="720"/>
      </w:pPr>
      <w:r>
        <w:rPr>
          <w:rFonts w:ascii="Calibri" w:cs="Calibri" w:eastAsia="Calibri" w:hAnsi="Calibri"/>
          <w:i/>
          <w:iCs/>
          <w:color w:val="777777"/>
          <w:sz w:val="18"/>
          <w:szCs w:val="18"/>
        </w:rPr>
        <w:t xml:space="preserve">Nguồn: Tạp chí Kinh tế Sài Gòn — Được miễn thuế nhưng nông dân vẫn gánh 5% VAT, 20/6/2025
https://thesaigontimes.vn/duoc-mien-thue-nhung-nong-dan-van-ganh-5-vat-tu-thuong-lai-chuyen-sang/</w:t>
      </w:r>
    </w:p>
    <w:p>
      <w:pPr>
        <w:spacing w:after="80" w:before="80"/>
      </w:pPr>
      <w:r>
        <w:t xml:space="preserve"/>
      </w:r>
    </w:p>
    <w:p>
      <w:pPr>
        <w:spacing w:after="80" w:before="80"/>
      </w:pPr>
      <w:r>
        <w:rPr>
          <w:rFonts w:ascii="Calibri" w:cs="Calibri" w:eastAsia="Calibri" w:hAnsi="Calibri"/>
          <w:sz w:val="22"/>
          <w:szCs w:val="22"/>
        </w:rPr>
        <w:t xml:space="preserve">HTX nhỏ không có thông tin thị trường, không có nguồn lực pháp lý để tự bảo vệ, hoàn toàn phụ thuộc vào bên mua lớn hơn nhiều lần. Vấn đề tiếp cận vốn càng làm trầm trọng thêm bất đối xứng này:</w:t>
      </w:r>
    </w:p>
    <w:p>
      <w:pPr>
        <w:spacing w:after="60" w:before="60"/>
        <w:ind w:left="480" w:hanging="240"/>
      </w:pPr>
      <w:r>
        <w:rPr>
          <w:rFonts w:ascii="Calibri" w:cs="Calibri" w:eastAsia="Calibri" w:hAnsi="Calibri"/>
          <w:sz w:val="22"/>
          <w:szCs w:val="22"/>
        </w:rPr>
        <w:t xml:space="preserve">• 57% doanh nghiệp vừa và nhỏ chính thức tại Việt Nam không tiếp cận được tài chính (We-Fi / OCB, 2022)</w:t>
      </w:r>
    </w:p>
    <w:p>
      <w:pPr>
        <w:spacing w:after="60" w:before="60"/>
        <w:ind w:left="480" w:hanging="240"/>
      </w:pPr>
      <w:r>
        <w:rPr>
          <w:rFonts w:ascii="Calibri" w:cs="Calibri" w:eastAsia="Calibri" w:hAnsi="Calibri"/>
          <w:sz w:val="22"/>
          <w:szCs w:val="22"/>
        </w:rPr>
        <w:t xml:space="preserve">• Khoảng cách tài chính SME so với nhu cầu tiềm năng lên đến 68% (We-Fi)</w:t>
      </w:r>
    </w:p>
    <w:p>
      <w:pPr>
        <w:spacing w:after="60" w:before="60"/>
        <w:ind w:left="480" w:hanging="240"/>
      </w:pPr>
      <w:r>
        <w:rPr>
          <w:rFonts w:ascii="Calibri" w:cs="Calibri" w:eastAsia="Calibri" w:hAnsi="Calibri"/>
          <w:sz w:val="22"/>
          <w:szCs w:val="22"/>
        </w:rPr>
        <w:t xml:space="preserve">• Nguyên nhân chính: thiếu tài sản thế chấp có giá trị và thiếu lịch sử tín dụng chính thức</w:t>
      </w:r>
    </w:p>
    <w:p>
      <w:pPr>
        <w:spacing w:after="120" w:before="40"/>
        <w:ind w:left="720"/>
      </w:pPr>
      <w:r>
        <w:rPr>
          <w:rFonts w:ascii="Calibri" w:cs="Calibri" w:eastAsia="Calibri" w:hAnsi="Calibri"/>
          <w:i/>
          <w:iCs/>
          <w:color w:val="777777"/>
          <w:sz w:val="18"/>
          <w:szCs w:val="18"/>
        </w:rPr>
        <w:t xml:space="preserve">Nguồn: We-Fi (Women Entrepreneurs Finance Initiative) &amp; OCB — How cooperation from a bank gives wings to women entrepreneurs in Vietnam, 2022
https://we-fi.org/how-professionalism-and-cooperation-from-a-bank-give-wings-to-women-entrepreneurs-in-vietnam-to-fly/</w:t>
      </w:r>
    </w:p>
    <w:p>
      <w:pPr>
        <w:spacing w:after="80" w:before="80"/>
      </w:pPr>
      <w:r>
        <w:t xml:space="preserve"/>
      </w:r>
    </w:p>
    <w:p>
      <w:pPr>
        <w:spacing w:after="80" w:before="80"/>
      </w:pPr>
      <w:r>
        <w:rPr>
          <w:rFonts w:ascii="Calibri" w:cs="Calibri" w:eastAsia="Calibri" w:hAnsi="Calibri"/>
          <w:sz w:val="22"/>
          <w:szCs w:val="22"/>
        </w:rPr>
        <w:t xml:space="preserve">Bà Cao Xuân Thu Vân, Chủ tịch Liên minh Hợp tác xã Việt Nam, chỉ thẳng điểm nghẽn:</w:t>
      </w:r>
    </w:p>
    <w:p>
      <w:pPr>
        <w:spacing w:after="60" w:before="60"/>
        <w:ind w:left="720"/>
      </w:pPr>
      <w:r>
        <w:rPr>
          <w:rFonts w:ascii="Calibri" w:cs="Calibri" w:eastAsia="Calibri" w:hAnsi="Calibri"/>
          <w:i/>
          <w:iCs/>
          <w:color w:val="444444"/>
          <w:sz w:val="20"/>
          <w:szCs w:val="20"/>
        </w:rPr>
        <w:t xml:space="preserve">"Mô hình liên kết "4 nhà" đang đứt gãy vì nạn bẻ kèo giữa nông dân và doanh nghiệp. Cần lập các hợp đồng chuỗi ràng buộc trách nhiệm để ngân hàng tự tin giải ngân, thay vì chỉ chăm chăm đếm tài sản thế chấp."</w:t>
      </w:r>
    </w:p>
    <w:p>
      <w:pPr>
        <w:spacing w:after="120" w:before="40"/>
        <w:ind w:left="720"/>
      </w:pPr>
      <w:r>
        <w:rPr>
          <w:rFonts w:ascii="Calibri" w:cs="Calibri" w:eastAsia="Calibri" w:hAnsi="Calibri"/>
          <w:i/>
          <w:iCs/>
          <w:color w:val="777777"/>
          <w:sz w:val="18"/>
          <w:szCs w:val="18"/>
        </w:rPr>
        <w:t xml:space="preserve">Nguồn: Báo Pháp Luật TP.HCM — Nghịch lý xuất khẩu cà phê Việt, 4/4/2026
https://plo.vn/nghich-ly-xuat-khau-ca-phe-viet-ban-hang-nui-thu-tien-cac-vi-boc-vac-hang-xo-post902660.html</w:t>
      </w:r>
    </w:p>
    <w:p>
      <w:pPr>
        <w:spacing w:after="80" w:before="80"/>
      </w:pPr>
      <w:r>
        <w:t xml:space="preserve"/>
      </w:r>
    </w:p>
    <w:p>
      <w:pPr>
        <w:pStyle w:val="Heading1"/>
        <w:spacing w:after="180" w:before="360"/>
      </w:pPr>
      <w:r>
        <w:rPr>
          <w:rFonts w:ascii="Calibri" w:cs="Calibri" w:eastAsia="Calibri" w:hAnsi="Calibri"/>
          <w:b/>
          <w:bCs/>
          <w:color w:val="1A5276"/>
          <w:sz w:val="28"/>
          <w:szCs w:val="28"/>
        </w:rPr>
        <w:t xml:space="preserve">3. Tại Sao Bây Giờ — Ba Yếu Tố Hội Tụ</w:t>
      </w:r>
    </w:p>
    <w:p>
      <w:pPr>
        <w:spacing w:after="80" w:before="80"/>
      </w:pPr>
      <w:r>
        <w:rPr>
          <w:rFonts w:ascii="Calibri" w:cs="Calibri" w:eastAsia="Calibri" w:hAnsi="Calibri"/>
          <w:sz w:val="22"/>
          <w:szCs w:val="22"/>
        </w:rPr>
        <w:t xml:space="preserve">AgriContract không chỉ giải quyết pain point lâu đời — ba yếu tố bên ngoài đang hội tụ để tạo ra cửa sổ cơ hội chưa từng có cho giải pháp này.</w:t>
      </w:r>
    </w:p>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3.1 EUDR 2026 — Áp Lực Tuân Thủ Bắt Buộc</w:t>
      </w:r>
    </w:p>
    <w:p>
      <w:pPr>
        <w:spacing w:after="80" w:before="80"/>
      </w:pPr>
      <w:r>
        <w:rPr>
          <w:rFonts w:ascii="Calibri" w:cs="Calibri" w:eastAsia="Calibri" w:hAnsi="Calibri"/>
          <w:sz w:val="22"/>
          <w:szCs w:val="22"/>
        </w:rPr>
        <w:t xml:space="preserve">EU Deforestation Regulation (Quy định (EU) 2023/1115) là đòn bẩy lớn nhất. Quy định này yêu cầu mọi lô hàng cà phê, cao su, gỗ, ca cao xuất khẩu vào EU phải có bằng chứng deforestation-free và audit trail đầy đủ có thể truy xuất đến từng mảnh đất trồng.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Timeline</w:t>
            </w:r>
          </w:p>
        </w:tc>
        <w:tc>
          <w:tcPr>
            <w:tcW w:type="dxa" w:w="26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Đối tượng</w:t>
            </w:r>
          </w:p>
        </w:tc>
        <w:tc>
          <w:tcPr>
            <w:tcW w:type="dxa" w:w="4226"/>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Yêu cầu</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30/12/2026</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Doanh nghiệp lớn &amp; vừa</w:t>
            </w:r>
          </w:p>
        </w:tc>
        <w:tc>
          <w:tcPr>
            <w:tcW w:type="dxa" w:w="4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Nộp Due Diligence Statement đầy đủ, truy xuất đến tọa độ GPS</w:t>
            </w:r>
          </w:p>
        </w:tc>
      </w:tr>
      <w:tr>
        <w:tc>
          <w:tcPr>
            <w:tcW w:type="dxa" w:w="22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30/6/2027</w:t>
            </w:r>
          </w:p>
        </w:tc>
        <w:tc>
          <w:tcPr>
            <w:tcW w:type="dxa" w:w="26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Doanh nghiệp nhỏ &amp; siêu nhỏ</w:t>
            </w:r>
          </w:p>
        </w:tc>
        <w:tc>
          <w:tcPr>
            <w:tcW w:type="dxa" w:w="4226"/>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Nộp DDS đơn giản hóa, truy xuất theo postal code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Từ nay đến deadline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Toàn bộ chuỗi cung ứng</w:t>
            </w:r>
          </w:p>
        </w:tc>
        <w:tc>
          <w:tcPr>
            <w:tcW w:type="dxa" w:w="4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Xây dựng hệ thống truy xuất nguồn gốc số hóa</w:t>
            </w:r>
          </w:p>
        </w:tc>
      </w:tr>
    </w:tbl>
    <w:p>
      <w:pPr>
        <w:spacing w:after="80" w:before="80"/>
      </w:pPr>
      <w:r>
        <w:t xml:space="preserve"/>
      </w:r>
    </w:p>
    <w:p>
      <w:pPr>
        <w:spacing w:after="120" w:before="40"/>
        <w:ind w:left="720"/>
      </w:pPr>
      <w:r>
        <w:rPr>
          <w:rFonts w:ascii="Calibri" w:cs="Calibri" w:eastAsia="Calibri" w:hAnsi="Calibri"/>
          <w:i/>
          <w:iCs/>
          <w:color w:val="777777"/>
          <w:sz w:val="18"/>
          <w:szCs w:val="18"/>
        </w:rPr>
        <w:t xml:space="preserve">Nguồn: World Resources Institute — What Is the EU Deforestation Regulation (EUDR)?, cập nhật 15/5/2026
https://www.wri.org/insights/explain-eu-deforestation-regulation</w:t>
      </w:r>
    </w:p>
    <w:p>
      <w:pPr>
        <w:spacing w:after="120" w:before="40"/>
        <w:ind w:left="720"/>
      </w:pPr>
      <w:r>
        <w:rPr>
          <w:rFonts w:ascii="Calibri" w:cs="Calibri" w:eastAsia="Calibri" w:hAnsi="Calibri"/>
          <w:i/>
          <w:iCs/>
          <w:color w:val="777777"/>
          <w:sz w:val="18"/>
          <w:szCs w:val="18"/>
        </w:rPr>
        <w:t xml:space="preserve">Nguồn: HQTS — EU Deforestation Regulation (EUDR) Postponed: Official 2026–2027 Timeline, 4/12/2025
https://www.hqts.com/eudr-postponed/</w:t>
      </w:r>
    </w:p>
    <w:p>
      <w:pPr>
        <w:spacing w:after="120" w:before="40"/>
        <w:ind w:left="720"/>
      </w:pPr>
      <w:r>
        <w:rPr>
          <w:rFonts w:ascii="Calibri" w:cs="Calibri" w:eastAsia="Calibri" w:hAnsi="Calibri"/>
          <w:i/>
          <w:iCs/>
          <w:color w:val="777777"/>
          <w:sz w:val="18"/>
          <w:szCs w:val="18"/>
        </w:rPr>
        <w:t xml:space="preserve">Nguồn: EC Regulation (EU) 2025/2650 — published Official Journal 23/12/2025, enters into force 26/12/2025
https://www.consilium.europa.eu/en/press/press-releases/2025/12/18/deforestation-council-signs-off-targeted-revision-to-simplify-and-postpone-the-regulation/</w:t>
      </w:r>
    </w:p>
    <w:p>
      <w:pPr>
        <w:spacing w:after="80" w:before="80"/>
      </w:pPr>
      <w:r>
        <w:t xml:space="preserve"/>
      </w:r>
    </w:p>
    <w:p>
      <w:pPr>
        <w:spacing w:after="80" w:before="80"/>
      </w:pPr>
      <w:r>
        <w:rPr>
          <w:rFonts w:ascii="Calibri" w:cs="Calibri" w:eastAsia="Calibri" w:hAnsi="Calibri"/>
          <w:sz w:val="22"/>
          <w:szCs w:val="22"/>
        </w:rPr>
        <w:t xml:space="preserve">Việt Nam là nước "low-risk" theo EUDR benchmarking — đây là lợi thế. Nhưng để tận dụng lợi thế đó, doanh nghiệp xuất khẩu phải chứng minh được audit trail đầy đủ cho TOÀN BỘ chuỗi cung ứng, bao gồm khâu thu mua từ HTX.</w:t>
      </w:r>
    </w:p>
    <w:p>
      <w:pPr>
        <w:spacing w:after="80" w:before="80"/>
      </w:pPr>
      <w:r>
        <w:rPr>
          <w:rFonts w:ascii="Calibri" w:cs="Calibri" w:eastAsia="Calibri" w:hAnsi="Calibri"/>
          <w:sz w:val="22"/>
          <w:szCs w:val="22"/>
        </w:rPr>
        <w:t xml:space="preserve">AgriContract giải quyết chính xác layer này: hợp đồng số có timestamp + lịch sử đàm phán bất biến + dữ liệu giao nhận = bằng chứng EUDR-ready có thể xuất báo cáo bằng 1 cú click.</w:t>
      </w:r>
    </w:p>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3.2 Quy Mô Xuất Khẩu &amp; Áp Lực Chuẩn Hóa</w:t>
      </w:r>
    </w:p>
    <w:p>
      <w:pPr>
        <w:spacing w:after="80" w:before="80"/>
      </w:pPr>
      <w:r>
        <w:rPr>
          <w:rFonts w:ascii="Calibri" w:cs="Calibri" w:eastAsia="Calibri" w:hAnsi="Calibri"/>
          <w:sz w:val="22"/>
          <w:szCs w:val="22"/>
        </w:rPr>
        <w:t xml:space="preserve">Với 70 tỷ USD xuất khẩu nông sản năm 2025 (+12% YoY) và mục tiêu 73–74 tỷ USD năm 2026, áp lực chuẩn hóa quy trình giao dịch không còn là "nên làm" — mà là sinh tử với khả năng tiếp cận thị trường quốc tế.</w:t>
      </w:r>
    </w:p>
    <w:p>
      <w:pPr>
        <w:spacing w:after="120" w:before="40"/>
        <w:ind w:left="720"/>
      </w:pPr>
      <w:r>
        <w:rPr>
          <w:rFonts w:ascii="Calibri" w:cs="Calibri" w:eastAsia="Calibri" w:hAnsi="Calibri"/>
          <w:i/>
          <w:iCs/>
          <w:color w:val="777777"/>
          <w:sz w:val="18"/>
          <w:szCs w:val="18"/>
        </w:rPr>
        <w:t xml:space="preserve">Nguồn: Bộ Nông nghiệp và Môi trường — Họp báo tổng kết nông lâm thủy sản 2025, 6/1/2026
https://www.vietnam.vn/en/xuat-khau-nong-lam-thuy-san-vuot-70-ty-usd</w:t>
      </w:r>
    </w:p>
    <w:p>
      <w:pPr>
        <w:spacing w:after="80" w:before="80"/>
      </w:pPr>
      <w:r>
        <w:t xml:space="preserve"/>
      </w:r>
    </w:p>
    <w:p>
      <w:pPr>
        <w:spacing w:after="80" w:before="80"/>
      </w:pPr>
      <w:r>
        <w:rPr>
          <w:rFonts w:ascii="Calibri" w:cs="Calibri" w:eastAsia="Calibri" w:hAnsi="Calibri"/>
          <w:sz w:val="22"/>
          <w:szCs w:val="22"/>
        </w:rPr>
        <w:t xml:space="preserve">Xu hướng số hóa chuỗi cung ứng nông nghiệp cũng đang được ngân hàng thúc đẩy mạnh mẽ. BIDV và Techcombank đã tham gia trực tiếp vào nền tảng truy xuất blockchain Agrichain (Exabyte), cho thấy các ngân hàng đang dịch chuyển từ "application layer" sang "data layer" trong fintech nông nghiệp.</w:t>
      </w:r>
    </w:p>
    <w:p>
      <w:pPr>
        <w:spacing w:after="120" w:before="40"/>
        <w:ind w:left="720"/>
      </w:pPr>
      <w:r>
        <w:rPr>
          <w:rFonts w:ascii="Calibri" w:cs="Calibri" w:eastAsia="Calibri" w:hAnsi="Calibri"/>
          <w:i/>
          <w:iCs/>
          <w:color w:val="777777"/>
          <w:sz w:val="18"/>
          <w:szCs w:val="18"/>
        </w:rPr>
        <w:t xml:space="preserve">Nguồn: Vietnam.vn — Banks partner with the digital agricultural supply chain, 1/4/2026
https://www.vietnam.vn/en/ngan-hang-dong-hanh-cung-chuoi-nong-san-so</w:t>
      </w:r>
    </w:p>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3.3 Chính Sách Số Hóa Nông Nghiệp Quốc Gia</w:t>
      </w:r>
    </w:p>
    <w:p>
      <w:pPr>
        <w:spacing w:after="80" w:before="80"/>
      </w:pPr>
      <w:r>
        <w:rPr>
          <w:rFonts w:ascii="Calibri" w:cs="Calibri" w:eastAsia="Calibri" w:hAnsi="Calibri"/>
          <w:sz w:val="22"/>
          <w:szCs w:val="22"/>
        </w:rPr>
        <w:t xml:space="preserve">Theo Quyết định 749/QĐ-TTg ngày 03/6/2020, nông nghiệp là 1 trong 8 lĩnh vực ưu tiên chuyển đổi số quốc gia. Mục tiêu năm 2025: 50% doanh nghiệp nông nghiệp ứng dụng công nghệ số.</w:t>
      </w:r>
    </w:p>
    <w:p>
      <w:pPr>
        <w:spacing w:after="80" w:before="80"/>
      </w:pPr>
      <w:r>
        <w:rPr>
          <w:rFonts w:ascii="Calibri" w:cs="Calibri" w:eastAsia="Calibri" w:hAnsi="Calibri"/>
          <w:sz w:val="22"/>
          <w:szCs w:val="22"/>
        </w:rPr>
        <w:t xml:space="preserve">Thực tế năm 2024–2025: mới chỉ đạt ~30% — còn khoảng cách lớn và đây chính là thị trường mở cho các giải pháp số hóa B2B như AgriContract.</w:t>
      </w:r>
    </w:p>
    <w:p>
      <w:pPr>
        <w:spacing w:after="120" w:before="40"/>
        <w:ind w:left="720"/>
      </w:pPr>
      <w:r>
        <w:rPr>
          <w:rFonts w:ascii="Calibri" w:cs="Calibri" w:eastAsia="Calibri" w:hAnsi="Calibri"/>
          <w:i/>
          <w:iCs/>
          <w:color w:val="777777"/>
          <w:sz w:val="18"/>
          <w:szCs w:val="18"/>
        </w:rPr>
        <w:t xml:space="preserve">Nguồn: Tạp chí Kinh tế và Dự báo — Giải pháp thúc đẩy chuyển đổi số ngành nông nghiệp Việt Nam, 28/2/2025
https://kinhtevadubao.vn/giai-phap-thuc-day-chuyen-doi-so-nganh-nong-nghiep-viet-nam-31106.html</w:t>
      </w:r>
    </w:p>
    <w:p>
      <w:pPr>
        <w:spacing w:after="120" w:before="40"/>
        <w:ind w:left="720"/>
      </w:pPr>
      <w:r>
        <w:rPr>
          <w:rFonts w:ascii="Calibri" w:cs="Calibri" w:eastAsia="Calibri" w:hAnsi="Calibri"/>
          <w:i/>
          <w:iCs/>
          <w:color w:val="777777"/>
          <w:sz w:val="18"/>
          <w:szCs w:val="18"/>
        </w:rPr>
        <w:t xml:space="preserve">Nguồn: PSAV — Viet Nam prioritizes digitalization of agriculture sector (trích Quyết định 749/QĐ-TTg)
https://psav-mard.org.vn/viet-nam-prioritizes-digitalization-of-agriculture-sector.html</w:t>
      </w:r>
    </w:p>
    <w:p>
      <w:pPr>
        <w:spacing w:after="80" w:before="80"/>
      </w:pPr>
      <w:r>
        <w:t xml:space="preserve"/>
      </w:r>
    </w:p>
    <w:p>
      <w:pPr>
        <w:pStyle w:val="Heading1"/>
        <w:spacing w:after="180" w:before="360"/>
      </w:pPr>
      <w:r>
        <w:rPr>
          <w:rFonts w:ascii="Calibri" w:cs="Calibri" w:eastAsia="Calibri" w:hAnsi="Calibri"/>
          <w:b/>
          <w:bCs/>
          <w:color w:val="1A5276"/>
          <w:sz w:val="28"/>
          <w:szCs w:val="28"/>
        </w:rPr>
        <w:t xml:space="preserve">4. Ba Pain Point Hệ Thống &amp; Khoảng Trống Thị Trường</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00"/>
      </w:tblGrid>
      <w:tr>
        <w:trPr>
          <w:tblHeader/>
        </w:trPr>
        <w:tc>
          <w:tcPr>
            <w:tcW w:type="dxa" w:w="23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Pain Point</w:t>
            </w:r>
          </w:p>
        </w:tc>
        <w:tc>
          <w:tcPr>
            <w:tcW w:type="dxa" w:w="31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Thực Trạng</w:t>
            </w:r>
          </w:p>
        </w:tc>
        <w:tc>
          <w:tcPr>
            <w:tcW w:type="dxa" w:w="36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Hệ Quả Kinh Tế</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Thiếu bằng chứng hợp đồng</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Phần lớn giao dịch HTX–doanh nghiệp vẫn bằng miệng hoặc tin nhắn; chỉ 30% liên kết đạt mức bền chắc</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Bẻ kèo 2 chiều; tòa án không thụ lý vì không có bằng chứng; thiệt hại hàng nghìn tỷ đồng/năm</w:t>
            </w:r>
          </w:p>
        </w:tc>
      </w:tr>
      <w:tr>
        <w:tc>
          <w:tcPr>
            <w:tcW w:type="dxa" w:w="23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Không có escrow</w:t>
            </w:r>
          </w:p>
        </w:tc>
        <w:tc>
          <w:tcPr>
            <w:tcW w:type="dxa" w:w="31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Không có bên thứ ba giữ tiền trung lập; bên có tiền trì hoãn thanh toán; bên có hàng bán cho thương lái</w:t>
            </w:r>
          </w:p>
        </w:tc>
        <w:tc>
          <w:tcPr>
            <w:tcW w:type="dxa" w:w="36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Buyer mất hàng đặt trước; Seller mất tiền đã giao hàng; không cơ chế tự bảo vệ không cần luật sư</w:t>
            </w:r>
          </w:p>
        </w:tc>
      </w:tr>
      <w:tr>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Thiếu uy tín đối tác</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Không có lịch sử giao dịch số hóa; HTX mới deal lần đầu với doanh nghiệp hoàn toàn mù thông tin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Chi phí tin tưởng cao; phụ thuộc vào mạng lưới quan hệ cá nhân; không mở rộng được</w:t>
            </w:r>
          </w:p>
        </w:tc>
      </w:tr>
    </w:tbl>
    <w:p>
      <w:pPr>
        <w:spacing w:after="80" w:before="80"/>
      </w:pPr>
      <w:r>
        <w:t xml:space="preserve"/>
      </w:r>
    </w:p>
    <w:p>
      <w:pPr>
        <w:spacing w:after="120" w:before="40"/>
        <w:ind w:left="720"/>
      </w:pPr>
      <w:r>
        <w:rPr>
          <w:rFonts w:ascii="Calibri" w:cs="Calibri" w:eastAsia="Calibri" w:hAnsi="Calibri"/>
          <w:i/>
          <w:iCs/>
          <w:color w:val="777777"/>
          <w:sz w:val="18"/>
          <w:szCs w:val="18"/>
        </w:rPr>
        <w:t xml:space="preserve">Nguồn: Tổng hợp từ: Diễn đàn Thúc đẩy hợp tác chuỗi giá trị nông nghiệp (8/2024); VIAC Thống kê 2024; We-Fi &amp; OCB (2022)</w:t>
      </w:r>
    </w:p>
    <w:p>
      <w:pPr>
        <w:spacing w:after="80" w:before="80"/>
      </w:pPr>
      <w:r>
        <w:t xml:space="preserve"/>
      </w:r>
    </w:p>
    <w:p>
      <w:pPr>
        <w:spacing w:after="80" w:before="80"/>
      </w:pPr>
      <w:r>
        <w:rPr>
          <w:rFonts w:ascii="Calibri" w:cs="Calibri" w:eastAsia="Calibri" w:hAnsi="Calibri"/>
          <w:sz w:val="22"/>
          <w:szCs w:val="22"/>
        </w:rPr>
        <w:t xml:space="preserve">Khoảng trống thị trường cốt lõi: Chưa có giải pháp nào tại Việt Nam giải quyết đồng thời cả ba pain point ở tầng HTX/SME nông sản. Các platform hiện tại tập trung vào logistics và bán lẻ, không giải quyết contract layer.</w:t>
      </w:r>
    </w:p>
    <w:p>
      <w:pPr>
        <w:spacing w:after="80" w:before="80"/>
      </w:pPr>
      <w:r>
        <w:t xml:space="preserve"/>
      </w:r>
    </w:p>
    <w:p>
      <w:pPr>
        <w:pStyle w:val="Heading1"/>
        <w:spacing w:after="180" w:before="360"/>
      </w:pPr>
      <w:r>
        <w:rPr>
          <w:rFonts w:ascii="Calibri" w:cs="Calibri" w:eastAsia="Calibri" w:hAnsi="Calibri"/>
          <w:b/>
          <w:bCs/>
          <w:color w:val="1A5276"/>
          <w:sz w:val="28"/>
          <w:szCs w:val="28"/>
        </w:rPr>
        <w:t xml:space="preserve">5. Mô Hình Kinh Doanh &amp; Khách Hàng Mục Tiêu</w:t>
      </w:r>
    </w:p>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5.1 Ai Mua Phần Mềm Này</w:t>
      </w:r>
    </w:p>
    <w:p>
      <w:pPr>
        <w:spacing w:after="80" w:before="80"/>
      </w:pPr>
      <w:r>
        <w:rPr>
          <w:rFonts w:ascii="Calibri" w:cs="Calibri" w:eastAsia="Calibri" w:hAnsi="Calibri"/>
          <w:sz w:val="22"/>
          <w:szCs w:val="22"/>
        </w:rPr>
        <w:t xml:space="preserve">AgriContract không bán trực tiếp cho nông dân lẻ hay HTX nhỏ lẻ. Phần mềm được bán cho tổ chức đủ uy tín và nguồn lực để vận hành platform cho một cộng đồng giao dịch.</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rPr>
          <w:tblHeader/>
        </w:trPr>
        <w:tc>
          <w:tcPr>
            <w:tcW w:type="dxa" w:w="22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Nhóm Khách Hàng</w:t>
            </w:r>
          </w:p>
        </w:tc>
        <w:tc>
          <w:tcPr>
            <w:tcW w:type="dxa" w:w="35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Đặc Điểm</w:t>
            </w:r>
          </w:p>
        </w:tc>
        <w:tc>
          <w:tcPr>
            <w:tcW w:type="dxa" w:w="33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Lý Do Mua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Hiệp hội ngành hàng</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VICOFA (cà phê), VRA (cao su), VINACAS (điều), Hiệp hội Rau quả VN — tổ chức trung lập đại diện cả buyer lẫn seller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Chuẩn hóa giao dịch giữa thành viên; audit trail cho EUDR compliance; không có conflict of interest</w:t>
            </w:r>
          </w:p>
        </w:tc>
      </w:tr>
      <w:tr>
        <w:tc>
          <w:tcPr>
            <w:tcW w:type="dxa" w:w="22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Doanh nghiệp thu mua lớn uy tín</w:t>
            </w:r>
          </w:p>
        </w:tc>
        <w:tc>
          <w:tcPr>
            <w:tcW w:type="dxa" w:w="3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Các công ty cà phê, cao su, gạo được nhà nước công nhận; brand đủ lớn để seller tin</w:t>
            </w:r>
          </w:p>
        </w:tc>
        <w:tc>
          <w:tcPr>
            <w:tcW w:type="dxa" w:w="33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Chuẩn hóa quy trình thu mua; giảm rủi ro bẻ kèo; bằng chứng giao dịch cho báo cáo xuất khẩu EUDR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Ngân hàng nông nghiệp</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Agribank, BIDV — đang có chương trình tín dụng nông nghiệp, cần platform giao dịch để tích hợp escrow thật</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Tích hợp escrow vào sản phẩm tín dụng; ngân hàng hold tiền — giải quyết trust của seller</w:t>
            </w:r>
          </w:p>
        </w:tc>
      </w:tr>
    </w:tbl>
    <w:p>
      <w:pPr>
        <w:spacing w:after="80" w:before="80"/>
      </w:pPr>
      <w:r>
        <w:t xml:space="preserve"/>
      </w:r>
    </w:p>
    <w:p>
      <w:pPr>
        <w:spacing w:after="80" w:before="80"/>
      </w:pPr>
      <w:r>
        <w:rPr>
          <w:rFonts w:ascii="Calibri" w:cs="Calibri" w:eastAsia="Calibri" w:hAnsi="Calibri"/>
          <w:sz w:val="22"/>
          <w:szCs w:val="22"/>
        </w:rPr>
        <w:t xml:space="preserve">Agribank với 2.300 chi nhánh toàn quốc và dư nợ &gt;1.500 nghìn tỷ đồng cho nông nghiệp là đối tác tích hợp tự nhiên nhất trong Phase 2.</w:t>
      </w:r>
    </w:p>
    <w:p>
      <w:pPr>
        <w:spacing w:after="120" w:before="40"/>
        <w:ind w:left="720"/>
      </w:pPr>
      <w:r>
        <w:rPr>
          <w:rFonts w:ascii="Calibri" w:cs="Calibri" w:eastAsia="Calibri" w:hAnsi="Calibri"/>
          <w:i/>
          <w:iCs/>
          <w:color w:val="777777"/>
          <w:sz w:val="18"/>
          <w:szCs w:val="18"/>
        </w:rPr>
        <w:t xml:space="preserve">Nguồn: Vietnam Investment Review — Agribank ramps up efforts to spur business development, 4/6/2024
https://vir.com.vn/agribank-ramps-up-efforts-to-spur-business-development-111584-111584.html</w:t>
      </w:r>
    </w:p>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5.2 Mô Hình Trust Phân Tầng</w:t>
      </w:r>
    </w:p>
    <w:p>
      <w:pPr>
        <w:spacing w:after="80" w:before="80"/>
      </w:pPr>
      <w:r>
        <w:rPr>
          <w:rFonts w:ascii="Calibri" w:cs="Calibri" w:eastAsia="Calibri" w:hAnsi="Calibri"/>
          <w:sz w:val="22"/>
          <w:szCs w:val="22"/>
        </w:rPr>
        <w:t xml:space="preserve">Vấn đề cốt lõi của bất kỳ escrow platform nào là: ai hold tiền và ai tin người đó? AgriContract giải quyết điều này theo mô hình phân tầng:</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rPr>
          <w:tblHeader/>
        </w:trPr>
        <w:tc>
          <w:tcPr>
            <w:tcW w:type="dxa" w:w="22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Tầng</w:t>
            </w:r>
          </w:p>
        </w:tc>
        <w:tc>
          <w:tcPr>
            <w:tcW w:type="dxa" w:w="35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Trust Mechanism</w:t>
            </w:r>
          </w:p>
        </w:tc>
        <w:tc>
          <w:tcPr>
            <w:tcW w:type="dxa" w:w="33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Ví Dụ</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Tầng 1 — Hiệp hội</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Neutral party đã có uy tín sẵn với cả buyer lẫn seller từ trước</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VICOFA deploy cho thành viên cà phê Tây Nguyên</w:t>
            </w:r>
          </w:p>
        </w:tc>
      </w:tr>
      <w:tr>
        <w:tc>
          <w:tcPr>
            <w:tcW w:type="dxa" w:w="22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Tầng 2 — DN lớn uy tín</w:t>
            </w:r>
          </w:p>
        </w:tc>
        <w:tc>
          <w:tcPr>
            <w:tcW w:type="dxa" w:w="3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Brand và track record nhà nước công nhận; seller trust dựa trên lịch sử</w:t>
            </w:r>
          </w:p>
        </w:tc>
        <w:tc>
          <w:tcPr>
            <w:tcW w:type="dxa" w:w="33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Tập đoàn Xuất nhập khẩu 2/9 Đắk Lắk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Tầng 3 — Ngân hàng tích hợp</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Escrow held bởi ngân hàng NHNN giám sát — mức tin tưởng cao nhất</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Agribank/BIDV giải ngân thẳng vào escrow account (Phase 2)</w:t>
            </w:r>
          </w:p>
        </w:tc>
      </w:tr>
    </w:tbl>
    <w:p>
      <w:pPr>
        <w:spacing w:after="80" w:before="80"/>
      </w:pPr>
      <w:r>
        <w:t xml:space="preserve"/>
      </w:r>
    </w:p>
    <w:p>
      <w:pPr>
        <w:pStyle w:val="Heading2"/>
        <w:spacing w:after="120" w:before="280"/>
      </w:pPr>
      <w:r>
        <w:rPr>
          <w:rFonts w:ascii="Calibri" w:cs="Calibri" w:eastAsia="Calibri" w:hAnsi="Calibri"/>
          <w:b/>
          <w:bCs/>
          <w:color w:val="1A5276"/>
          <w:sz w:val="24"/>
          <w:szCs w:val="24"/>
        </w:rPr>
        <w:t xml:space="preserve">5.3 Tầm Nhìn Agri-Fintech Dài Hạn</w:t>
      </w:r>
    </w:p>
    <w:p>
      <w:pPr>
        <w:spacing w:after="80" w:before="80"/>
      </w:pPr>
      <w:r>
        <w:rPr>
          <w:rFonts w:ascii="Calibri" w:cs="Calibri" w:eastAsia="Calibri" w:hAnsi="Calibri"/>
          <w:sz w:val="22"/>
          <w:szCs w:val="22"/>
        </w:rPr>
        <w:t xml:space="preserve">AgriContract tích lũy audit trail bất biến cho mọi giao dịch — hợp đồng đã ký, lịch sử giao hàng, tỷ lệ hoàn thành, kết quả kiểm định. Đây là credit profile của HTX mà ngân hàng có thể đọc.</w:t>
      </w:r>
    </w:p>
    <w:p>
      <w:pPr>
        <w:spacing w:after="80" w:before="80"/>
      </w:pPr>
      <w:r>
        <w:rPr>
          <w:rFonts w:ascii="Calibri" w:cs="Calibri" w:eastAsia="Calibri" w:hAnsi="Calibri"/>
          <w:sz w:val="22"/>
          <w:szCs w:val="22"/>
        </w:rPr>
        <w:t xml:space="preserve">HTX nhỏ hiện không tiếp cận được tín dụng vì thiếu tài sản thế chấp và lịch sử tín dụng chính thức. AgriContract có thể phá vỡ vòng lặp đó: 2 năm data về một HTX trên platform là bằng chứng creditworthiness mà Agribank/BIDV có thể dùng để cấp tín dụng.</w:t>
      </w:r>
    </w:p>
    <w:p>
      <w:pPr>
        <w:spacing w:after="80" w:before="80"/>
      </w:pPr>
      <w:r>
        <w:rPr>
          <w:rFonts w:ascii="Calibri" w:cs="Calibri" w:eastAsia="Calibri" w:hAnsi="Calibri"/>
          <w:sz w:val="22"/>
          <w:szCs w:val="22"/>
        </w:rPr>
        <w:t xml:space="preserve">Đây là hướng mà BIDV đang dịch chuyển thực tế — tham gia trực tiếp vào nền tảng Agrichain blockchain như bên xác thực dữ liệu, không chỉ là bên tài trợ vốn.</w:t>
      </w:r>
    </w:p>
    <w:p>
      <w:pPr>
        <w:spacing w:after="120" w:before="40"/>
        <w:ind w:left="720"/>
      </w:pPr>
      <w:r>
        <w:rPr>
          <w:rFonts w:ascii="Calibri" w:cs="Calibri" w:eastAsia="Calibri" w:hAnsi="Calibri"/>
          <w:i/>
          <w:iCs/>
          <w:color w:val="777777"/>
          <w:sz w:val="18"/>
          <w:szCs w:val="18"/>
        </w:rPr>
        <w:t xml:space="preserve">Nguồn: Vietnam.vn — Xu hướng ứng dụng ngân hàng số và công nghệ vào chuỗi cung ứng nông sản, 4/4/2026
https://www.vietnam.vn/en/xu-huong-ung-dung-ngan-hang-so-va-cong-nghe-vao-chuoi-cung-ung-nong-san</w:t>
      </w:r>
    </w:p>
    <w:p>
      <w:pPr>
        <w:spacing w:after="80" w:before="80"/>
      </w:pPr>
      <w:r>
        <w:t xml:space="preserve"/>
      </w:r>
    </w:p>
    <w:p>
      <w:pPr>
        <w:pStyle w:val="Heading1"/>
        <w:spacing w:after="180" w:before="360"/>
      </w:pPr>
      <w:r>
        <w:rPr>
          <w:rFonts w:ascii="Calibri" w:cs="Calibri" w:eastAsia="Calibri" w:hAnsi="Calibri"/>
          <w:b/>
          <w:bCs/>
          <w:color w:val="1A5276"/>
          <w:sz w:val="28"/>
          <w:szCs w:val="28"/>
        </w:rPr>
        <w:t xml:space="preserve">6. Giới Hạn &amp; Hướng Mở Rộng</w:t>
      </w:r>
    </w:p>
    <w:p>
      <w:pPr>
        <w:spacing w:after="80" w:before="80"/>
      </w:pPr>
      <w:r>
        <w:rPr>
          <w:rFonts w:ascii="Calibri" w:cs="Calibri" w:eastAsia="Calibri" w:hAnsi="Calibri"/>
          <w:sz w:val="22"/>
          <w:szCs w:val="22"/>
        </w:rPr>
        <w:t xml:space="preserve">AgriContract không pretend là giải pháp hoàn hảo. Các limitation được acknowledge rõ ràng:</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00"/>
      </w:tblGrid>
      <w:tr>
        <w:trPr>
          <w:tblHeader/>
        </w:trPr>
        <w:tc>
          <w:tcPr>
            <w:tcW w:type="dxa" w:w="25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Limitation</w:t>
            </w:r>
          </w:p>
        </w:tc>
        <w:tc>
          <w:tcPr>
            <w:tcW w:type="dxa" w:w="33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Lý Do Chấp Nhận</w:t>
            </w:r>
          </w:p>
        </w:tc>
        <w:tc>
          <w:tcPr>
            <w:tcW w:type="dxa" w:w="3200"/>
            <w:tcBorders>
              <w:top w:val="single" w:color="AAAAAA" w:sz="1"/>
              <w:left w:val="single" w:color="AAAAAA" w:sz="1"/>
              <w:bottom w:val="single" w:color="AAAAAA" w:sz="1"/>
              <w:right w:val="single" w:color="AAAAAA" w:sz="1"/>
            </w:tcBorders>
            <w:shd w:fill="1A5276"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Hướng Mở Rộng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Escrow Phase 1 là mock balance</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Technical challenge (idempotency, Saga, compensating transaction) vẫn 100% thật</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Tích hợp Agribank/BIDV API (Phase 2)</w:t>
            </w:r>
          </w:p>
        </w:tc>
      </w:tr>
      <w:tr>
        <w:tc>
          <w:tcPr>
            <w:tcW w:type="dxa" w:w="2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Chưa giải quyết được toàn bộ chain (logistics)</w:t>
            </w:r>
          </w:p>
        </w:tc>
        <w:tc>
          <w:tcPr>
            <w:tcW w:type="dxa" w:w="33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AgriContract giải quyết contract layer — một mảnh cụ thể, không pretend giải quyết tất cả</w:t>
            </w:r>
          </w:p>
        </w:tc>
        <w:tc>
          <w:tcPr>
            <w:tcW w:type="dxa" w:w="32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Mở rộng sang logistics tracking sau</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Chưa có khách hàng thực tế</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Đây là capstone, không phải startup. Business case defend bằng nghiên cứu và chính sách</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alibri" w:cs="Calibri" w:eastAsia="Calibri" w:hAnsi="Calibri"/>
                <w:sz w:val="20"/>
                <w:szCs w:val="20"/>
              </w:rPr>
              <w:t xml:space="preserve">Pilot với một hiệp hội ngành hàng sau graduation</w:t>
            </w:r>
          </w:p>
        </w:tc>
      </w:tr>
      <w:tr>
        <w:tc>
          <w:tcPr>
            <w:tcW w:type="dxa" w:w="25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Partial delivery chưa tự động</w:t>
            </w:r>
          </w:p>
        </w:tc>
        <w:tc>
          <w:tcPr>
            <w:tcW w:type="dxa" w:w="33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Phase 1 scope: Buyer manually confirm. Auto không ảnh hưởng core technical challenge</w:t>
            </w:r>
          </w:p>
        </w:tc>
        <w:tc>
          <w:tcPr>
            <w:tcW w:type="dxa" w:w="3200"/>
            <w:tcBorders>
              <w:top w:val="single" w:color="AAAAAA" w:sz="1"/>
              <w:left w:val="single" w:color="AAAAAA" w:sz="1"/>
              <w:bottom w:val="single" w:color="AAAAAA" w:sz="1"/>
              <w:right w:val="single" w:color="AAAAAA" w:sz="1"/>
            </w:tcBorders>
            <w:shd w:fill="F2F3F4" w:val="clear"/>
            <w:tcMar>
              <w:top w:type="dxa" w:w="80"/>
              <w:left w:type="dxa" w:w="120"/>
              <w:bottom w:type="dxa" w:w="80"/>
              <w:right w:type="dxa" w:w="120"/>
            </w:tcMar>
          </w:tcPr>
          <w:p>
            <w:r>
              <w:rPr>
                <w:rFonts w:ascii="Calibri" w:cs="Calibri" w:eastAsia="Calibri" w:hAnsi="Calibri"/>
                <w:sz w:val="20"/>
                <w:szCs w:val="20"/>
              </w:rPr>
              <w:t xml:space="preserve">Phase 2: Pro-rata settlement + INSPECTOR role</w:t>
            </w:r>
          </w:p>
        </w:tc>
      </w:tr>
    </w:tbl>
    <w:p>
      <w:pPr>
        <w:spacing w:after="80" w:before="80"/>
      </w:pPr>
      <w:r>
        <w:t xml:space="preserve"/>
      </w:r>
    </w:p>
    <w:p>
      <w:pPr>
        <w:pStyle w:val="Heading1"/>
        <w:spacing w:after="180" w:before="360"/>
      </w:pPr>
      <w:r>
        <w:rPr>
          <w:rFonts w:ascii="Calibri" w:cs="Calibri" w:eastAsia="Calibri" w:hAnsi="Calibri"/>
          <w:b/>
          <w:bCs/>
          <w:color w:val="1A5276"/>
          <w:sz w:val="28"/>
          <w:szCs w:val="28"/>
        </w:rPr>
        <w:t xml:space="preserve">7. Danh Mục Nguồn Tham Khảo</w:t>
      </w:r>
    </w:p>
    <w:p>
      <w:pPr>
        <w:spacing w:after="80" w:before="80"/>
      </w:pPr>
      <w:r>
        <w:rPr>
          <w:rFonts w:ascii="Calibri" w:cs="Calibri" w:eastAsia="Calibri" w:hAnsi="Calibri"/>
          <w:sz w:val="22"/>
          <w:szCs w:val="22"/>
        </w:rPr>
        <w:t xml:space="preserve">Tất cả số liệu trong tài liệu này được trích dẫn từ các nguồn đã verify, bao gồm báo cáo chính phủ, hiệp hội ngành hàng, tổ chức quốc tế và báo chí chính thống.</w:t>
      </w:r>
    </w:p>
    <w:p>
      <w:pPr>
        <w:spacing w:after="80" w:before="80"/>
      </w:pPr>
      <w:r>
        <w:t xml:space="preserve"/>
      </w:r>
    </w:p>
    <w:p>
      <w:pPr>
        <w:pStyle w:val="Heading3"/>
        <w:spacing w:after="100" w:before="200"/>
      </w:pPr>
      <w:r>
        <w:rPr>
          <w:rFonts w:ascii="Calibri" w:cs="Calibri" w:eastAsia="Calibri" w:hAnsi="Calibri"/>
          <w:b/>
          <w:bCs/>
          <w:color w:val="2E4057"/>
          <w:sz w:val="22"/>
          <w:szCs w:val="22"/>
        </w:rPr>
        <w:t xml:space="preserve">Nguồn Chính Phủ &amp; Tổ Chức Quốc Tế</w:t>
      </w:r>
    </w:p>
    <w:p>
      <w:pPr>
        <w:spacing w:after="60" w:before="60"/>
        <w:ind w:left="480" w:hanging="240"/>
      </w:pPr>
      <w:r>
        <w:rPr>
          <w:rFonts w:ascii="Calibri" w:cs="Calibri" w:eastAsia="Calibri" w:hAnsi="Calibri"/>
          <w:sz w:val="22"/>
          <w:szCs w:val="22"/>
        </w:rPr>
        <w:t xml:space="preserve">• Bộ Nông nghiệp và Môi trường — Họp báo tổng kết 2025 (6/1/2026): https://www.vietnam.vn/en/xuat-khau-nong-lam-thuy-san-vuot-70-ty-usd</w:t>
      </w:r>
    </w:p>
    <w:p>
      <w:pPr>
        <w:spacing w:after="60" w:before="60"/>
        <w:ind w:left="480" w:hanging="240"/>
      </w:pPr>
      <w:r>
        <w:rPr>
          <w:rFonts w:ascii="Calibri" w:cs="Calibri" w:eastAsia="Calibri" w:hAnsi="Calibri"/>
          <w:sz w:val="22"/>
          <w:szCs w:val="22"/>
        </w:rPr>
        <w:t xml:space="preserve">• OECD — Viet Nam Agricultural Policy Monitoring and Evaluation 2025 (10/2025): https://www.oecd.org/en/publications/2025/10/agricultural-policy-monitoring-and-evaluation-2025</w:t>
      </w:r>
    </w:p>
    <w:p>
      <w:pPr>
        <w:spacing w:after="60" w:before="60"/>
        <w:ind w:left="480" w:hanging="240"/>
      </w:pPr>
      <w:r>
        <w:rPr>
          <w:rFonts w:ascii="Calibri" w:cs="Calibri" w:eastAsia="Calibri" w:hAnsi="Calibri"/>
          <w:sz w:val="22"/>
          <w:szCs w:val="22"/>
        </w:rPr>
        <w:t xml:space="preserve">• EC Regulation (EU) 2023/1115 on deforestation-free products; Amended by Regulation (EU) 2025/2650</w:t>
      </w:r>
    </w:p>
    <w:p>
      <w:pPr>
        <w:spacing w:after="60" w:before="60"/>
        <w:ind w:left="480" w:hanging="240"/>
      </w:pPr>
      <w:r>
        <w:rPr>
          <w:rFonts w:ascii="Calibri" w:cs="Calibri" w:eastAsia="Calibri" w:hAnsi="Calibri"/>
          <w:sz w:val="22"/>
          <w:szCs w:val="22"/>
        </w:rPr>
        <w:t xml:space="preserve">• World Resources Institute — What Is the EU Deforestation Regulation (EUDR)? (cập nhật 5/2026): https://www.wri.org/insights/explain-eu-deforestation-regulation</w:t>
      </w:r>
    </w:p>
    <w:p>
      <w:pPr>
        <w:spacing w:after="60" w:before="60"/>
        <w:ind w:left="480" w:hanging="240"/>
      </w:pPr>
      <w:r>
        <w:rPr>
          <w:rFonts w:ascii="Calibri" w:cs="Calibri" w:eastAsia="Calibri" w:hAnsi="Calibri"/>
          <w:sz w:val="22"/>
          <w:szCs w:val="22"/>
        </w:rPr>
        <w:t xml:space="preserve">• EU Council — Deforestation: Council signs off targeted revision (18/12/2025): https://www.consilium.europa.eu/en/press/press-releases/2025/12/18/</w:t>
      </w:r>
    </w:p>
    <w:p>
      <w:pPr>
        <w:spacing w:after="60" w:before="60"/>
        <w:ind w:left="480" w:hanging="240"/>
      </w:pPr>
      <w:r>
        <w:rPr>
          <w:rFonts w:ascii="Calibri" w:cs="Calibri" w:eastAsia="Calibri" w:hAnsi="Calibri"/>
          <w:sz w:val="22"/>
          <w:szCs w:val="22"/>
        </w:rPr>
        <w:t xml:space="preserve">• Quyết định 749/QĐ-TTg ngày 03/6/2020 — Chương trình Chuyển đổi số quốc gia đến năm 2025</w:t>
      </w:r>
    </w:p>
    <w:p>
      <w:pPr>
        <w:spacing w:after="60" w:before="60"/>
        <w:ind w:left="480" w:hanging="240"/>
      </w:pPr>
      <w:r>
        <w:rPr>
          <w:rFonts w:ascii="Calibri" w:cs="Calibri" w:eastAsia="Calibri" w:hAnsi="Calibri"/>
          <w:sz w:val="22"/>
          <w:szCs w:val="22"/>
        </w:rPr>
        <w:t xml:space="preserve">• VIAC — Thống kê hoạt động giải quyết tranh chấp năm 2024: https://www.viac.vn/thong-ke/thong-ke-hoat-dong-giai-quyet-tranh-chap-nam-2024-s45.html</w:t>
      </w:r>
    </w:p>
    <w:p>
      <w:pPr>
        <w:spacing w:after="80" w:before="80"/>
      </w:pPr>
      <w:r>
        <w:t xml:space="preserve"/>
      </w:r>
    </w:p>
    <w:p>
      <w:pPr>
        <w:pStyle w:val="Heading3"/>
        <w:spacing w:after="100" w:before="200"/>
      </w:pPr>
      <w:r>
        <w:rPr>
          <w:rFonts w:ascii="Calibri" w:cs="Calibri" w:eastAsia="Calibri" w:hAnsi="Calibri"/>
          <w:b/>
          <w:bCs/>
          <w:color w:val="2E4057"/>
          <w:sz w:val="22"/>
          <w:szCs w:val="22"/>
        </w:rPr>
        <w:t xml:space="preserve">Hiệp Hội Ngành Hàng</w:t>
      </w:r>
    </w:p>
    <w:p>
      <w:pPr>
        <w:spacing w:after="60" w:before="60"/>
        <w:ind w:left="480" w:hanging="240"/>
      </w:pPr>
      <w:r>
        <w:rPr>
          <w:rFonts w:ascii="Calibri" w:cs="Calibri" w:eastAsia="Calibri" w:hAnsi="Calibri"/>
          <w:sz w:val="22"/>
          <w:szCs w:val="22"/>
        </w:rPr>
        <w:t xml:space="preserve">• VICOFA — Báo cáo tổng kết niên vụ cà phê 2024–2025 (10/2025): https://xanh.tanmaixanh.vn/document/view/bao-cao-tong-ket-nien-vu-ca-phe-2024-2025</w:t>
      </w:r>
    </w:p>
    <w:p>
      <w:pPr>
        <w:spacing w:after="60" w:before="60"/>
        <w:ind w:left="480" w:hanging="240"/>
      </w:pPr>
      <w:r>
        <w:rPr>
          <w:rFonts w:ascii="Calibri" w:cs="Calibri" w:eastAsia="Calibri" w:hAnsi="Calibri"/>
          <w:sz w:val="22"/>
          <w:szCs w:val="22"/>
        </w:rPr>
        <w:t xml:space="preserve">• VRA — Vietnam Rubber Industry International Conference 2025 (12/2025): https://www.vietnam.vn/en/xuat-khau-cao-su-du-kien-dat-hon-11-ty-usd</w:t>
      </w:r>
    </w:p>
    <w:p>
      <w:pPr>
        <w:spacing w:after="60" w:before="60"/>
        <w:ind w:left="480" w:hanging="240"/>
      </w:pPr>
      <w:r>
        <w:rPr>
          <w:rFonts w:ascii="Calibri" w:cs="Calibri" w:eastAsia="Calibri" w:hAnsi="Calibri"/>
          <w:sz w:val="22"/>
          <w:szCs w:val="22"/>
        </w:rPr>
        <w:t xml:space="preserve">• VINACAS — Số liệu xuất khẩu điều 2025: https://vietnamnet.vn/en/cashew-paradox-vietnam-exports-soar-but-imports-hit-record-high-2480954.html</w:t>
      </w:r>
    </w:p>
    <w:p>
      <w:pPr>
        <w:spacing w:after="80" w:before="80"/>
      </w:pPr>
      <w:r>
        <w:t xml:space="preserve"/>
      </w:r>
    </w:p>
    <w:p>
      <w:pPr>
        <w:pStyle w:val="Heading3"/>
        <w:spacing w:after="100" w:before="200"/>
      </w:pPr>
      <w:r>
        <w:rPr>
          <w:rFonts w:ascii="Calibri" w:cs="Calibri" w:eastAsia="Calibri" w:hAnsi="Calibri"/>
          <w:b/>
          <w:bCs/>
          <w:color w:val="2E4057"/>
          <w:sz w:val="22"/>
          <w:szCs w:val="22"/>
        </w:rPr>
        <w:t xml:space="preserve">Báo Chí &amp; Chuyên Gia</w:t>
      </w:r>
    </w:p>
    <w:p>
      <w:pPr>
        <w:spacing w:after="60" w:before="60"/>
        <w:ind w:left="480" w:hanging="240"/>
      </w:pPr>
      <w:r>
        <w:rPr>
          <w:rFonts w:ascii="Calibri" w:cs="Calibri" w:eastAsia="Calibri" w:hAnsi="Calibri"/>
          <w:sz w:val="22"/>
          <w:szCs w:val="22"/>
        </w:rPr>
        <w:t xml:space="preserve">• VTV.vn — Giá thu mua tăng cao, cơ hội và thách thức của ngành cà phê Việt Nam (17/4/2024): https://vtv.vn/kinh-te/gia-thu-mua-tang-cao-20240417111149261.htm</w:t>
      </w:r>
    </w:p>
    <w:p>
      <w:pPr>
        <w:spacing w:after="60" w:before="60"/>
        <w:ind w:left="480" w:hanging="240"/>
      </w:pPr>
      <w:r>
        <w:rPr>
          <w:rFonts w:ascii="Calibri" w:cs="Calibri" w:eastAsia="Calibri" w:hAnsi="Calibri"/>
          <w:sz w:val="22"/>
          <w:szCs w:val="22"/>
        </w:rPr>
        <w:t xml:space="preserve">• Vietnamnet — 3 chiêu để hạn chế bẻ kèo (30/8/2024): https://vietnamnet.vn/3-chieu-de-han-che-doanh-nghiep-be-keo-nong-dan-chay-lang-2316909.html</w:t>
      </w:r>
    </w:p>
    <w:p>
      <w:pPr>
        <w:spacing w:after="60" w:before="60"/>
        <w:ind w:left="480" w:hanging="240"/>
      </w:pPr>
      <w:r>
        <w:rPr>
          <w:rFonts w:ascii="Calibri" w:cs="Calibri" w:eastAsia="Calibri" w:hAnsi="Calibri"/>
          <w:sz w:val="22"/>
          <w:szCs w:val="22"/>
        </w:rPr>
        <w:t xml:space="preserve">• Báo Pháp Luật TP.HCM — Nghịch lý xuất khẩu cà phê Việt (4/4/2026): https://plo.vn/nghich-ly-xuat-khau-ca-phe-viet-post902660.html</w:t>
      </w:r>
    </w:p>
    <w:p>
      <w:pPr>
        <w:spacing w:after="60" w:before="60"/>
        <w:ind w:left="480" w:hanging="240"/>
      </w:pPr>
      <w:r>
        <w:rPr>
          <w:rFonts w:ascii="Calibri" w:cs="Calibri" w:eastAsia="Calibri" w:hAnsi="Calibri"/>
          <w:sz w:val="22"/>
          <w:szCs w:val="22"/>
        </w:rPr>
        <w:t xml:space="preserve">• Tạp chí Kinh tế Sài Gòn — Xuất khẩu cà phê 2024 tưng bừng, sao phải dè chừng 2025 (3/1/2025): https://thesaigontimes.vn/xuat-khau-ca-phe-2024-tung-bung-sao-phai-de-chung-2025/</w:t>
      </w:r>
    </w:p>
    <w:p>
      <w:pPr>
        <w:spacing w:after="60" w:before="60"/>
        <w:ind w:left="480" w:hanging="240"/>
      </w:pPr>
      <w:r>
        <w:rPr>
          <w:rFonts w:ascii="Calibri" w:cs="Calibri" w:eastAsia="Calibri" w:hAnsi="Calibri"/>
          <w:sz w:val="22"/>
          <w:szCs w:val="22"/>
        </w:rPr>
        <w:t xml:space="preserve">• Vietnam.vn — Banks partner with the digital agricultural supply chain (1/4/2026): https://www.vietnam.vn/en/ngan-hang-dong-hanh-cung-chuoi-nong-san-so</w:t>
      </w:r>
    </w:p>
    <w:p>
      <w:pPr>
        <w:spacing w:after="60" w:before="60"/>
        <w:ind w:left="480" w:hanging="240"/>
      </w:pPr>
      <w:r>
        <w:rPr>
          <w:rFonts w:ascii="Calibri" w:cs="Calibri" w:eastAsia="Calibri" w:hAnsi="Calibri"/>
          <w:sz w:val="22"/>
          <w:szCs w:val="22"/>
        </w:rPr>
        <w:t xml:space="preserve">• Vietnam.vn — Xu hướng ứng dụng ngân hàng số vào chuỗi cung ứng nông sản (4/4/2026): https://www.vietnam.vn/en/xu-huong-ung-dung-ngan-hang-so-va-cong-nghe-vao-chuoi-cung-ung-nong-san</w:t>
      </w:r>
    </w:p>
    <w:p>
      <w:pPr>
        <w:spacing w:after="60" w:before="60"/>
        <w:ind w:left="480" w:hanging="240"/>
      </w:pPr>
      <w:r>
        <w:rPr>
          <w:rFonts w:ascii="Calibri" w:cs="Calibri" w:eastAsia="Calibri" w:hAnsi="Calibri"/>
          <w:sz w:val="22"/>
          <w:szCs w:val="22"/>
        </w:rPr>
        <w:t xml:space="preserve">• Vietnam Investment Review — Agribank ramps up efforts (4/6/2024): https://vir.com.vn/agribank-ramps-up-efforts-to-spur-business-development-111584-111584.html</w:t>
      </w:r>
    </w:p>
    <w:p>
      <w:pPr>
        <w:spacing w:after="60" w:before="60"/>
        <w:ind w:left="480" w:hanging="240"/>
      </w:pPr>
      <w:r>
        <w:rPr>
          <w:rFonts w:ascii="Calibri" w:cs="Calibri" w:eastAsia="Calibri" w:hAnsi="Calibri"/>
          <w:sz w:val="22"/>
          <w:szCs w:val="22"/>
        </w:rPr>
        <w:t xml:space="preserve">• We-Fi / OCB — How cooperation from a bank gives wings to women entrepreneurs in Vietnam (2022): https://we-fi.org/how-professionalism-and-cooperation-from-a-bank-give-wings-to-women-entrepreneurs-in-vietnam-to-fly/</w:t>
      </w:r>
    </w:p>
    <w:p>
      <w:pPr>
        <w:spacing w:after="60" w:before="60"/>
        <w:ind w:left="480" w:hanging="240"/>
      </w:pPr>
      <w:r>
        <w:rPr>
          <w:rFonts w:ascii="Calibri" w:cs="Calibri" w:eastAsia="Calibri" w:hAnsi="Calibri"/>
          <w:sz w:val="22"/>
          <w:szCs w:val="22"/>
        </w:rPr>
        <w:t xml:space="preserve">• Tạp chí Kinh tế và Dự báo — Giải pháp thúc đẩy chuyển đổi số ngành nông nghiệp (28/2/2025): https://kinhtevadubao.vn/giai-phap-thuc-day-chuyen-doi-so-nganh-nong-nghiep-viet-nam-31106.html</w:t>
      </w:r>
    </w:p>
    <w:p>
      <w:pPr>
        <w:spacing w:after="60" w:before="60"/>
        <w:ind w:left="480" w:hanging="240"/>
      </w:pPr>
      <w:r>
        <w:rPr>
          <w:rFonts w:ascii="Calibri" w:cs="Calibri" w:eastAsia="Calibri" w:hAnsi="Calibri"/>
          <w:sz w:val="22"/>
          <w:szCs w:val="22"/>
        </w:rPr>
        <w:t xml:space="preserve">• Vietnam Briefing — Vietnam Rubber Industry: Production, Performance, and Potentials (10/2025): https://www.vietnam-briefing.com/news/vietnam-rubber-industry-production-performance-and-potentials.html/</w:t>
      </w:r>
    </w:p>
    <w:p>
      <w:pPr>
        <w:spacing w:after="60" w:before="60"/>
        <w:ind w:left="480" w:hanging="240"/>
      </w:pPr>
      <w:r>
        <w:rPr>
          <w:rFonts w:ascii="Calibri" w:cs="Calibri" w:eastAsia="Calibri" w:hAnsi="Calibri"/>
          <w:sz w:val="22"/>
          <w:szCs w:val="22"/>
        </w:rPr>
        <w:t xml:space="preserve">• USDA FAS — Coffee Annual Vietnam MY2025 (5/2025): https://apps.fas.usda.gov/newgainapi/api/Report/DownloadReportByFileName?fileName=Coffee+Annual_Hanoi_Vietnam_VM2025-0018.pdf</w:t>
      </w:r>
    </w:p>
    <w:p>
      <w:pPr>
        <w:spacing w:after="60" w:before="60"/>
        <w:ind w:left="480" w:hanging="240"/>
      </w:pPr>
      <w:r>
        <w:rPr>
          <w:rFonts w:ascii="Calibri" w:cs="Calibri" w:eastAsia="Calibri" w:hAnsi="Calibri"/>
          <w:sz w:val="22"/>
          <w:szCs w:val="22"/>
        </w:rPr>
        <w:t xml:space="preserve">• Daily Coffee News — Vietnam Coffee Report: Record-High Prices Drive Robusta Production (12/2025): https://dailycoffeenews.com/2025/12/10/vietnam-coffee-report-record-high-prices-drive-robusta-production/</w:t>
      </w:r>
    </w:p>
    <w:p>
      <w:pPr>
        <w:spacing w:after="80" w:before="80"/>
      </w:pPr>
      <w:r>
        <w:t xml:space="preserve"/>
      </w:r>
    </w:p>
    <w:p>
      <w:pPr>
        <w:spacing w:before="400"/>
        <w:jc w:val="center"/>
      </w:pPr>
      <w:r>
        <w:rPr>
          <w:rFonts w:ascii="Calibri" w:cs="Calibri" w:eastAsia="Calibri" w:hAnsi="Calibri"/>
          <w:i/>
          <w:iCs/>
          <w:color w:val="999999"/>
          <w:sz w:val="20"/>
          <w:szCs w:val="20"/>
        </w:rPr>
        <w:t xml:space="preserve">— Hết tài liệu —</w:t>
      </w:r>
    </w:p>
    <w:p>
      <w:pPr>
        <w:jc w:val="center"/>
      </w:pPr>
      <w:r>
        <w:rPr>
          <w:rFonts w:ascii="Calibri" w:cs="Calibri" w:eastAsia="Calibri" w:hAnsi="Calibri"/>
          <w:color w:val="AAAAAA"/>
          <w:sz w:val="18"/>
          <w:szCs w:val="18"/>
        </w:rPr>
        <w:t xml:space="preserve">AgriContract | Tài liệu nội bộ Đồ Án Tốt Nghiệp | v2.0 · Tháng 6/2026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Trang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pBdr>
    </w:pPr>
    <w:r>
      <w:rPr>
        <w:rFonts w:ascii="Calibri" w:cs="Calibri" w:eastAsia="Calibri" w:hAnsi="Calibri"/>
        <w:b/>
        <w:bCs/>
        <w:color w:val="1A5276"/>
        <w:sz w:val="20"/>
        <w:szCs w:val="20"/>
      </w:rPr>
      <w:t xml:space="preserve">AgriContract</w:t>
    </w:r>
    <w:r>
      <w:rPr>
        <w:rFonts w:ascii="Calibri" w:cs="Calibri" w:eastAsia="Calibri" w:hAnsi="Calibri"/>
        <w:color w:val="777777"/>
        <w:sz w:val="18"/>
        <w:szCs w:val="18"/>
      </w:rPr>
      <w:t xml:space="preserve">   |   Phân Tích Thị Trường &amp; Luận Cứ Kinh Doanh   |   Tài liệu nội bộ — Đồ Án Tốt Nghiệp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5276"/>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1A5276"/>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2026-06-23T13:04:05.890Z</dcterms:created>
  <dcterms:modified xsi:type="dcterms:W3CDTF">2026-06-23T13:04:05.890Z</dcterms:modified>
</cp:coreProperties>
</file>

<file path=docProps/custom.xml><?xml version="1.0" encoding="utf-8"?>
<Properties xmlns="http://schemas.openxmlformats.org/officeDocument/2006/custom-properties" xmlns:vt="http://schemas.openxmlformats.org/officeDocument/2006/docPropsVTypes"/>
</file>