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jc w:val="center"/>
        <w:rPr/>
      </w:pPr>
      <w:r>
        <w:rPr>
          <w:rFonts w:eastAsia="Calibri" w:cs="Calibri"/>
          <w:b/>
          <w:bCs/>
          <w:color w:val="1A5276"/>
          <w:sz w:val="52"/>
          <w:szCs w:val="52"/>
        </w:rPr>
        <w:t>AgriContract</w:t>
      </w:r>
    </w:p>
    <w:p>
      <w:pPr>
        <w:pStyle w:val="Normal"/>
        <w:spacing w:before="200" w:after="200"/>
        <w:jc w:val="center"/>
        <w:rPr/>
      </w:pPr>
      <w:r>
        <w:rPr>
          <w:rFonts w:eastAsia="Calibri" w:cs="Calibri"/>
          <w:b/>
          <w:bCs/>
          <w:color w:val="2E4057"/>
          <w:sz w:val="32"/>
          <w:szCs w:val="32"/>
        </w:rPr>
        <w:t>Giải Pháp, Mục Tiêu &amp; Mô Hình Kinh Doanh</w:t>
      </w:r>
    </w:p>
    <w:p>
      <w:pPr>
        <w:pStyle w:val="Normal"/>
        <w:jc w:val="center"/>
        <w:rPr/>
      </w:pPr>
      <w:r>
        <w:rPr>
          <w:rFonts w:eastAsia="Calibri" w:cs="Calibri"/>
          <w:i/>
          <w:iCs/>
          <w:color w:val="777777"/>
          <w:sz w:val="22"/>
          <w:szCs w:val="22"/>
        </w:rPr>
        <w:t>Tài liệu nội bộ — Đồ Án Tốt Nghiệp</w:t>
      </w:r>
    </w:p>
    <w:p>
      <w:pPr>
        <w:pStyle w:val="Normal"/>
        <w:spacing w:before="400" w:after="0"/>
        <w:jc w:val="center"/>
        <w:rPr/>
      </w:pPr>
      <w:r>
        <w:rPr>
          <w:rFonts w:eastAsia="Calibri" w:cs="Calibri"/>
          <w:color w:val="999999"/>
          <w:sz w:val="20"/>
          <w:szCs w:val="20"/>
        </w:rPr>
        <w:t>Phiên bản 2.0  |  Tháng 6/2026</w:t>
      </w:r>
      <w:r>
        <w:br w:type="page"/>
      </w:r>
    </w:p>
    <w:p>
      <w:pPr>
        <w:pStyle w:val="Normal"/>
        <w:rPr/>
      </w:pPr>
      <w:r>
        <w:rPr/>
      </w:r>
    </w:p>
    <w:p>
      <w:pPr>
        <w:pStyle w:val="Heading1"/>
        <w:spacing w:before="360" w:after="180"/>
        <w:rPr/>
      </w:pPr>
      <w:r>
        <w:rPr>
          <w:rFonts w:eastAsia="Calibri" w:cs="Calibri" w:ascii="Calibri" w:hAnsi="Calibri"/>
          <w:b/>
          <w:bCs/>
          <w:color w:val="1A5276"/>
          <w:sz w:val="28"/>
          <w:szCs w:val="28"/>
        </w:rPr>
        <w:t>1. AgriContract Là Gì</w:t>
      </w:r>
    </w:p>
    <w:p>
      <w:pPr>
        <w:pStyle w:val="Normal"/>
        <w:spacing w:before="80" w:after="80"/>
        <w:rPr/>
      </w:pPr>
      <w:r>
        <w:rPr>
          <w:rFonts w:eastAsia="Calibri" w:cs="Calibri"/>
          <w:sz w:val="22"/>
          <w:szCs w:val="22"/>
        </w:rPr>
        <w:t>AgriContract là nền tảng số hóa giao dịch hợp đồng nông sản B2B — cho phép HTX và doanh nghiệp thu mua ký kết hợp đồng điện tử có audit trail đầy đủ, kèm cơ chế escrow đảm bảo thanh toán và giao hàng theo đúng điều khoản đã ký.</w:t>
      </w:r>
    </w:p>
    <w:p>
      <w:pPr>
        <w:pStyle w:val="Normal"/>
        <w:spacing w:before="80" w:after="80"/>
        <w:rPr/>
      </w:pPr>
      <w:r>
        <w:rPr/>
      </w:r>
    </w:p>
    <w:p>
      <w:pPr>
        <w:pStyle w:val="Normal"/>
        <w:spacing w:before="80" w:after="80"/>
        <w:rPr/>
      </w:pPr>
      <w:r>
        <w:rPr>
          <w:rFonts w:eastAsia="Calibri" w:cs="Calibri"/>
          <w:sz w:val="22"/>
          <w:szCs w:val="22"/>
        </w:rPr>
        <w:t>Nền tảng không thay thế hợp đồng giấy hay pháp luật. Nó bổ sung một lớp cơ chế tự thực thi (self-enforcing mechanism) — escrow đảm bảo incentive của cả hai bên được align trước khi giao dịch diễn ra, thay vì chỉ có bằng chứng pháp lý sau khi tranh chấp xảy ra.</w:t>
      </w:r>
    </w:p>
    <w:p>
      <w:pPr>
        <w:pStyle w:val="Normal"/>
        <w:spacing w:before="80" w:after="80"/>
        <w:rPr/>
      </w:pPr>
      <w:r>
        <w:rPr/>
      </w:r>
    </w:p>
    <w:p>
      <w:pPr>
        <w:pStyle w:val="Heading2"/>
        <w:spacing w:before="280" w:after="120"/>
        <w:rPr/>
      </w:pPr>
      <w:r>
        <w:rPr>
          <w:rFonts w:eastAsia="Calibri" w:cs="Calibri" w:ascii="Calibri" w:hAnsi="Calibri"/>
          <w:b/>
          <w:bCs/>
          <w:color w:val="1A5276"/>
          <w:sz w:val="24"/>
          <w:szCs w:val="24"/>
        </w:rPr>
        <w:t>1.1 Luồng Giao Dịch Đầy Đủ — Phase 1 (MVP)</w:t>
      </w:r>
    </w:p>
    <w:tbl>
      <w:tblPr>
        <w:tblW w:w="8300" w:type="dxa"/>
        <w:jc w:val="start"/>
        <w:tblInd w:w="0" w:type="dxa"/>
        <w:tblLayout w:type="fixed"/>
        <w:tblCellMar>
          <w:top w:w="80" w:type="dxa"/>
          <w:start w:w="120" w:type="dxa"/>
          <w:bottom w:w="80" w:type="dxa"/>
          <w:end w:w="120" w:type="dxa"/>
        </w:tblCellMar>
      </w:tblPr>
      <w:tblGrid>
        <w:gridCol w:w="699"/>
        <w:gridCol w:w="3001"/>
        <w:gridCol w:w="2300"/>
        <w:gridCol w:w="2300"/>
      </w:tblGrid>
      <w:tr>
        <w:trPr>
          <w:tblHeader w:val="true"/>
        </w:trPr>
        <w:tc>
          <w:tcPr>
            <w:tcW w:w="699"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Bước</w:t>
            </w:r>
          </w:p>
        </w:tc>
        <w:tc>
          <w:tcPr>
            <w:tcW w:w="3001"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Hành Động</w:t>
            </w:r>
          </w:p>
        </w:tc>
        <w:tc>
          <w:tcPr>
            <w:tcW w:w="23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Trạng Thái Contract</w:t>
            </w:r>
          </w:p>
        </w:tc>
        <w:tc>
          <w:tcPr>
            <w:tcW w:w="23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Trạng Thái Escrow</w:t>
            </w:r>
          </w:p>
        </w:tc>
      </w:tr>
      <w:tr>
        <w:trPr/>
        <w:tc>
          <w:tcPr>
            <w:tcW w:w="6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1</w:t>
            </w:r>
          </w:p>
        </w:tc>
        <w:tc>
          <w:tcPr>
            <w:tcW w:w="30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Seller (HTX) đăng listing sản phẩm</w:t>
            </w:r>
          </w:p>
        </w:tc>
        <w:tc>
          <w:tcPr>
            <w:tcW w:w="2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w:t>
            </w:r>
          </w:p>
        </w:tc>
        <w:tc>
          <w:tcPr>
            <w:tcW w:w="2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w:t>
            </w:r>
          </w:p>
        </w:tc>
      </w:tr>
      <w:tr>
        <w:trPr/>
        <w:tc>
          <w:tcPr>
            <w:tcW w:w="6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2</w:t>
            </w:r>
          </w:p>
        </w:tc>
        <w:tc>
          <w:tcPr>
            <w:tcW w:w="3001"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Buyer gửi offer đề xuất điều khoản</w:t>
            </w:r>
          </w:p>
        </w:tc>
        <w:tc>
          <w:tcPr>
            <w:tcW w:w="23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OFFERED</w:t>
            </w:r>
          </w:p>
        </w:tc>
        <w:tc>
          <w:tcPr>
            <w:tcW w:w="23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w:t>
            </w:r>
          </w:p>
        </w:tc>
      </w:tr>
      <w:tr>
        <w:trPr/>
        <w:tc>
          <w:tcPr>
            <w:tcW w:w="6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3</w:t>
            </w:r>
          </w:p>
        </w:tc>
        <w:tc>
          <w:tcPr>
            <w:tcW w:w="30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Hai bên đàm phán; mọi thay đổi ghi audit trail</w:t>
            </w:r>
          </w:p>
        </w:tc>
        <w:tc>
          <w:tcPr>
            <w:tcW w:w="2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NEGOTIATING</w:t>
            </w:r>
          </w:p>
        </w:tc>
        <w:tc>
          <w:tcPr>
            <w:tcW w:w="2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w:t>
            </w:r>
          </w:p>
        </w:tc>
      </w:tr>
      <w:tr>
        <w:trPr/>
        <w:tc>
          <w:tcPr>
            <w:tcW w:w="6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4</w:t>
            </w:r>
          </w:p>
        </w:tc>
        <w:tc>
          <w:tcPr>
            <w:tcW w:w="3001"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Cả hai bên ký hợp đồng số</w:t>
            </w:r>
          </w:p>
        </w:tc>
        <w:tc>
          <w:tcPr>
            <w:tcW w:w="23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SIGNED</w:t>
            </w:r>
          </w:p>
        </w:tc>
        <w:tc>
          <w:tcPr>
            <w:tcW w:w="23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w:t>
            </w:r>
          </w:p>
        </w:tc>
      </w:tr>
      <w:tr>
        <w:trPr/>
        <w:tc>
          <w:tcPr>
            <w:tcW w:w="6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5</w:t>
            </w:r>
          </w:p>
        </w:tc>
        <w:tc>
          <w:tcPr>
            <w:tcW w:w="30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Buyer lock tiền; Seller lock cọc vào Escrow</w:t>
            </w:r>
          </w:p>
        </w:tc>
        <w:tc>
          <w:tcPr>
            <w:tcW w:w="2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ACTIVE</w:t>
            </w:r>
          </w:p>
        </w:tc>
        <w:tc>
          <w:tcPr>
            <w:tcW w:w="2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LOCKED</w:t>
            </w:r>
          </w:p>
        </w:tc>
      </w:tr>
      <w:tr>
        <w:trPr/>
        <w:tc>
          <w:tcPr>
            <w:tcW w:w="6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6</w:t>
            </w:r>
          </w:p>
        </w:tc>
        <w:tc>
          <w:tcPr>
            <w:tcW w:w="3001"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Seller thực hiện giao hàng theo điều khoản</w:t>
            </w:r>
          </w:p>
        </w:tc>
        <w:tc>
          <w:tcPr>
            <w:tcW w:w="23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ACTIVE</w:t>
            </w:r>
          </w:p>
        </w:tc>
        <w:tc>
          <w:tcPr>
            <w:tcW w:w="23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LOCKED</w:t>
            </w:r>
          </w:p>
        </w:tc>
      </w:tr>
      <w:tr>
        <w:trPr/>
        <w:tc>
          <w:tcPr>
            <w:tcW w:w="6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7</w:t>
            </w:r>
          </w:p>
        </w:tc>
        <w:tc>
          <w:tcPr>
            <w:tcW w:w="30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Buyer xác nhận nhận hàng đủ điều kiện</w:t>
            </w:r>
          </w:p>
        </w:tc>
        <w:tc>
          <w:tcPr>
            <w:tcW w:w="2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DELIVERED</w:t>
            </w:r>
          </w:p>
        </w:tc>
        <w:tc>
          <w:tcPr>
            <w:tcW w:w="2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LOCKED</w:t>
            </w:r>
          </w:p>
        </w:tc>
      </w:tr>
      <w:tr>
        <w:trPr/>
        <w:tc>
          <w:tcPr>
            <w:tcW w:w="6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8</w:t>
            </w:r>
          </w:p>
        </w:tc>
        <w:tc>
          <w:tcPr>
            <w:tcW w:w="3001"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Escrow tự động release tiền cho Seller</w:t>
            </w:r>
          </w:p>
        </w:tc>
        <w:tc>
          <w:tcPr>
            <w:tcW w:w="23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SETTLED</w:t>
            </w:r>
          </w:p>
        </w:tc>
        <w:tc>
          <w:tcPr>
            <w:tcW w:w="23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RELEASED</w:t>
            </w:r>
          </w:p>
        </w:tc>
      </w:tr>
    </w:tbl>
    <w:p>
      <w:pPr>
        <w:pStyle w:val="Normal"/>
        <w:spacing w:before="80" w:after="80"/>
        <w:rPr/>
      </w:pPr>
      <w:r>
        <w:rPr/>
      </w:r>
    </w:p>
    <w:p>
      <w:pPr>
        <w:pStyle w:val="Heading2"/>
        <w:spacing w:before="280" w:after="120"/>
        <w:rPr/>
      </w:pPr>
      <w:r>
        <w:rPr>
          <w:rFonts w:eastAsia="Calibri" w:cs="Calibri" w:ascii="Calibri" w:hAnsi="Calibri"/>
          <w:b/>
          <w:bCs/>
          <w:color w:val="1A5276"/>
          <w:sz w:val="24"/>
          <w:szCs w:val="24"/>
        </w:rPr>
        <w:t>1.2 Ba Vấn Đề AgriContract Giải Quyết</w:t>
      </w:r>
    </w:p>
    <w:tbl>
      <w:tblPr>
        <w:tblW w:w="9000" w:type="dxa"/>
        <w:jc w:val="start"/>
        <w:tblInd w:w="0" w:type="dxa"/>
        <w:tblLayout w:type="fixed"/>
        <w:tblCellMar>
          <w:top w:w="80" w:type="dxa"/>
          <w:start w:w="120" w:type="dxa"/>
          <w:bottom w:w="80" w:type="dxa"/>
          <w:end w:w="120" w:type="dxa"/>
        </w:tblCellMar>
      </w:tblPr>
      <w:tblGrid>
        <w:gridCol w:w="2199"/>
        <w:gridCol w:w="3300"/>
        <w:gridCol w:w="3501"/>
      </w:tblGrid>
      <w:tr>
        <w:trPr>
          <w:tblHeader w:val="true"/>
        </w:trPr>
        <w:tc>
          <w:tcPr>
            <w:tcW w:w="2199"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Vấn Đề</w:t>
            </w:r>
          </w:p>
        </w:tc>
        <w:tc>
          <w:tcPr>
            <w:tcW w:w="33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Thực Trạng</w:t>
            </w:r>
          </w:p>
        </w:tc>
        <w:tc>
          <w:tcPr>
            <w:tcW w:w="3501"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AgriContract Giải Quyết Bằng Cách Nào</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Thiếu bằng chứng hợp đồng</w:t>
            </w:r>
          </w:p>
        </w:tc>
        <w:tc>
          <w:tcPr>
            <w:tcW w:w="3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Tỷ lệ liên kết bền chắc chỉ ~30%; phần còn lại là miệng hoặc tin nhắn không có giá trị pháp lý</w:t>
            </w:r>
          </w:p>
        </w:tc>
        <w:tc>
          <w:tcPr>
            <w:tcW w:w="35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Hợp đồng điện tử có timestamp, lịch sử đàm phán bất biến, audit trail. Dùng làm bằng chứng pháp lý hoặc nộp cho EUDR compliance</w:t>
            </w:r>
          </w:p>
        </w:tc>
      </w:tr>
      <w:tr>
        <w:trPr/>
        <w:tc>
          <w:tcPr>
            <w:tcW w:w="21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Không có escrow</w:t>
            </w:r>
          </w:p>
        </w:tc>
        <w:tc>
          <w:tcPr>
            <w:tcW w:w="33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Bẻ kèo xảy ra vì không có cơ chế hold tiền. Bên mạnh từ chối nhận hàng; bên yếu bán cho thương lái giá cao</w:t>
            </w:r>
          </w:p>
        </w:tc>
        <w:tc>
          <w:tcPr>
            <w:tcW w:w="3501"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Escrow lock tiền trước khi Seller giao hàng. Penalty rules tự động thực thi — không cần kiện tụng, không cần luật sư</w:t>
            </w:r>
          </w:p>
        </w:tc>
      </w:tr>
      <w:tr>
        <w:trPr/>
        <w:tc>
          <w:tcPr>
            <w:tcW w:w="2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Thiếu thông tin uy tín đối tác</w:t>
            </w:r>
          </w:p>
        </w:tc>
        <w:tc>
          <w:tcPr>
            <w:tcW w:w="33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Không có hệ thống đánh giá lịch sử giao dịch. HTX nhỏ lần đầu deal với doanh nghiệp mới hoàn toàn mù thông tin</w:t>
            </w:r>
          </w:p>
        </w:tc>
        <w:tc>
          <w:tcPr>
            <w:tcW w:w="35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Lịch sử giao dịch trên platform là reputation system tự nhiên. Audit trail xây dựng trust theo thời gian</w:t>
            </w:r>
          </w:p>
        </w:tc>
      </w:tr>
    </w:tbl>
    <w:p>
      <w:pPr>
        <w:pStyle w:val="Normal"/>
        <w:spacing w:before="80" w:after="80"/>
        <w:rPr/>
      </w:pPr>
      <w:r>
        <w:rPr/>
      </w:r>
    </w:p>
    <w:p>
      <w:pPr>
        <w:pStyle w:val="Heading1"/>
        <w:spacing w:before="360" w:after="180"/>
        <w:rPr/>
      </w:pPr>
      <w:r>
        <w:rPr>
          <w:rFonts w:eastAsia="Calibri" w:cs="Calibri" w:ascii="Calibri" w:hAnsi="Calibri"/>
          <w:b/>
          <w:bCs/>
          <w:color w:val="1A5276"/>
          <w:sz w:val="28"/>
          <w:szCs w:val="28"/>
        </w:rPr>
        <w:t>2. Giải Pháp Kỹ Thuật Phase 2 — Các Gap Được Xác Định</w:t>
      </w:r>
    </w:p>
    <w:p>
      <w:pPr>
        <w:pStyle w:val="Normal"/>
        <w:spacing w:before="80" w:after="80"/>
        <w:rPr/>
      </w:pPr>
      <w:r>
        <w:rPr>
          <w:rFonts w:eastAsia="Calibri" w:cs="Calibri"/>
          <w:sz w:val="22"/>
          <w:szCs w:val="22"/>
        </w:rPr>
        <w:t>Sau khi Phase 1 hoàn thành, nghiên cứu thị trường và phân tích thực tế vận hành xác định 6 gap kỹ thuật cần giải quyết trong Phase 2 để đảm bảo khả năng thương mại hóa thực tế.</w:t>
      </w:r>
    </w:p>
    <w:p>
      <w:pPr>
        <w:pStyle w:val="Normal"/>
        <w:spacing w:before="80" w:after="80"/>
        <w:rPr/>
      </w:pPr>
      <w:r>
        <w:rPr/>
      </w:r>
    </w:p>
    <w:p>
      <w:pPr>
        <w:pStyle w:val="Heading2"/>
        <w:spacing w:before="280" w:after="120"/>
        <w:rPr/>
      </w:pPr>
      <w:r>
        <w:rPr>
          <w:rFonts w:eastAsia="Calibri" w:cs="Calibri" w:ascii="Calibri" w:hAnsi="Calibri"/>
          <w:b/>
          <w:bCs/>
          <w:color w:val="1A5276"/>
          <w:sz w:val="24"/>
          <w:szCs w:val="24"/>
        </w:rPr>
        <w:t>2.1 Milestone Escrow — Giải Quyết Bài Toán Vốn Lưu Động</w:t>
      </w:r>
    </w:p>
    <w:p>
      <w:pPr>
        <w:pStyle w:val="Normal"/>
        <w:spacing w:before="80" w:after="80"/>
        <w:rPr/>
      </w:pPr>
      <w:r>
        <w:rPr>
          <w:rFonts w:eastAsia="Calibri" w:cs="Calibri"/>
          <w:sz w:val="22"/>
          <w:szCs w:val="22"/>
        </w:rPr>
        <w:t>Vấn đề: Lock 100% giá trị hợp đồng giết ROE của buyer. Ở scale nghìn tấn nông sản — cà phê, cao su, lúa gạo — ngay cả tập đoàn lớn cũng không thể giam vốn lưu động hàng tháng khi hợp đồng ký trước thu hoạch 3–6 tháng.</w:t>
      </w:r>
    </w:p>
    <w:p>
      <w:pPr>
        <w:pStyle w:val="Normal"/>
        <w:spacing w:before="80" w:after="80"/>
        <w:rPr/>
      </w:pPr>
      <w:r>
        <w:rPr/>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4" w:space="0" w:color="1A5276"/>
              <w:start w:val="single" w:sz="4" w:space="0" w:color="1A5276"/>
              <w:bottom w:val="single" w:sz="4" w:space="0" w:color="1A5276"/>
              <w:end w:val="single" w:sz="4" w:space="0" w:color="1A5276"/>
            </w:tcBorders>
            <w:shd w:fill="D5F5E3" w:val="clear"/>
          </w:tcPr>
          <w:p>
            <w:pPr>
              <w:pStyle w:val="Normal"/>
              <w:spacing w:before="60" w:after="60"/>
              <w:rPr/>
            </w:pPr>
            <w:r>
              <w:rPr>
                <w:rFonts w:eastAsia="Calibri" w:cs="Calibri"/>
                <w:sz w:val="20"/>
                <w:szCs w:val="20"/>
              </w:rPr>
              <w:t>Dẫn chứng thực tế — Khủng hoảng cà phê 2024:</w:t>
            </w:r>
          </w:p>
          <w:p>
            <w:pPr>
              <w:pStyle w:val="Normal"/>
              <w:spacing w:before="60" w:after="60"/>
              <w:rPr/>
            </w:pPr>
            <w:r>
              <w:rPr>
                <w:rFonts w:eastAsia="Calibri" w:cs="Calibri"/>
                <w:sz w:val="20"/>
                <w:szCs w:val="20"/>
              </w:rPr>
              <w:t>Ông Lê Đức Huy, TGĐ Công ty XNK 2/9 Đắk Lắk: "Thay vì kinh doanh 125.000 tấn, chúng tôi</w:t>
            </w:r>
          </w:p>
          <w:p>
            <w:pPr>
              <w:pStyle w:val="Normal"/>
              <w:spacing w:before="60" w:after="60"/>
              <w:rPr/>
            </w:pPr>
            <w:r>
              <w:rPr>
                <w:rFonts w:eastAsia="Calibri" w:cs="Calibri"/>
                <w:sz w:val="20"/>
                <w:szCs w:val="20"/>
              </w:rPr>
              <w:t>giảm xuống 105.000 tấn để kiểm soát rủi ro. Với giá tăng như vậy cần nguồn vốn nhiều —</w:t>
            </w:r>
          </w:p>
          <w:p>
            <w:pPr>
              <w:pStyle w:val="Normal"/>
              <w:spacing w:before="60" w:after="60"/>
              <w:rPr/>
            </w:pPr>
            <w:r>
              <w:rPr>
                <w:rFonts w:eastAsia="Calibri" w:cs="Calibri"/>
                <w:sz w:val="20"/>
                <w:szCs w:val="20"/>
              </w:rPr>
              <w:t>trước kia 100 triệu mua được 2 tấn thì nay 100 triệu chỉ mua được 1 tấn."</w:t>
            </w:r>
          </w:p>
          <w:p>
            <w:pPr>
              <w:pStyle w:val="Normal"/>
              <w:spacing w:before="60" w:after="60"/>
              <w:rPr/>
            </w:pPr>
            <w:r>
              <w:rPr/>
            </w:r>
          </w:p>
          <w:p>
            <w:pPr>
              <w:pStyle w:val="Normal"/>
              <w:spacing w:before="60" w:after="60"/>
              <w:rPr/>
            </w:pPr>
            <w:r>
              <w:rPr>
                <w:rFonts w:eastAsia="Calibri" w:cs="Calibri"/>
                <w:sz w:val="20"/>
                <w:szCs w:val="20"/>
              </w:rPr>
              <w:t>Nguồn: VTV.vn, 17/4/2024</w:t>
            </w:r>
          </w:p>
        </w:tc>
      </w:tr>
    </w:tbl>
    <w:p>
      <w:pPr>
        <w:pStyle w:val="Normal"/>
        <w:spacing w:before="80" w:after="80"/>
        <w:rPr/>
      </w:pPr>
      <w:r>
        <w:rPr/>
      </w:r>
    </w:p>
    <w:p>
      <w:pPr>
        <w:pStyle w:val="Normal"/>
        <w:spacing w:before="80" w:after="80"/>
        <w:rPr/>
      </w:pPr>
      <w:r>
        <w:rPr>
          <w:rFonts w:eastAsia="Calibri" w:cs="Calibri"/>
          <w:sz w:val="22"/>
          <w:szCs w:val="22"/>
        </w:rPr>
        <w:t>Giải pháp Phase 2 — Delivery-vs-Payment:</w:t>
      </w:r>
    </w:p>
    <w:p>
      <w:pPr>
        <w:pStyle w:val="Normal"/>
        <w:spacing w:before="60" w:after="60"/>
        <w:ind w:hanging="240" w:start="480"/>
        <w:rPr/>
      </w:pPr>
      <w:r>
        <w:rPr>
          <w:rFonts w:eastAsia="Calibri" w:cs="Calibri"/>
          <w:sz w:val="22"/>
          <w:szCs w:val="22"/>
        </w:rPr>
        <w:t>1. Buyer chỉ lock deposit % nhỏ (ví dụ 30%) để activate contract</w:t>
      </w:r>
    </w:p>
    <w:p>
      <w:pPr>
        <w:pStyle w:val="Normal"/>
        <w:spacing w:before="60" w:after="60"/>
        <w:ind w:hanging="240" w:start="480"/>
        <w:rPr/>
      </w:pPr>
      <w:r>
        <w:rPr>
          <w:rFonts w:eastAsia="Calibri" w:cs="Calibri"/>
          <w:sz w:val="22"/>
          <w:szCs w:val="22"/>
        </w:rPr>
        <w:t>2. Seller giao batch hàng → INSPECTOR xác nhận số lượng/chất lượng tại 2 đầu</w:t>
      </w:r>
    </w:p>
    <w:p>
      <w:pPr>
        <w:pStyle w:val="Normal"/>
        <w:spacing w:before="60" w:after="60"/>
        <w:ind w:hanging="240" w:start="480"/>
        <w:rPr/>
      </w:pPr>
      <w:r>
        <w:rPr>
          <w:rFonts w:eastAsia="Calibri" w:cs="Calibri"/>
          <w:sz w:val="22"/>
          <w:szCs w:val="22"/>
        </w:rPr>
        <w:t>3. Buyer lock payment cho batch đó → Escrow release cho Seller</w:t>
      </w:r>
    </w:p>
    <w:p>
      <w:pPr>
        <w:pStyle w:val="Normal"/>
        <w:spacing w:before="60" w:after="60"/>
        <w:ind w:hanging="240" w:start="480"/>
        <w:rPr/>
      </w:pPr>
      <w:r>
        <w:rPr>
          <w:rFonts w:eastAsia="Calibri" w:cs="Calibri"/>
          <w:sz w:val="22"/>
          <w:szCs w:val="22"/>
        </w:rPr>
        <w:t>4. Lặp lại cho đến khi hoàn tất toàn bộ hợp đồng</w:t>
      </w:r>
    </w:p>
    <w:p>
      <w:pPr>
        <w:pStyle w:val="Normal"/>
        <w:spacing w:before="80" w:after="80"/>
        <w:rPr/>
      </w:pPr>
      <w:r>
        <w:rPr/>
      </w:r>
    </w:p>
    <w:p>
      <w:pPr>
        <w:pStyle w:val="Normal"/>
        <w:spacing w:before="80" w:after="80"/>
        <w:rPr/>
      </w:pPr>
      <w:r>
        <w:rPr>
          <w:rFonts w:eastAsia="Calibri" w:cs="Calibri"/>
          <w:sz w:val="22"/>
          <w:szCs w:val="22"/>
        </w:rPr>
        <w:t>Với Milestone model, seller deposit = 0 theo mặc định. Hàng đã giao là skin in the game của seller (không lấy lại được). Reputation System (Gap 5) làm backstop cho trường hợp seller muốn bẻ kèo trước batch đầu.</w:t>
      </w:r>
    </w:p>
    <w:p>
      <w:pPr>
        <w:pStyle w:val="Normal"/>
        <w:spacing w:before="80" w:after="80"/>
        <w:rPr/>
      </w:pPr>
      <w:r>
        <w:rPr/>
      </w:r>
    </w:p>
    <w:p>
      <w:pPr>
        <w:pStyle w:val="Heading2"/>
        <w:spacing w:before="280" w:after="120"/>
        <w:rPr/>
      </w:pPr>
      <w:r>
        <w:rPr>
          <w:rFonts w:eastAsia="Calibri" w:cs="Calibri" w:ascii="Calibri" w:hAnsi="Calibri"/>
          <w:b/>
          <w:bCs/>
          <w:color w:val="1A5276"/>
          <w:sz w:val="24"/>
          <w:szCs w:val="24"/>
        </w:rPr>
        <w:t>2.2 Partial Delivery + Pro-rata Settlement — Xử Lý Hao Mòn Thực Tế</w:t>
      </w:r>
    </w:p>
    <w:p>
      <w:pPr>
        <w:pStyle w:val="Normal"/>
        <w:spacing w:before="80" w:after="80"/>
        <w:rPr/>
      </w:pPr>
      <w:r>
        <w:rPr>
          <w:rFonts w:eastAsia="Calibri" w:cs="Calibri"/>
          <w:sz w:val="22"/>
          <w:szCs w:val="22"/>
        </w:rPr>
        <w:t>Vấn đề: Nông sản luôn có hao mòn. Giao 95 tấn thay vì 100 tấn là chuyện bình thường — không phải vi phạm. Phase 1 không handle case này, contract sẽ kẹt.</w:t>
      </w:r>
    </w:p>
    <w:p>
      <w:pPr>
        <w:pStyle w:val="Normal"/>
        <w:spacing w:before="80" w:after="80"/>
        <w:rPr/>
      </w:pPr>
      <w:r>
        <w:rPr/>
      </w:r>
    </w:p>
    <w:p>
      <w:pPr>
        <w:pStyle w:val="Normal"/>
        <w:spacing w:before="80" w:after="80"/>
        <w:rPr/>
      </w:pPr>
      <w:r>
        <w:rPr>
          <w:rFonts w:eastAsia="Calibri" w:cs="Calibri"/>
          <w:sz w:val="22"/>
          <w:szCs w:val="22"/>
        </w:rPr>
        <w:t>Giải pháp Phase 2 — INSPECTOR + Pro-rata:</w:t>
      </w:r>
    </w:p>
    <w:p>
      <w:pPr>
        <w:pStyle w:val="Normal"/>
        <w:spacing w:before="60" w:after="60"/>
        <w:ind w:hanging="240" w:start="480"/>
        <w:rPr/>
      </w:pPr>
      <w:r>
        <w:rPr>
          <w:rFonts w:eastAsia="Calibri" w:cs="Calibri"/>
          <w:sz w:val="22"/>
          <w:szCs w:val="22"/>
        </w:rPr>
        <w:t xml:space="preserve">• </w:t>
      </w:r>
      <w:r>
        <w:rPr>
          <w:rFonts w:eastAsia="Calibri" w:cs="Calibri"/>
          <w:sz w:val="22"/>
          <w:szCs w:val="22"/>
        </w:rPr>
        <w:t>INSPECTOR cân hàng tại 2 điểm: tại kho seller và tại kho buyer</w:t>
      </w:r>
    </w:p>
    <w:p>
      <w:pPr>
        <w:pStyle w:val="Normal"/>
        <w:spacing w:before="60" w:after="60"/>
        <w:ind w:hanging="240" w:start="480"/>
        <w:rPr/>
      </w:pPr>
      <w:r>
        <w:rPr>
          <w:rFonts w:eastAsia="Calibri" w:cs="Calibri"/>
          <w:sz w:val="22"/>
          <w:szCs w:val="22"/>
        </w:rPr>
        <w:t xml:space="preserve">• </w:t>
      </w:r>
      <w:r>
        <w:rPr>
          <w:rFonts w:eastAsia="Calibri" w:cs="Calibri"/>
          <w:sz w:val="22"/>
          <w:szCs w:val="22"/>
        </w:rPr>
        <w:t>Xác định số lượng xuất kho thực tế, số lượng nhập kho thực tế, hao mòn vận chuyển</w:t>
      </w:r>
    </w:p>
    <w:p>
      <w:pPr>
        <w:pStyle w:val="Normal"/>
        <w:spacing w:before="60" w:after="60"/>
        <w:ind w:hanging="240" w:start="480"/>
        <w:rPr/>
      </w:pPr>
      <w:r>
        <w:rPr>
          <w:rFonts w:eastAsia="Calibri" w:cs="Calibri"/>
          <w:sz w:val="22"/>
          <w:szCs w:val="22"/>
        </w:rPr>
        <w:t xml:space="preserve">• </w:t>
      </w:r>
      <w:r>
        <w:rPr>
          <w:rFonts w:eastAsia="Calibri" w:cs="Calibri"/>
          <w:sz w:val="22"/>
          <w:szCs w:val="22"/>
        </w:rPr>
        <w:t>Phân chia trách nhiệm hao mòn theo tỷ lệ đã negotiate trong ContractTerms (default 50/50)</w:t>
      </w:r>
    </w:p>
    <w:p>
      <w:pPr>
        <w:pStyle w:val="Normal"/>
        <w:spacing w:before="60" w:after="60"/>
        <w:ind w:hanging="240" w:start="480"/>
        <w:rPr/>
      </w:pPr>
      <w:r>
        <w:rPr>
          <w:rFonts w:eastAsia="Calibri" w:cs="Calibri"/>
          <w:sz w:val="22"/>
          <w:szCs w:val="22"/>
        </w:rPr>
        <w:t xml:space="preserve">• </w:t>
      </w:r>
      <w:r>
        <w:rPr>
          <w:rFonts w:eastAsia="Calibri" w:cs="Calibri"/>
          <w:sz w:val="22"/>
          <w:szCs w:val="22"/>
        </w:rPr>
        <w:t>Escrow-svc tự động tính: seller nhận tiền theo số thực tế; buyer hoàn phần chênh lệch — không cần Admin can thiệp nếu trong ngưỡng tolerance</w:t>
      </w:r>
    </w:p>
    <w:p>
      <w:pPr>
        <w:pStyle w:val="Normal"/>
        <w:spacing w:before="80" w:after="80"/>
        <w:rPr/>
      </w:pPr>
      <w:r>
        <w:rPr/>
      </w:r>
    </w:p>
    <w:p>
      <w:pPr>
        <w:pStyle w:val="Heading2"/>
        <w:spacing w:before="280" w:after="120"/>
        <w:rPr/>
      </w:pPr>
      <w:r>
        <w:rPr>
          <w:rFonts w:eastAsia="Calibri" w:cs="Calibri" w:ascii="Calibri" w:hAnsi="Calibri"/>
          <w:b/>
          <w:bCs/>
          <w:color w:val="1A5276"/>
          <w:sz w:val="24"/>
          <w:szCs w:val="24"/>
        </w:rPr>
        <w:t>2.3 INSPECTOR Role — Giám Định Độc Lập</w:t>
      </w:r>
    </w:p>
    <w:p>
      <w:pPr>
        <w:pStyle w:val="Normal"/>
        <w:spacing w:before="80" w:after="80"/>
        <w:rPr/>
      </w:pPr>
      <w:r>
        <w:rPr>
          <w:rFonts w:eastAsia="Calibri" w:cs="Calibri"/>
          <w:sz w:val="22"/>
          <w:szCs w:val="22"/>
        </w:rPr>
        <w:t>Vấn đề: Admin trong Phase 1 là người vận hành platform — có conflict of interest (đặc biệt ở Case 2: doanh nghiệp thu mua tự deploy platform). Arbitration dựa trên cảm tính không đủ tin cậy cho tranh chấp lớn.</w:t>
      </w:r>
    </w:p>
    <w:p>
      <w:pPr>
        <w:pStyle w:val="Normal"/>
        <w:spacing w:before="80" w:after="80"/>
        <w:rPr/>
      </w:pPr>
      <w:r>
        <w:rPr/>
      </w:r>
    </w:p>
    <w:p>
      <w:pPr>
        <w:pStyle w:val="Normal"/>
        <w:spacing w:before="80" w:after="80"/>
        <w:rPr/>
      </w:pPr>
      <w:r>
        <w:rPr>
          <w:rFonts w:eastAsia="Calibri" w:cs="Calibri"/>
          <w:sz w:val="22"/>
          <w:szCs w:val="22"/>
        </w:rPr>
        <w:t>Giải pháp Phase 2 — INSPECTOR như SGS, Bureau Veritas, hoặc tổ chức kiểm định được nhà nước công nhận:</w:t>
      </w:r>
    </w:p>
    <w:p>
      <w:pPr>
        <w:pStyle w:val="Normal"/>
        <w:spacing w:before="60" w:after="60"/>
        <w:ind w:hanging="240" w:start="480"/>
        <w:rPr/>
      </w:pPr>
      <w:r>
        <w:rPr>
          <w:rFonts w:eastAsia="Calibri" w:cs="Calibri"/>
          <w:sz w:val="22"/>
          <w:szCs w:val="22"/>
        </w:rPr>
        <w:t xml:space="preserve">• </w:t>
      </w:r>
      <w:r>
        <w:rPr>
          <w:rFonts w:eastAsia="Calibri" w:cs="Calibri"/>
          <w:sz w:val="22"/>
          <w:szCs w:val="22"/>
        </w:rPr>
        <w:t>Không có skin in the game trong từng giao dịch — role thuần chuyên môn</w:t>
      </w:r>
    </w:p>
    <w:p>
      <w:pPr>
        <w:pStyle w:val="Normal"/>
        <w:spacing w:before="60" w:after="60"/>
        <w:ind w:hanging="240" w:start="480"/>
        <w:rPr/>
      </w:pPr>
      <w:r>
        <w:rPr>
          <w:rFonts w:eastAsia="Calibri" w:cs="Calibri"/>
          <w:sz w:val="22"/>
          <w:szCs w:val="22"/>
        </w:rPr>
        <w:t xml:space="preserve">• </w:t>
      </w:r>
      <w:r>
        <w:rPr>
          <w:rFonts w:eastAsia="Calibri" w:cs="Calibri"/>
          <w:sz w:val="22"/>
          <w:szCs w:val="22"/>
        </w:rPr>
        <w:t>Cấp chứng nhận số lượng + chất lượng trực tiếp lên platform → immutable record</w:t>
      </w:r>
    </w:p>
    <w:p>
      <w:pPr>
        <w:pStyle w:val="Normal"/>
        <w:spacing w:before="60" w:after="60"/>
        <w:ind w:hanging="240" w:start="480"/>
        <w:rPr/>
      </w:pPr>
      <w:r>
        <w:rPr>
          <w:rFonts w:eastAsia="Calibri" w:cs="Calibri"/>
          <w:sz w:val="22"/>
          <w:szCs w:val="22"/>
        </w:rPr>
        <w:t xml:space="preserve">• </w:t>
      </w:r>
      <w:r>
        <w:rPr>
          <w:rFonts w:eastAsia="Calibri" w:cs="Calibri"/>
          <w:sz w:val="22"/>
          <w:szCs w:val="22"/>
        </w:rPr>
        <w:t>Kết quả INSPECTOR làm căn cứ pháp lý bất biến để Admin giải ngân — giảm bias chủ quan</w:t>
      </w:r>
    </w:p>
    <w:p>
      <w:pPr>
        <w:pStyle w:val="Normal"/>
        <w:spacing w:before="60" w:after="60"/>
        <w:ind w:hanging="240" w:start="480"/>
        <w:rPr/>
      </w:pPr>
      <w:r>
        <w:rPr>
          <w:rFonts w:eastAsia="Calibri" w:cs="Calibri"/>
          <w:sz w:val="22"/>
          <w:szCs w:val="22"/>
        </w:rPr>
        <w:t xml:space="preserve">• </w:t>
      </w:r>
      <w:r>
        <w:rPr>
          <w:rFonts w:eastAsia="Calibri" w:cs="Calibri"/>
          <w:sz w:val="22"/>
          <w:szCs w:val="22"/>
        </w:rPr>
        <w:t>Keycloak role mới: INSPECTOR — quyền submit report cho contract được assigned, không truy cập contract khác</w:t>
      </w:r>
    </w:p>
    <w:p>
      <w:pPr>
        <w:pStyle w:val="Normal"/>
        <w:spacing w:before="80" w:after="80"/>
        <w:rPr/>
      </w:pPr>
      <w:r>
        <w:rPr/>
      </w:r>
    </w:p>
    <w:p>
      <w:pPr>
        <w:pStyle w:val="Normal"/>
        <w:spacing w:before="80" w:after="80"/>
        <w:rPr/>
      </w:pPr>
      <w:r>
        <w:rPr>
          <w:rFonts w:eastAsia="Calibri" w:cs="Calibri"/>
          <w:sz w:val="22"/>
          <w:szCs w:val="22"/>
        </w:rPr>
        <w:t>Việc phán quyết phải neo vào policy + evidence cụ thể, ghi lại được — không phải số tùy ý. Đây là pattern đã được Alibaba Trade Assurance áp dụng thực tế trong B2B commodity trading.</w:t>
      </w:r>
    </w:p>
    <w:p>
      <w:pPr>
        <w:pStyle w:val="Normal"/>
        <w:spacing w:before="80" w:after="80"/>
        <w:rPr/>
      </w:pPr>
      <w:r>
        <w:rPr/>
      </w:r>
    </w:p>
    <w:p>
      <w:pPr>
        <w:pStyle w:val="Heading2"/>
        <w:spacing w:before="280" w:after="120"/>
        <w:rPr/>
      </w:pPr>
      <w:r>
        <w:rPr>
          <w:rFonts w:eastAsia="Calibri" w:cs="Calibri" w:ascii="Calibri" w:hAnsi="Calibri"/>
          <w:b/>
          <w:bCs/>
          <w:color w:val="1A5276"/>
          <w:sz w:val="24"/>
          <w:szCs w:val="24"/>
        </w:rPr>
        <w:t>2.4 Tiered Dispute Resolution — Phân Xử Đa Tầng</w:t>
      </w:r>
    </w:p>
    <w:p>
      <w:pPr>
        <w:pStyle w:val="Normal"/>
        <w:spacing w:before="80" w:after="80"/>
        <w:rPr/>
      </w:pPr>
      <w:r>
        <w:rPr>
          <w:rFonts w:eastAsia="Calibri" w:cs="Calibri"/>
          <w:sz w:val="22"/>
          <w:szCs w:val="22"/>
        </w:rPr>
        <w:t>Vấn đề: Chi phí INSPECTOR (SGS, Bureau Veritas) là cố định và cao — không scalable với đơn nhỏ. Nhưng đơn lớn hoặc hàng phức tạp không thể dựa vào Admin nội bộ không có chuyên môn.</w:t>
      </w:r>
    </w:p>
    <w:p>
      <w:pPr>
        <w:pStyle w:val="Normal"/>
        <w:spacing w:before="80" w:after="80"/>
        <w:rPr/>
      </w:pPr>
      <w:r>
        <w:rPr/>
      </w:r>
    </w:p>
    <w:tbl>
      <w:tblPr>
        <w:tblW w:w="9026" w:type="dxa"/>
        <w:jc w:val="start"/>
        <w:tblInd w:w="0" w:type="dxa"/>
        <w:tblLayout w:type="fixed"/>
        <w:tblCellMar>
          <w:top w:w="80" w:type="dxa"/>
          <w:start w:w="120" w:type="dxa"/>
          <w:bottom w:w="80" w:type="dxa"/>
          <w:end w:w="120" w:type="dxa"/>
        </w:tblCellMar>
      </w:tblPr>
      <w:tblGrid>
        <w:gridCol w:w="1799"/>
        <w:gridCol w:w="3001"/>
        <w:gridCol w:w="3000"/>
        <w:gridCol w:w="1226"/>
      </w:tblGrid>
      <w:tr>
        <w:trPr>
          <w:tblHeader w:val="true"/>
        </w:trPr>
        <w:tc>
          <w:tcPr>
            <w:tcW w:w="1799"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Level</w:t>
            </w:r>
          </w:p>
        </w:tc>
        <w:tc>
          <w:tcPr>
            <w:tcW w:w="3001"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Trigger Condition (OR)</w:t>
            </w:r>
          </w:p>
        </w:tc>
        <w:tc>
          <w:tcPr>
            <w:tcW w:w="30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Quy Trình</w:t>
            </w:r>
          </w:p>
        </w:tc>
        <w:tc>
          <w:tcPr>
            <w:tcW w:w="1226"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Chi Phí</w:t>
            </w:r>
          </w:p>
        </w:tc>
      </w:tr>
      <w:tr>
        <w:trPr/>
        <w:tc>
          <w:tcPr>
            <w:tcW w:w="17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Level 1 — Peer-to-peer</w:t>
            </w:r>
          </w:p>
        </w:tc>
        <w:tc>
          <w:tcPr>
            <w:tcW w:w="30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Giá trị nhỏ VÀ category đơn giản</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Buyer upload ảnh/video bằng chứng → Admin nội bộ phân xử nhanh</w:t>
            </w:r>
          </w:p>
        </w:tc>
        <w:tc>
          <w:tcPr>
            <w:tcW w:w="1226"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Thấp — không cần INSPECTOR</w:t>
            </w:r>
          </w:p>
        </w:tc>
      </w:tr>
      <w:tr>
        <w:trPr/>
        <w:tc>
          <w:tcPr>
            <w:tcW w:w="17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Level 2 — INSPECTOR</w:t>
            </w:r>
          </w:p>
        </w:tc>
        <w:tc>
          <w:tcPr>
            <w:tcW w:w="3001"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Giá trị lớn HOẶC category phức tạp (COFFEE/RUBBER/CASHEW)</w:t>
            </w:r>
          </w:p>
        </w:tc>
        <w:tc>
          <w:tcPr>
            <w:tcW w:w="30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Hệ thống bắt buộc assign INSPECTOR → Report làm căn cứ giải ngân</w:t>
            </w:r>
          </w:p>
        </w:tc>
        <w:tc>
          <w:tcPr>
            <w:tcW w:w="1226"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Cao — có legal backing</w:t>
            </w:r>
          </w:p>
        </w:tc>
      </w:tr>
    </w:tbl>
    <w:p>
      <w:pPr>
        <w:pStyle w:val="Normal"/>
        <w:spacing w:before="80" w:after="80"/>
        <w:rPr/>
      </w:pPr>
      <w:r>
        <w:rPr/>
      </w:r>
    </w:p>
    <w:p>
      <w:pPr>
        <w:pStyle w:val="Normal"/>
        <w:spacing w:before="80" w:after="80"/>
        <w:rPr/>
      </w:pPr>
      <w:r>
        <w:rPr>
          <w:rFonts w:eastAsia="Calibri" w:cs="Calibri"/>
          <w:sz w:val="22"/>
          <w:szCs w:val="22"/>
        </w:rPr>
        <w:t>Routing logic: OR condition — disputeValue &gt; threshold HOẶC productCategory IN (COFFEE, RUBBER, CASHEW). Threshold là configurable per deployment trong application.yml — hiệp hội VICOFA deploy có ngưỡng khác tập đoàn lúa gạo.</w:t>
      </w:r>
    </w:p>
    <w:p>
      <w:pPr>
        <w:pStyle w:val="Normal"/>
        <w:spacing w:before="80" w:after="80"/>
        <w:rPr/>
      </w:pPr>
      <w:r>
        <w:rPr/>
      </w:r>
    </w:p>
    <w:p>
      <w:pPr>
        <w:pStyle w:val="Heading2"/>
        <w:spacing w:before="280" w:after="120"/>
        <w:rPr/>
      </w:pPr>
      <w:r>
        <w:rPr>
          <w:rFonts w:eastAsia="Calibri" w:cs="Calibri" w:ascii="Calibri" w:hAnsi="Calibri"/>
          <w:b/>
          <w:bCs/>
          <w:color w:val="1A5276"/>
          <w:sz w:val="24"/>
          <w:szCs w:val="24"/>
        </w:rPr>
        <w:t>2.5 Reputation Scoring — Xây Dựng Trust Dài Hạn</w:t>
      </w:r>
    </w:p>
    <w:p>
      <w:pPr>
        <w:pStyle w:val="Normal"/>
        <w:spacing w:before="80" w:after="80"/>
        <w:rPr/>
      </w:pPr>
      <w:r>
        <w:rPr>
          <w:rFonts w:eastAsia="Calibri" w:cs="Calibri"/>
          <w:sz w:val="22"/>
          <w:szCs w:val="22"/>
        </w:rPr>
        <w:t>Sau mỗi contract SETTLED: Buyer đánh giá Seller và ngược lại (rating + comment). Điểm tích lũy theo thời gian, hiển thị trên public profile.</w:t>
      </w:r>
    </w:p>
    <w:p>
      <w:pPr>
        <w:pStyle w:val="Normal"/>
        <w:spacing w:before="80" w:after="80"/>
        <w:rPr/>
      </w:pPr>
      <w:r>
        <w:rPr>
          <w:rFonts w:eastAsia="Calibri" w:cs="Calibri"/>
          <w:sz w:val="22"/>
          <w:szCs w:val="22"/>
        </w:rPr>
        <w:t>Vai trò đặc biệt trong Milestone model: Reputation là backstop dài hạn cho seller không có tiền cọc. Với HTX nhỏ muốn bán cho tập đoàn lớn qua platform, reputation là tài sản quan trọng hơn lợi nhuận 1 vụ. Chi phí bẻ kèo = mất toàn bộ reputation đã tích lũy.</w:t>
      </w:r>
    </w:p>
    <w:p>
      <w:pPr>
        <w:pStyle w:val="Normal"/>
        <w:spacing w:before="80" w:after="80"/>
        <w:rPr/>
      </w:pPr>
      <w:r>
        <w:rPr/>
      </w:r>
    </w:p>
    <w:p>
      <w:pPr>
        <w:pStyle w:val="Heading2"/>
        <w:spacing w:before="280" w:after="120"/>
        <w:rPr/>
      </w:pPr>
      <w:r>
        <w:rPr>
          <w:rFonts w:eastAsia="Calibri" w:cs="Calibri" w:ascii="Calibri" w:hAnsi="Calibri"/>
          <w:b/>
          <w:bCs/>
          <w:color w:val="1A5276"/>
          <w:sz w:val="24"/>
          <w:szCs w:val="24"/>
        </w:rPr>
        <w:t>2.6 Audit Trail Exportable — Prerequisite cho Agri-Fintech</w:t>
      </w:r>
    </w:p>
    <w:p>
      <w:pPr>
        <w:pStyle w:val="Normal"/>
        <w:spacing w:before="80" w:after="80"/>
        <w:rPr/>
      </w:pPr>
      <w:r>
        <w:rPr>
          <w:rFonts w:eastAsia="Calibri" w:cs="Calibri"/>
          <w:sz w:val="22"/>
          <w:szCs w:val="22"/>
        </w:rPr>
        <w:t>Mọi escrow operation có immutable log, exportable report (PDF/CSV). Đây là prerequisite cho tầm nhìn bank integration dài hạn.</w:t>
      </w:r>
    </w:p>
    <w:p>
      <w:pPr>
        <w:pStyle w:val="Normal"/>
        <w:spacing w:before="80" w:after="80"/>
        <w:rPr/>
      </w:pPr>
      <w:r>
        <w:rPr>
          <w:rFonts w:eastAsia="Calibri" w:cs="Calibri"/>
          <w:sz w:val="22"/>
          <w:szCs w:val="22"/>
        </w:rPr>
        <w:t>Data từ platform — hợp đồng đã ký, lịch sử giao hàng, tỷ lệ hoàn thành, inspection report, reputation score — là credit profile của HTX mà ngân hàng có thể đọc và tin tưởng thay vì yêu cầu tài sản thế chấp truyền thống.</w:t>
      </w:r>
    </w:p>
    <w:p>
      <w:pPr>
        <w:pStyle w:val="Normal"/>
        <w:spacing w:before="40" w:after="120"/>
        <w:ind w:start="720"/>
        <w:rPr/>
      </w:pPr>
      <w:r>
        <w:rPr>
          <w:rFonts w:eastAsia="Calibri" w:cs="Calibri"/>
          <w:i/>
          <w:iCs/>
          <w:color w:val="777777"/>
          <w:sz w:val="18"/>
          <w:szCs w:val="18"/>
        </w:rPr>
        <w:t>Nguồn: BIDV tham gia trực tiếp vào Agrichain blockchain (Exabyte) — Vietnam.vn, 1/4/2026 https://www.vietnam.vn/en/ngan-hang-dong-hanh-cung-chuoi-nong-san-so</w:t>
      </w:r>
    </w:p>
    <w:p>
      <w:pPr>
        <w:pStyle w:val="Normal"/>
        <w:spacing w:before="80" w:after="80"/>
        <w:rPr/>
      </w:pPr>
      <w:r>
        <w:rPr/>
      </w:r>
    </w:p>
    <w:p>
      <w:pPr>
        <w:pStyle w:val="Heading1"/>
        <w:spacing w:before="360" w:after="180"/>
        <w:rPr/>
      </w:pPr>
      <w:r>
        <w:rPr>
          <w:rFonts w:eastAsia="Calibri" w:cs="Calibri" w:ascii="Calibri" w:hAnsi="Calibri"/>
          <w:b/>
          <w:bCs/>
          <w:color w:val="1A5276"/>
          <w:sz w:val="28"/>
          <w:szCs w:val="28"/>
        </w:rPr>
        <w:t>3. Cancel Flow &amp; Penalty Rules</w:t>
      </w:r>
    </w:p>
    <w:p>
      <w:pPr>
        <w:pStyle w:val="Normal"/>
        <w:spacing w:before="80" w:after="80"/>
        <w:rPr/>
      </w:pPr>
      <w:r>
        <w:rPr>
          <w:rFonts w:eastAsia="Calibri" w:cs="Calibri"/>
          <w:sz w:val="22"/>
          <w:szCs w:val="22"/>
        </w:rPr>
        <w:t>AgriContract xử lý rõ ràng các trường hợp hủy hợp đồng — điểm khác biệt so với hợp đồng miệng truyền thống:</w:t>
      </w:r>
    </w:p>
    <w:p>
      <w:pPr>
        <w:pStyle w:val="Normal"/>
        <w:spacing w:before="80" w:after="80"/>
        <w:rPr/>
      </w:pPr>
      <w:r>
        <w:rPr/>
      </w:r>
    </w:p>
    <w:tbl>
      <w:tblPr>
        <w:tblW w:w="9026" w:type="dxa"/>
        <w:jc w:val="start"/>
        <w:tblInd w:w="0" w:type="dxa"/>
        <w:tblLayout w:type="fixed"/>
        <w:tblCellMar>
          <w:top w:w="80" w:type="dxa"/>
          <w:start w:w="120" w:type="dxa"/>
          <w:bottom w:w="80" w:type="dxa"/>
          <w:end w:w="120" w:type="dxa"/>
        </w:tblCellMar>
      </w:tblPr>
      <w:tblGrid>
        <w:gridCol w:w="2500"/>
        <w:gridCol w:w="3000"/>
        <w:gridCol w:w="3526"/>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Tình Huống</w:t>
            </w:r>
          </w:p>
        </w:tc>
        <w:tc>
          <w:tcPr>
            <w:tcW w:w="30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Hành Động</w:t>
            </w:r>
          </w:p>
        </w:tc>
        <w:tc>
          <w:tcPr>
            <w:tcW w:w="3526"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Kết Quả Escrow</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Cancel trước SIGNED</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Tự do hủy — không cần giải thích</w:t>
            </w:r>
          </w:p>
        </w:tc>
        <w:tc>
          <w:tcPr>
            <w:tcW w:w="3526"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Không có escrow → không cần compensating transaction</w:t>
            </w:r>
          </w:p>
        </w:tc>
      </w:tr>
      <w:tr>
        <w:trPr/>
        <w:tc>
          <w:tcPr>
            <w:tcW w:w="25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Buyer cancel sau ACTIVE</w:t>
            </w:r>
          </w:p>
        </w:tc>
        <w:tc>
          <w:tcPr>
            <w:tcW w:w="30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Buyer forfeit cọc theo penalty rate đã ký</w:t>
            </w:r>
          </w:p>
        </w:tc>
        <w:tc>
          <w:tcPr>
            <w:tcW w:w="3526"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PENALIZED_BUYER: một phần tiền về Seller</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Seller cancel sau ACTIVE</w:t>
            </w:r>
          </w:p>
        </w:tc>
        <w:tc>
          <w:tcPr>
            <w:tcW w:w="30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Seller đền bù theo điều khoản</w:t>
            </w:r>
          </w:p>
        </w:tc>
        <w:tc>
          <w:tcPr>
            <w:tcW w:w="3526"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PENALIZED_SELLER: refund toàn bộ cho Buyer</w:t>
            </w:r>
          </w:p>
        </w:tc>
      </w:tr>
      <w:tr>
        <w:trPr/>
        <w:tc>
          <w:tcPr>
            <w:tcW w:w="25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Tranh chấp sau DELIVERED</w:t>
            </w:r>
          </w:p>
        </w:tc>
        <w:tc>
          <w:tcPr>
            <w:tcW w:w="30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Buyer trigger DISPUTED → Tiered Dispute flow</w:t>
            </w:r>
          </w:p>
        </w:tc>
        <w:tc>
          <w:tcPr>
            <w:tcW w:w="3526"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ARBITRATED: Admin + INSPECTOR quyết định phân chia</w:t>
            </w:r>
          </w:p>
        </w:tc>
      </w:tr>
    </w:tbl>
    <w:p>
      <w:pPr>
        <w:pStyle w:val="Normal"/>
        <w:spacing w:before="80" w:after="80"/>
        <w:rPr/>
      </w:pPr>
      <w:r>
        <w:rPr/>
      </w:r>
    </w:p>
    <w:p>
      <w:pPr>
        <w:pStyle w:val="Heading1"/>
        <w:spacing w:before="360" w:after="180"/>
        <w:rPr/>
      </w:pPr>
      <w:r>
        <w:rPr>
          <w:rFonts w:eastAsia="Calibri" w:cs="Calibri" w:ascii="Calibri" w:hAnsi="Calibri"/>
          <w:b/>
          <w:bCs/>
          <w:color w:val="1A5276"/>
          <w:sz w:val="28"/>
          <w:szCs w:val="28"/>
        </w:rPr>
        <w:t>4. Mục Tiêu Dự Án</w:t>
      </w:r>
    </w:p>
    <w:p>
      <w:pPr>
        <w:pStyle w:val="Normal"/>
        <w:spacing w:before="80" w:after="80"/>
        <w:rPr/>
      </w:pPr>
      <w:r>
        <w:rPr/>
      </w:r>
    </w:p>
    <w:p>
      <w:pPr>
        <w:pStyle w:val="Heading2"/>
        <w:spacing w:before="280" w:after="120"/>
        <w:rPr/>
      </w:pPr>
      <w:r>
        <w:rPr>
          <w:rFonts w:eastAsia="Calibri" w:cs="Calibri" w:ascii="Calibri" w:hAnsi="Calibri"/>
          <w:b/>
          <w:bCs/>
          <w:color w:val="1A5276"/>
          <w:sz w:val="24"/>
          <w:szCs w:val="24"/>
        </w:rPr>
        <w:t>4.1 Phase 1 — MVP (7 Tuần, Deadline 24/7/2026)</w:t>
      </w:r>
    </w:p>
    <w:p>
      <w:pPr>
        <w:pStyle w:val="Normal"/>
        <w:spacing w:before="80" w:after="80"/>
        <w:rPr/>
      </w:pPr>
      <w:r>
        <w:rPr>
          <w:rFonts w:eastAsia="Calibri" w:cs="Calibri"/>
          <w:sz w:val="22"/>
          <w:szCs w:val="22"/>
        </w:rPr>
        <w:t>Mục tiêu: Demo được full flow từ đăng listing đến escrow release, đủ để chứng minh technical feasibility và defend trước hội đồng.</w:t>
      </w:r>
    </w:p>
    <w:p>
      <w:pPr>
        <w:pStyle w:val="Normal"/>
        <w:spacing w:before="80" w:after="80"/>
        <w:rPr/>
      </w:pPr>
      <w:r>
        <w:rPr/>
      </w:r>
    </w:p>
    <w:tbl>
      <w:tblPr>
        <w:tblW w:w="9000" w:type="dxa"/>
        <w:jc w:val="start"/>
        <w:tblInd w:w="0" w:type="dxa"/>
        <w:tblLayout w:type="fixed"/>
        <w:tblCellMar>
          <w:top w:w="80" w:type="dxa"/>
          <w:start w:w="120" w:type="dxa"/>
          <w:bottom w:w="80" w:type="dxa"/>
          <w:end w:w="120" w:type="dxa"/>
        </w:tblCellMar>
      </w:tblPr>
      <w:tblGrid>
        <w:gridCol w:w="800"/>
        <w:gridCol w:w="1600"/>
        <w:gridCol w:w="4199"/>
        <w:gridCol w:w="2401"/>
      </w:tblGrid>
      <w:tr>
        <w:trPr>
          <w:tblHeader w:val="true"/>
        </w:trPr>
        <w:tc>
          <w:tcPr>
            <w:tcW w:w="8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Tuần</w:t>
            </w:r>
          </w:p>
        </w:tc>
        <w:tc>
          <w:tcPr>
            <w:tcW w:w="16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Thời Gian</w:t>
            </w:r>
          </w:p>
        </w:tc>
        <w:tc>
          <w:tcPr>
            <w:tcW w:w="4199"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Deliverable</w:t>
            </w:r>
          </w:p>
        </w:tc>
        <w:tc>
          <w:tcPr>
            <w:tcW w:w="2401"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Assignee</w:t>
            </w:r>
          </w:p>
        </w:tc>
      </w:tr>
      <w:tr>
        <w:trPr/>
        <w:tc>
          <w:tcPr>
            <w:tcW w:w="8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1</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03–09/6</w:t>
            </w:r>
          </w:p>
        </w:tc>
        <w:tc>
          <w:tcPr>
            <w:tcW w:w="4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Docker Compose, API Gateway, user-service + Keycloak</w:t>
            </w:r>
          </w:p>
        </w:tc>
        <w:tc>
          <w:tcPr>
            <w:tcW w:w="24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BE Lead (NMC)</w:t>
            </w:r>
          </w:p>
        </w:tc>
      </w:tr>
      <w:tr>
        <w:trPr/>
        <w:tc>
          <w:tcPr>
            <w:tcW w:w="8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2</w:t>
            </w:r>
          </w:p>
        </w:tc>
        <w:tc>
          <w:tcPr>
            <w:tcW w:w="16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10–16/6</w:t>
            </w:r>
          </w:p>
        </w:tc>
        <w:tc>
          <w:tcPr>
            <w:tcW w:w="41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product-service + giao diện browse/search</w:t>
            </w:r>
          </w:p>
        </w:tc>
        <w:tc>
          <w:tcPr>
            <w:tcW w:w="2401"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BE Support (NHL) + FE ()</w:t>
            </w:r>
          </w:p>
        </w:tc>
      </w:tr>
      <w:tr>
        <w:trPr/>
        <w:tc>
          <w:tcPr>
            <w:tcW w:w="8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3</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17–23/6</w:t>
            </w:r>
          </w:p>
        </w:tc>
        <w:tc>
          <w:tcPr>
            <w:tcW w:w="4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contract-service: OFFERED → SIGNED, NegotiationEvent</w:t>
            </w:r>
          </w:p>
        </w:tc>
        <w:tc>
          <w:tcPr>
            <w:tcW w:w="24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NMC</w:t>
            </w:r>
          </w:p>
        </w:tc>
      </w:tr>
      <w:tr>
        <w:trPr/>
        <w:tc>
          <w:tcPr>
            <w:tcW w:w="8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4</w:t>
            </w:r>
          </w:p>
        </w:tc>
        <w:tc>
          <w:tcPr>
            <w:tcW w:w="16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24–30/6</w:t>
            </w:r>
          </w:p>
        </w:tc>
        <w:tc>
          <w:tcPr>
            <w:tcW w:w="41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escrow-service + full flow → SETTLED, cancel/penalty, Saga</w:t>
            </w:r>
          </w:p>
        </w:tc>
        <w:tc>
          <w:tcPr>
            <w:tcW w:w="2401"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NMC + NHL</w:t>
            </w:r>
          </w:p>
        </w:tc>
      </w:tr>
      <w:tr>
        <w:trPr/>
        <w:tc>
          <w:tcPr>
            <w:tcW w:w="8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5</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01–07/7</w:t>
            </w:r>
          </w:p>
        </w:tc>
        <w:tc>
          <w:tcPr>
            <w:tcW w:w="4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notification-service + RabbitMQ consumers</w:t>
            </w:r>
          </w:p>
        </w:tc>
        <w:tc>
          <w:tcPr>
            <w:tcW w:w="24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NHL + NMC</w:t>
            </w:r>
          </w:p>
        </w:tc>
      </w:tr>
      <w:tr>
        <w:trPr/>
        <w:tc>
          <w:tcPr>
            <w:tcW w:w="8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6</w:t>
            </w:r>
          </w:p>
        </w:tc>
        <w:tc>
          <w:tcPr>
            <w:tcW w:w="16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08–14/7</w:t>
            </w:r>
          </w:p>
        </w:tc>
        <w:tc>
          <w:tcPr>
            <w:tcW w:w="41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Frontend hoàn thiện, integration end-to-end</w:t>
            </w:r>
          </w:p>
        </w:tc>
        <w:tc>
          <w:tcPr>
            <w:tcW w:w="2401" w:type="dxa"/>
            <w:tcBorders>
              <w:top w:val="single" w:sz="2" w:space="0" w:color="AAAAAA"/>
              <w:start w:val="single" w:sz="2" w:space="0" w:color="AAAAAA"/>
              <w:bottom w:val="single" w:sz="2" w:space="0" w:color="AAAAAA"/>
              <w:end w:val="single" w:sz="2" w:space="0" w:color="AAAAAA"/>
            </w:tcBorders>
            <w:shd w:fill="F2F3F4" w:val="clear"/>
          </w:tcPr>
          <w:p>
            <w:pPr>
              <w:pStyle w:val="Normal"/>
              <w:rPr>
                <w:rFonts w:ascii="Calibri" w:hAnsi="Calibri" w:eastAsia="Calibri" w:cs="Calibri"/>
                <w:sz w:val="20"/>
                <w:szCs w:val="20"/>
              </w:rPr>
            </w:pPr>
            <w:r>
              <w:rPr/>
            </w:r>
          </w:p>
        </w:tc>
      </w:tr>
      <w:tr>
        <w:trPr/>
        <w:tc>
          <w:tcPr>
            <w:tcW w:w="8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7</w:t>
            </w:r>
          </w:p>
        </w:tc>
        <w:tc>
          <w:tcPr>
            <w:tcW w:w="1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15–24/7</w:t>
            </w:r>
          </w:p>
        </w:tc>
        <w:tc>
          <w:tcPr>
            <w:tcW w:w="41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Buffer: bug fix, demo script, chuẩn bị defend</w:t>
            </w:r>
          </w:p>
        </w:tc>
        <w:tc>
          <w:tcPr>
            <w:tcW w:w="2401"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All</w:t>
            </w:r>
          </w:p>
        </w:tc>
      </w:tr>
    </w:tbl>
    <w:p>
      <w:pPr>
        <w:pStyle w:val="Normal"/>
        <w:spacing w:before="80" w:after="80"/>
        <w:rPr/>
      </w:pPr>
      <w:r>
        <w:rPr/>
      </w:r>
    </w:p>
    <w:p>
      <w:pPr>
        <w:pStyle w:val="Normal"/>
        <w:spacing w:before="80" w:after="80"/>
        <w:rPr/>
      </w:pPr>
      <w:r>
        <w:rPr>
          <w:rFonts w:eastAsia="Calibri" w:cs="Calibri"/>
          <w:sz w:val="22"/>
          <w:szCs w:val="22"/>
        </w:rPr>
        <w:t>Deliverable cuối Phase 1: Demo live full flow — Seller đăng listing → Buyer ký hợp đồng → lock escrow → xác nhận nhận hàng → escrow tự động release tiền.</w:t>
      </w:r>
    </w:p>
    <w:p>
      <w:pPr>
        <w:pStyle w:val="Normal"/>
        <w:spacing w:before="80" w:after="80"/>
        <w:rPr/>
      </w:pPr>
      <w:r>
        <w:rPr/>
      </w:r>
    </w:p>
    <w:p>
      <w:pPr>
        <w:pStyle w:val="Heading2"/>
        <w:spacing w:before="280" w:after="120"/>
        <w:rPr/>
      </w:pPr>
      <w:r>
        <w:rPr>
          <w:rFonts w:eastAsia="Calibri" w:cs="Calibri" w:ascii="Calibri" w:hAnsi="Calibri"/>
          <w:b/>
          <w:bCs/>
          <w:color w:val="1A5276"/>
          <w:sz w:val="24"/>
          <w:szCs w:val="24"/>
        </w:rPr>
        <w:t>4.2 Phase 2 — Đồ Án Tốt Nghiệp (~5 Tháng)</w:t>
      </w:r>
    </w:p>
    <w:tbl>
      <w:tblPr>
        <w:tblW w:w="9026" w:type="dxa"/>
        <w:jc w:val="start"/>
        <w:tblInd w:w="0" w:type="dxa"/>
        <w:tblLayout w:type="fixed"/>
        <w:tblCellMar>
          <w:top w:w="80" w:type="dxa"/>
          <w:start w:w="120" w:type="dxa"/>
          <w:bottom w:w="80" w:type="dxa"/>
          <w:end w:w="120" w:type="dxa"/>
        </w:tblCellMar>
      </w:tblPr>
      <w:tblGrid>
        <w:gridCol w:w="2500"/>
        <w:gridCol w:w="6526"/>
      </w:tblGrid>
      <w:tr>
        <w:trPr>
          <w:tblHeader w:val="true"/>
        </w:trPr>
        <w:tc>
          <w:tcPr>
            <w:tcW w:w="25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Nhóm</w:t>
            </w:r>
          </w:p>
        </w:tc>
        <w:tc>
          <w:tcPr>
            <w:tcW w:w="6526"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Nội Dung Phase 2</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Contract &amp; Escrow</w:t>
            </w:r>
          </w:p>
        </w:tc>
        <w:tc>
          <w:tcPr>
            <w:tcW w:w="6526"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Milestone Escrow thay full lock; Partial Delivery + pro-rata settlement; Audit trail exportable</w:t>
            </w:r>
          </w:p>
        </w:tc>
      </w:tr>
      <w:tr>
        <w:trPr/>
        <w:tc>
          <w:tcPr>
            <w:tcW w:w="25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Dispute &amp; Quality</w:t>
            </w:r>
          </w:p>
        </w:tc>
        <w:tc>
          <w:tcPr>
            <w:tcW w:w="6526"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INSPECTOR role + Third-party QC; Tiered Dispute (Level 1 peer-to-peer, Level 2 INSPECTOR)</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Trust &amp; Growth</w:t>
            </w:r>
          </w:p>
        </w:tc>
        <w:tc>
          <w:tcPr>
            <w:tcW w:w="6526"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Reputation Scoring sau SETTLED; SELLER self-register + verification workflow</w:t>
            </w:r>
          </w:p>
        </w:tc>
      </w:tr>
      <w:tr>
        <w:trPr/>
        <w:tc>
          <w:tcPr>
            <w:tcW w:w="25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Infrastructure</w:t>
            </w:r>
          </w:p>
        </w:tc>
        <w:tc>
          <w:tcPr>
            <w:tcW w:w="6526"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Kubernetes (replicas: 3); Debezium CDC; Redis (rate limit, token blacklist, WS Pub-Sub); MinIO; SendGrid</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Observability</w:t>
            </w:r>
          </w:p>
        </w:tc>
        <w:tc>
          <w:tcPr>
            <w:tcW w:w="6526"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ELK log aggregation; Zipkin distributed tracing; Prometheus + Grafana alerting DLQ</w:t>
            </w:r>
          </w:p>
        </w:tc>
      </w:tr>
      <w:tr>
        <w:trPr/>
        <w:tc>
          <w:tcPr>
            <w:tcW w:w="25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Bank Integration</w:t>
            </w:r>
          </w:p>
        </w:tc>
        <w:tc>
          <w:tcPr>
            <w:tcW w:w="6526"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Mock Agribank API (bank-service); Escrow audit trail exportable → prerequisite credit scoring</w:t>
            </w:r>
          </w:p>
        </w:tc>
      </w:tr>
      <w:tr>
        <w:trPr/>
        <w:tc>
          <w:tcPr>
            <w:tcW w:w="2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Frontend</w:t>
            </w:r>
          </w:p>
        </w:tc>
        <w:tc>
          <w:tcPr>
            <w:tcW w:w="6526"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WebSocket real-time (thay polling); INSPECTOR portal; Admin arbitration dashboard</w:t>
            </w:r>
          </w:p>
        </w:tc>
      </w:tr>
    </w:tbl>
    <w:p>
      <w:pPr>
        <w:pStyle w:val="Normal"/>
        <w:spacing w:before="80" w:after="80"/>
        <w:rPr/>
      </w:pPr>
      <w:r>
        <w:rPr/>
      </w:r>
    </w:p>
    <w:p>
      <w:pPr>
        <w:pStyle w:val="Heading1"/>
        <w:spacing w:before="360" w:after="180"/>
        <w:rPr/>
      </w:pPr>
      <w:r>
        <w:rPr>
          <w:rFonts w:eastAsia="Calibri" w:cs="Calibri" w:ascii="Calibri" w:hAnsi="Calibri"/>
          <w:b/>
          <w:bCs/>
          <w:color w:val="1A5276"/>
          <w:sz w:val="28"/>
          <w:szCs w:val="28"/>
        </w:rPr>
        <w:t>5. Roadmap Phân Tích Giá Trị — Từ Platform Đến Agri-Fintech</w:t>
      </w:r>
    </w:p>
    <w:p>
      <w:pPr>
        <w:pStyle w:val="Normal"/>
        <w:spacing w:before="80" w:after="80"/>
        <w:rPr/>
      </w:pPr>
      <w:r>
        <w:rPr/>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4" w:space="0" w:color="1A5276"/>
              <w:start w:val="single" w:sz="4" w:space="0" w:color="1A5276"/>
              <w:bottom w:val="single" w:sz="4" w:space="0" w:color="1A5276"/>
              <w:end w:val="single" w:sz="4" w:space="0" w:color="1A5276"/>
            </w:tcBorders>
            <w:shd w:fill="FEF9E7" w:val="clear"/>
          </w:tcPr>
          <w:p>
            <w:pPr>
              <w:pStyle w:val="Normal"/>
              <w:spacing w:before="60" w:after="60"/>
              <w:rPr/>
            </w:pPr>
            <w:r>
              <w:rPr>
                <w:rFonts w:eastAsia="Calibri" w:cs="Calibri"/>
                <w:sz w:val="20"/>
                <w:szCs w:val="20"/>
              </w:rPr>
              <w:t>Luận điểm cốt lõi:</w:t>
            </w:r>
          </w:p>
          <w:p>
            <w:pPr>
              <w:pStyle w:val="Normal"/>
              <w:spacing w:before="60" w:after="60"/>
              <w:rPr/>
            </w:pPr>
            <w:r>
              <w:rPr/>
            </w:r>
          </w:p>
          <w:p>
            <w:pPr>
              <w:pStyle w:val="Normal"/>
              <w:spacing w:before="60" w:after="60"/>
              <w:rPr/>
            </w:pPr>
            <w:r>
              <w:rPr>
                <w:rFonts w:eastAsia="Calibri" w:cs="Calibri"/>
                <w:sz w:val="20"/>
                <w:szCs w:val="20"/>
              </w:rPr>
              <w:t>AgriContract giải quyết ba vấn đề theo thứ tự giá trị tăng dần:</w:t>
            </w:r>
          </w:p>
          <w:p>
            <w:pPr>
              <w:pStyle w:val="Normal"/>
              <w:spacing w:before="60" w:after="60"/>
              <w:rPr/>
            </w:pPr>
            <w:r>
              <w:rPr/>
            </w:r>
          </w:p>
          <w:p>
            <w:pPr>
              <w:pStyle w:val="Normal"/>
              <w:spacing w:before="60" w:after="60"/>
              <w:rPr/>
            </w:pPr>
            <w:r>
              <w:rPr>
                <w:rFonts w:eastAsia="Calibri" w:cs="Calibri"/>
                <w:sz w:val="20"/>
                <w:szCs w:val="20"/>
              </w:rPr>
              <w:t>1. Compliance tool — Audit trail cho EUDR (giá trị tức thì, doanh nghiệp xuất khẩu PHẢI làm)</w:t>
            </w:r>
          </w:p>
          <w:p>
            <w:pPr>
              <w:pStyle w:val="Normal"/>
              <w:spacing w:before="60" w:after="60"/>
              <w:rPr/>
            </w:pPr>
            <w:r>
              <w:rPr>
                <w:rFonts w:eastAsia="Calibri" w:cs="Calibri"/>
                <w:sz w:val="20"/>
                <w:szCs w:val="20"/>
              </w:rPr>
              <w:t>2. Risk mitigation tool — Escrow + penalty mechanism (giá trị trung hạn, giảm thiệt hại bẻ kèo)</w:t>
            </w:r>
          </w:p>
          <w:p>
            <w:pPr>
              <w:pStyle w:val="Normal"/>
              <w:spacing w:before="60" w:after="60"/>
              <w:rPr/>
            </w:pPr>
            <w:r>
              <w:rPr>
                <w:rFonts w:eastAsia="Calibri" w:cs="Calibri"/>
                <w:sz w:val="20"/>
                <w:szCs w:val="20"/>
              </w:rPr>
              <w:t>3. Financial infrastructure — Credit profile cho HTX + bank integration (giá trị dài hạn, thay đổi cấu trúc)</w:t>
            </w:r>
          </w:p>
          <w:p>
            <w:pPr>
              <w:pStyle w:val="Normal"/>
              <w:spacing w:before="60" w:after="60"/>
              <w:rPr/>
            </w:pPr>
            <w:r>
              <w:rPr/>
            </w:r>
          </w:p>
          <w:p>
            <w:pPr>
              <w:pStyle w:val="Normal"/>
              <w:spacing w:before="60" w:after="60"/>
              <w:rPr/>
            </w:pPr>
            <w:r>
              <w:rPr>
                <w:rFonts w:eastAsia="Calibri" w:cs="Calibri"/>
                <w:sz w:val="20"/>
                <w:szCs w:val="20"/>
              </w:rPr>
              <w:t>Doanh nghiệp vào platform vì #1, ở lại vì #2, không thể rời đi vì #3.</w:t>
            </w:r>
          </w:p>
        </w:tc>
      </w:tr>
    </w:tbl>
    <w:p>
      <w:pPr>
        <w:pStyle w:val="Normal"/>
        <w:spacing w:before="80" w:after="80"/>
        <w:rPr/>
      </w:pPr>
      <w:r>
        <w:rPr/>
      </w:r>
    </w:p>
    <w:p>
      <w:pPr>
        <w:pStyle w:val="Normal"/>
        <w:spacing w:before="80" w:after="80"/>
        <w:rPr/>
      </w:pPr>
      <w:r>
        <w:rPr>
          <w:rFonts w:eastAsia="Calibri" w:cs="Calibri"/>
          <w:sz w:val="22"/>
          <w:szCs w:val="22"/>
        </w:rPr>
        <w:t>Tầng 1 — EUDR Compliance Tool (tức thì):</w:t>
      </w:r>
    </w:p>
    <w:p>
      <w:pPr>
        <w:pStyle w:val="Normal"/>
        <w:spacing w:before="60" w:after="60"/>
        <w:ind w:hanging="240" w:start="480"/>
        <w:rPr/>
      </w:pPr>
      <w:r>
        <w:rPr>
          <w:rFonts w:eastAsia="Calibri" w:cs="Calibri"/>
          <w:sz w:val="22"/>
          <w:szCs w:val="22"/>
        </w:rPr>
        <w:t xml:space="preserve">• </w:t>
      </w:r>
      <w:r>
        <w:rPr>
          <w:rFonts w:eastAsia="Calibri" w:cs="Calibri"/>
          <w:sz w:val="22"/>
          <w:szCs w:val="22"/>
        </w:rPr>
        <w:t>Hợp đồng số + audit trail bất biến = bằng chứng EUDR-ready</w:t>
      </w:r>
    </w:p>
    <w:p>
      <w:pPr>
        <w:pStyle w:val="Normal"/>
        <w:spacing w:before="60" w:after="60"/>
        <w:ind w:hanging="240" w:start="480"/>
        <w:rPr/>
      </w:pPr>
      <w:r>
        <w:rPr>
          <w:rFonts w:eastAsia="Calibri" w:cs="Calibri"/>
          <w:sz w:val="22"/>
          <w:szCs w:val="22"/>
        </w:rPr>
        <w:t xml:space="preserve">• </w:t>
      </w:r>
      <w:r>
        <w:rPr>
          <w:rFonts w:eastAsia="Calibri" w:cs="Calibri"/>
          <w:sz w:val="22"/>
          <w:szCs w:val="22"/>
        </w:rPr>
        <w:t>Doanh nghiệp xuất khẩu cà phê, cao su, gỗ vào EU BẮT BUỘC phải có by 30/12/2026</w:t>
      </w:r>
    </w:p>
    <w:p>
      <w:pPr>
        <w:pStyle w:val="Normal"/>
        <w:spacing w:before="60" w:after="60"/>
        <w:ind w:hanging="240" w:start="480"/>
        <w:rPr/>
      </w:pPr>
      <w:r>
        <w:rPr>
          <w:rFonts w:eastAsia="Calibri" w:cs="Calibri"/>
          <w:sz w:val="22"/>
          <w:szCs w:val="22"/>
        </w:rPr>
        <w:t xml:space="preserve">• </w:t>
      </w:r>
      <w:r>
        <w:rPr>
          <w:rFonts w:eastAsia="Calibri" w:cs="Calibri"/>
          <w:sz w:val="22"/>
          <w:szCs w:val="22"/>
        </w:rPr>
        <w:t>AgriContract là lớp infrastructure đơn giản nhất để đáp ứng yêu cầu này tại tầng thu mua từ HTX</w:t>
      </w:r>
    </w:p>
    <w:p>
      <w:pPr>
        <w:pStyle w:val="Normal"/>
        <w:spacing w:before="80" w:after="80"/>
        <w:rPr/>
      </w:pPr>
      <w:r>
        <w:rPr/>
      </w:r>
    </w:p>
    <w:p>
      <w:pPr>
        <w:pStyle w:val="Normal"/>
        <w:spacing w:before="80" w:after="80"/>
        <w:rPr/>
      </w:pPr>
      <w:r>
        <w:rPr>
          <w:rFonts w:eastAsia="Calibri" w:cs="Calibri"/>
          <w:sz w:val="22"/>
          <w:szCs w:val="22"/>
        </w:rPr>
        <w:t>Tầng 2 — Financial Risk Mitigation (trung hạn):</w:t>
      </w:r>
    </w:p>
    <w:p>
      <w:pPr>
        <w:pStyle w:val="Normal"/>
        <w:spacing w:before="60" w:after="60"/>
        <w:ind w:hanging="240" w:start="480"/>
        <w:rPr/>
      </w:pPr>
      <w:r>
        <w:rPr>
          <w:rFonts w:eastAsia="Calibri" w:cs="Calibri"/>
          <w:sz w:val="22"/>
          <w:szCs w:val="22"/>
        </w:rPr>
        <w:t xml:space="preserve">• </w:t>
      </w:r>
      <w:r>
        <w:rPr>
          <w:rFonts w:eastAsia="Calibri" w:cs="Calibri"/>
          <w:sz w:val="22"/>
          <w:szCs w:val="22"/>
        </w:rPr>
        <w:t>Escrow + Milestone = chi phí bẻ kèo &gt; lợi nhuận ngắn hạn</w:t>
      </w:r>
    </w:p>
    <w:p>
      <w:pPr>
        <w:pStyle w:val="Normal"/>
        <w:spacing w:before="60" w:after="60"/>
        <w:ind w:hanging="240" w:start="480"/>
        <w:rPr/>
      </w:pPr>
      <w:r>
        <w:rPr>
          <w:rFonts w:eastAsia="Calibri" w:cs="Calibri"/>
          <w:sz w:val="22"/>
          <w:szCs w:val="22"/>
        </w:rPr>
        <w:t xml:space="preserve">• </w:t>
      </w:r>
      <w:r>
        <w:rPr>
          <w:rFonts w:eastAsia="Calibri" w:cs="Calibri"/>
          <w:sz w:val="22"/>
          <w:szCs w:val="22"/>
        </w:rPr>
        <w:t>Tiered Dispute + INSPECTOR = resolution nhanh, không phụ thuộc tòa án 1–3 năm</w:t>
      </w:r>
    </w:p>
    <w:p>
      <w:pPr>
        <w:pStyle w:val="Normal"/>
        <w:spacing w:before="60" w:after="60"/>
        <w:ind w:hanging="240" w:start="480"/>
        <w:rPr/>
      </w:pPr>
      <w:r>
        <w:rPr>
          <w:rFonts w:eastAsia="Calibri" w:cs="Calibri"/>
          <w:sz w:val="22"/>
          <w:szCs w:val="22"/>
        </w:rPr>
        <w:t xml:space="preserve">• </w:t>
      </w:r>
      <w:r>
        <w:rPr>
          <w:rFonts w:eastAsia="Calibri" w:cs="Calibri"/>
          <w:sz w:val="22"/>
          <w:szCs w:val="22"/>
        </w:rPr>
        <w:t>Reputation system = vốn xã hội tích lũy theo thời gian trên platform</w:t>
      </w:r>
    </w:p>
    <w:p>
      <w:pPr>
        <w:pStyle w:val="Normal"/>
        <w:spacing w:before="80" w:after="80"/>
        <w:rPr/>
      </w:pPr>
      <w:r>
        <w:rPr/>
      </w:r>
    </w:p>
    <w:p>
      <w:pPr>
        <w:pStyle w:val="Normal"/>
        <w:spacing w:before="80" w:after="80"/>
        <w:rPr/>
      </w:pPr>
      <w:r>
        <w:rPr>
          <w:rFonts w:eastAsia="Calibri" w:cs="Calibri"/>
          <w:sz w:val="22"/>
          <w:szCs w:val="22"/>
        </w:rPr>
        <w:t>Tầng 3 — Agri-Fintech Infrastructure (dài hạn):</w:t>
      </w:r>
    </w:p>
    <w:p>
      <w:pPr>
        <w:pStyle w:val="Normal"/>
        <w:spacing w:before="60" w:after="60"/>
        <w:ind w:hanging="240" w:start="480"/>
        <w:rPr/>
      </w:pPr>
      <w:r>
        <w:rPr>
          <w:rFonts w:eastAsia="Calibri" w:cs="Calibri"/>
          <w:sz w:val="22"/>
          <w:szCs w:val="22"/>
        </w:rPr>
        <w:t xml:space="preserve">• </w:t>
      </w:r>
      <w:r>
        <w:rPr>
          <w:rFonts w:eastAsia="Calibri" w:cs="Calibri"/>
          <w:sz w:val="22"/>
          <w:szCs w:val="22"/>
        </w:rPr>
        <w:t>Contract history + delivery rate + inspection results = credit profile cho Agribank/BIDV</w:t>
      </w:r>
    </w:p>
    <w:p>
      <w:pPr>
        <w:pStyle w:val="Normal"/>
        <w:spacing w:before="60" w:after="60"/>
        <w:ind w:hanging="240" w:start="480"/>
        <w:rPr/>
      </w:pPr>
      <w:r>
        <w:rPr>
          <w:rFonts w:eastAsia="Calibri" w:cs="Calibri"/>
          <w:sz w:val="22"/>
          <w:szCs w:val="22"/>
        </w:rPr>
        <w:t xml:space="preserve">• </w:t>
      </w:r>
      <w:r>
        <w:rPr>
          <w:rFonts w:eastAsia="Calibri" w:cs="Calibri"/>
          <w:sz w:val="22"/>
          <w:szCs w:val="22"/>
        </w:rPr>
        <w:t>HTX nhỏ không có tài sản thế chấp có thể dùng track record trên platform để tiếp cận tín dụng</w:t>
      </w:r>
    </w:p>
    <w:p>
      <w:pPr>
        <w:pStyle w:val="Normal"/>
        <w:spacing w:before="60" w:after="60"/>
        <w:ind w:hanging="240" w:start="480"/>
        <w:rPr/>
      </w:pPr>
      <w:r>
        <w:rPr>
          <w:rFonts w:eastAsia="Calibri" w:cs="Calibri"/>
          <w:sz w:val="22"/>
          <w:szCs w:val="22"/>
        </w:rPr>
        <w:t xml:space="preserve">• </w:t>
      </w:r>
      <w:r>
        <w:rPr>
          <w:rFonts w:eastAsia="Calibri" w:cs="Calibri"/>
          <w:sz w:val="22"/>
          <w:szCs w:val="22"/>
        </w:rPr>
        <w:t>Ngân hàng không còn chỉ đếm tài sản thế chấp — mà đọc data từ platform để quyết định cho vay</w:t>
      </w:r>
    </w:p>
    <w:p>
      <w:pPr>
        <w:pStyle w:val="Normal"/>
        <w:spacing w:before="40" w:after="120"/>
        <w:ind w:start="720"/>
        <w:rPr/>
      </w:pPr>
      <w:r>
        <w:rPr>
          <w:rFonts w:eastAsia="Calibri" w:cs="Calibri"/>
          <w:i/>
          <w:iCs/>
          <w:color w:val="777777"/>
          <w:sz w:val="18"/>
          <w:szCs w:val="18"/>
        </w:rPr>
        <w:t>Nguồn: Dẫn chứng xu hướng: BIDV tham gia Agrichain blockchain như bên xác thực dữ liệu, không chỉ tài trợ vốn — Vietnam.vn, 4/4/2026</w:t>
      </w:r>
    </w:p>
    <w:p>
      <w:pPr>
        <w:pStyle w:val="Normal"/>
        <w:spacing w:before="40" w:after="120"/>
        <w:ind w:start="720"/>
        <w:rPr/>
      </w:pPr>
      <w:r>
        <w:rPr>
          <w:rFonts w:eastAsia="Calibri" w:cs="Calibri"/>
          <w:i/>
          <w:iCs/>
          <w:color w:val="777777"/>
          <w:sz w:val="18"/>
          <w:szCs w:val="18"/>
        </w:rPr>
        <w:t>Nguồn: We-Fi: 57% formal SMEs tại Việt Nam không tiếp cận được tài chính do thiếu collateral — thị trường tiếp cận tín dụng thay thế là rất lớn</w:t>
      </w:r>
    </w:p>
    <w:p>
      <w:pPr>
        <w:pStyle w:val="Normal"/>
        <w:spacing w:before="80" w:after="80"/>
        <w:rPr/>
      </w:pPr>
      <w:r>
        <w:rPr/>
      </w:r>
    </w:p>
    <w:p>
      <w:pPr>
        <w:pStyle w:val="Heading1"/>
        <w:spacing w:before="360" w:after="180"/>
        <w:rPr/>
      </w:pPr>
      <w:r>
        <w:rPr>
          <w:rFonts w:eastAsia="Calibri" w:cs="Calibri" w:ascii="Calibri" w:hAnsi="Calibri"/>
          <w:b/>
          <w:bCs/>
          <w:color w:val="1A5276"/>
          <w:sz w:val="28"/>
          <w:szCs w:val="28"/>
        </w:rPr>
        <w:t>6. Khoảng Trống Thị Trường — Không Ai Làm Điều Này</w:t>
      </w:r>
    </w:p>
    <w:p>
      <w:pPr>
        <w:pStyle w:val="Normal"/>
        <w:spacing w:before="80" w:after="80"/>
        <w:rPr/>
      </w:pPr>
      <w:r>
        <w:rPr>
          <w:rFonts w:eastAsia="Calibri" w:cs="Calibri"/>
          <w:sz w:val="22"/>
          <w:szCs w:val="22"/>
        </w:rPr>
        <w:t>Câu hỏi hội đồng sẽ hỏi: "Tại sao chưa ai làm điều này?"</w:t>
      </w:r>
    </w:p>
    <w:p>
      <w:pPr>
        <w:pStyle w:val="Normal"/>
        <w:spacing w:before="80" w:after="80"/>
        <w:rPr/>
      </w:pPr>
      <w:r>
        <w:rPr/>
      </w:r>
    </w:p>
    <w:tbl>
      <w:tblPr>
        <w:tblW w:w="9026" w:type="dxa"/>
        <w:jc w:val="start"/>
        <w:tblInd w:w="0" w:type="dxa"/>
        <w:tblLayout w:type="fixed"/>
        <w:tblCellMar>
          <w:top w:w="80" w:type="dxa"/>
          <w:start w:w="120" w:type="dxa"/>
          <w:bottom w:w="80" w:type="dxa"/>
          <w:end w:w="120" w:type="dxa"/>
        </w:tblCellMar>
      </w:tblPr>
      <w:tblGrid>
        <w:gridCol w:w="2600"/>
        <w:gridCol w:w="2999"/>
        <w:gridCol w:w="3427"/>
      </w:tblGrid>
      <w:tr>
        <w:trPr>
          <w:tblHeader w:val="true"/>
        </w:trPr>
        <w:tc>
          <w:tcPr>
            <w:tcW w:w="26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Giải Pháp Hiện Tại</w:t>
            </w:r>
          </w:p>
        </w:tc>
        <w:tc>
          <w:tcPr>
            <w:tcW w:w="2999"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Họ Làm Gì</w:t>
            </w:r>
          </w:p>
        </w:tc>
        <w:tc>
          <w:tcPr>
            <w:tcW w:w="3427"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Họ Không Làm Gì</w:t>
            </w:r>
          </w:p>
        </w:tc>
      </w:tr>
      <w:tr>
        <w:trPr/>
        <w:tc>
          <w:tcPr>
            <w:tcW w:w="2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Hợp đồng giấy truyền thống</w:t>
            </w:r>
          </w:p>
        </w:tc>
        <w:tc>
          <w:tcPr>
            <w:tcW w:w="29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Có giá trị pháp lý</w:t>
            </w:r>
          </w:p>
        </w:tc>
        <w:tc>
          <w:tcPr>
            <w:tcW w:w="3427"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Không có escrow; không audit trail số; không tự thực thi penalty</w:t>
            </w:r>
          </w:p>
        </w:tc>
      </w:tr>
      <w:tr>
        <w:trPr/>
        <w:tc>
          <w:tcPr>
            <w:tcW w:w="26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Sàn logistics nông sản (Agrimart, vv.)</w:t>
            </w:r>
          </w:p>
        </w:tc>
        <w:tc>
          <w:tcPr>
            <w:tcW w:w="29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Kết nối buyer-seller; logistics tracking</w:t>
            </w:r>
          </w:p>
        </w:tc>
        <w:tc>
          <w:tcPr>
            <w:tcW w:w="3427"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Không có contract layer; không có escrow; không có dispute resolution</w:t>
            </w:r>
          </w:p>
        </w:tc>
      </w:tr>
      <w:tr>
        <w:trPr/>
        <w:tc>
          <w:tcPr>
            <w:tcW w:w="2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E-commerce nông sản (Sendo, Tiki)</w:t>
            </w:r>
          </w:p>
        </w:tc>
        <w:tc>
          <w:tcPr>
            <w:tcW w:w="29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Giao dịch B2C; payment gateway</w:t>
            </w:r>
          </w:p>
        </w:tc>
        <w:tc>
          <w:tcPr>
            <w:tcW w:w="3427"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Không có B2B forward contract; không phù hợp với giao dịch nghìn tấn trước thu hoạch</w:t>
            </w:r>
          </w:p>
        </w:tc>
      </w:tr>
      <w:tr>
        <w:trPr/>
        <w:tc>
          <w:tcPr>
            <w:tcW w:w="26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Blockchain truy xuất nguồn gốc (Agrichain)</w:t>
            </w:r>
          </w:p>
        </w:tc>
        <w:tc>
          <w:tcPr>
            <w:tcW w:w="2999"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Truy xuất nguồn gốc; tích hợp ngân hàng dữ liệu</w:t>
            </w:r>
          </w:p>
        </w:tc>
        <w:tc>
          <w:tcPr>
            <w:tcW w:w="3427"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Không có escrow; không có contract negotiation; không có penalty mechanism</w:t>
            </w:r>
          </w:p>
        </w:tc>
      </w:tr>
      <w:tr>
        <w:trPr/>
        <w:tc>
          <w:tcPr>
            <w:tcW w:w="26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AgriContract</w:t>
            </w:r>
          </w:p>
        </w:tc>
        <w:tc>
          <w:tcPr>
            <w:tcW w:w="2999"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Contract lifecycle + Escrow + Audit trail + Dispute resolution</w:t>
            </w:r>
          </w:p>
        </w:tc>
        <w:tc>
          <w:tcPr>
            <w:tcW w:w="3427"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Giải quyết toàn bộ contract layer trong 1 platform</w:t>
            </w:r>
          </w:p>
        </w:tc>
      </w:tr>
    </w:tbl>
    <w:p>
      <w:pPr>
        <w:pStyle w:val="Normal"/>
        <w:spacing w:before="80" w:after="80"/>
        <w:rPr/>
      </w:pPr>
      <w:r>
        <w:rPr/>
      </w:r>
    </w:p>
    <w:p>
      <w:pPr>
        <w:pStyle w:val="Normal"/>
        <w:spacing w:before="80" w:after="80"/>
        <w:rPr/>
      </w:pPr>
      <w:r>
        <w:rPr>
          <w:rFonts w:eastAsia="Calibri" w:cs="Calibri"/>
          <w:sz w:val="22"/>
          <w:szCs w:val="22"/>
        </w:rPr>
        <w:t>AgriContract không cạnh tranh với logistics hay bán lẻ. Nó lấp một khoảng trống cụ thể: contract + escrow layer giữa HTX và doanh nghiệp thu mua, ở tầng B2B forward contract trước thu hoạch.</w:t>
      </w:r>
    </w:p>
    <w:p>
      <w:pPr>
        <w:pStyle w:val="Normal"/>
        <w:spacing w:before="80" w:after="80"/>
        <w:rPr/>
      </w:pPr>
      <w:r>
        <w:rPr/>
      </w:r>
    </w:p>
    <w:p>
      <w:pPr>
        <w:pStyle w:val="Heading1"/>
        <w:spacing w:before="360" w:after="180"/>
        <w:rPr/>
      </w:pPr>
      <w:r>
        <w:rPr>
          <w:rFonts w:eastAsia="Calibri" w:cs="Calibri" w:ascii="Calibri" w:hAnsi="Calibri"/>
          <w:b/>
          <w:bCs/>
          <w:color w:val="1A5276"/>
          <w:sz w:val="28"/>
          <w:szCs w:val="28"/>
        </w:rPr>
        <w:t>7. Giới Hạn &amp; Cách Defend Trước Hội Đồng</w:t>
      </w:r>
    </w:p>
    <w:p>
      <w:pPr>
        <w:pStyle w:val="Normal"/>
        <w:spacing w:before="80" w:after="80"/>
        <w:rPr/>
      </w:pPr>
      <w:r>
        <w:rPr/>
      </w:r>
    </w:p>
    <w:tbl>
      <w:tblPr>
        <w:tblW w:w="9026" w:type="dxa"/>
        <w:jc w:val="start"/>
        <w:tblInd w:w="0" w:type="dxa"/>
        <w:tblLayout w:type="fixed"/>
        <w:tblCellMar>
          <w:top w:w="80" w:type="dxa"/>
          <w:start w:w="120" w:type="dxa"/>
          <w:bottom w:w="80" w:type="dxa"/>
          <w:end w:w="120" w:type="dxa"/>
        </w:tblCellMar>
      </w:tblPr>
      <w:tblGrid>
        <w:gridCol w:w="3500"/>
        <w:gridCol w:w="5526"/>
      </w:tblGrid>
      <w:tr>
        <w:trPr>
          <w:tblHeader w:val="true"/>
        </w:trPr>
        <w:tc>
          <w:tcPr>
            <w:tcW w:w="3500"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Câu Hỏi Hội Đồng</w:t>
            </w:r>
          </w:p>
        </w:tc>
        <w:tc>
          <w:tcPr>
            <w:tcW w:w="5526" w:type="dxa"/>
            <w:tcBorders>
              <w:top w:val="single" w:sz="2" w:space="0" w:color="AAAAAA"/>
              <w:start w:val="single" w:sz="2" w:space="0" w:color="AAAAAA"/>
              <w:bottom w:val="single" w:sz="2" w:space="0" w:color="AAAAAA"/>
              <w:end w:val="single" w:sz="2" w:space="0" w:color="AAAAAA"/>
            </w:tcBorders>
            <w:shd w:fill="1A5276" w:val="clear"/>
            <w:vAlign w:val="center"/>
          </w:tcPr>
          <w:p>
            <w:pPr>
              <w:pStyle w:val="Normal"/>
              <w:jc w:val="center"/>
              <w:rPr/>
            </w:pPr>
            <w:r>
              <w:rPr>
                <w:rFonts w:eastAsia="Calibri" w:cs="Calibri"/>
                <w:b/>
                <w:bCs/>
                <w:color w:val="FFFFFF"/>
                <w:sz w:val="20"/>
                <w:szCs w:val="20"/>
              </w:rPr>
              <w:t>Trả Lời</w:t>
            </w:r>
          </w:p>
        </w:tc>
      </w:tr>
      <w:tr>
        <w:trPr/>
        <w:tc>
          <w:tcPr>
            <w:tcW w:w="3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"Escrow chỉ là mock — có giá trị gì?"</w:t>
            </w:r>
          </w:p>
        </w:tc>
        <w:tc>
          <w:tcPr>
            <w:tcW w:w="5526"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Technical challenge (idempotency, Choreography Saga, compensating transaction, Outbox Pattern) 100% thật. Mock chỉ là bank API — không phải logic. Phase 2 chỉ cần thay bank-service bằng Agribank API thật.</w:t>
            </w:r>
          </w:p>
        </w:tc>
      </w:tr>
      <w:tr>
        <w:trPr/>
        <w:tc>
          <w:tcPr>
            <w:tcW w:w="35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"Tại sao buyer sẽ lock tiền vào escrow?"</w:t>
            </w:r>
          </w:p>
        </w:tc>
        <w:tc>
          <w:tcPr>
            <w:tcW w:w="5526"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EUDR compliance bắt buộc có audit trail từ khâu thu mua. Lock tiền escrow = có bằng chứng giao dịch hợp lệ. Không lock = không xuất khẩu được vào EU.</w:t>
            </w:r>
          </w:p>
        </w:tc>
      </w:tr>
      <w:tr>
        <w:trPr/>
        <w:tc>
          <w:tcPr>
            <w:tcW w:w="350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"Làm sao HTX tin tưởng nền tảng?"</w:t>
            </w:r>
          </w:p>
        </w:tc>
        <w:tc>
          <w:tcPr>
            <w:tcW w:w="5526"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Calibri" w:cs="Calibri"/>
                <w:sz w:val="20"/>
                <w:szCs w:val="20"/>
              </w:rPr>
              <w:t>Mô hình trust phân tầng: không cần trust startup mới — trust hiệp hội VICOFA/VRA đã có uy tín sẵn, hoặc ngân hàng Agribank/BIDV hold tiền escrow.</w:t>
            </w:r>
          </w:p>
        </w:tc>
      </w:tr>
      <w:tr>
        <w:trPr/>
        <w:tc>
          <w:tcPr>
            <w:tcW w:w="3500"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"Partial delivery có phức tạp quá không?"</w:t>
            </w:r>
          </w:p>
        </w:tc>
        <w:tc>
          <w:tcPr>
            <w:tcW w:w="5526" w:type="dxa"/>
            <w:tcBorders>
              <w:top w:val="single" w:sz="2" w:space="0" w:color="AAAAAA"/>
              <w:start w:val="single" w:sz="2" w:space="0" w:color="AAAAAA"/>
              <w:bottom w:val="single" w:sz="2" w:space="0" w:color="AAAAAA"/>
              <w:end w:val="single" w:sz="2" w:space="0" w:color="AAAAAA"/>
            </w:tcBorders>
            <w:shd w:fill="F2F3F4" w:val="clear"/>
          </w:tcPr>
          <w:p>
            <w:pPr>
              <w:pStyle w:val="Normal"/>
              <w:rPr/>
            </w:pPr>
            <w:r>
              <w:rPr>
                <w:rFonts w:eastAsia="Calibri" w:cs="Calibri"/>
                <w:sz w:val="20"/>
                <w:szCs w:val="20"/>
              </w:rPr>
              <w:t>Phase 1 không có. Phase 2 thêm INSPECTOR role xác nhận số lượng thực tế tại 2 đầu — thực ra đây là quy trình đã tồn tại với SGS, chỉ số hóa lên platform.</w:t>
            </w:r>
          </w:p>
        </w:tc>
      </w:tr>
    </w:tbl>
    <w:p>
      <w:pPr>
        <w:pStyle w:val="Normal"/>
        <w:spacing w:before="80" w:after="80"/>
        <w:rPr/>
      </w:pPr>
      <w:r>
        <w:rPr/>
      </w:r>
    </w:p>
    <w:p>
      <w:pPr>
        <w:pStyle w:val="Heading1"/>
        <w:spacing w:before="360" w:after="180"/>
        <w:rPr/>
      </w:pPr>
      <w:r>
        <w:rPr>
          <w:rFonts w:eastAsia="Calibri" w:cs="Calibri" w:ascii="Calibri" w:hAnsi="Calibri"/>
          <w:b/>
          <w:bCs/>
          <w:color w:val="1A5276"/>
          <w:sz w:val="28"/>
          <w:szCs w:val="28"/>
        </w:rPr>
        <w:t>8. Danh Mục Nguồn Tham Khảo</w:t>
      </w:r>
    </w:p>
    <w:p>
      <w:pPr>
        <w:pStyle w:val="Normal"/>
        <w:spacing w:before="80" w:after="80"/>
        <w:rPr/>
      </w:pPr>
      <w:r>
        <w:rPr/>
      </w:r>
    </w:p>
    <w:p>
      <w:pPr>
        <w:pStyle w:val="Heading3"/>
        <w:spacing w:before="200" w:after="100"/>
        <w:rPr/>
      </w:pPr>
      <w:r>
        <w:rPr>
          <w:rFonts w:eastAsia="Calibri" w:cs="Calibri" w:ascii="Calibri" w:hAnsi="Calibri"/>
          <w:b/>
          <w:bCs/>
          <w:color w:val="2E4057"/>
          <w:sz w:val="22"/>
          <w:szCs w:val="22"/>
        </w:rPr>
        <w:t>Nguồn về Bẻ Kèo &amp; Liên Kết Chuỗi</w:t>
      </w:r>
    </w:p>
    <w:p>
      <w:pPr>
        <w:pStyle w:val="Normal"/>
        <w:spacing w:before="60" w:after="60"/>
        <w:ind w:hanging="240" w:start="480"/>
        <w:rPr/>
      </w:pPr>
      <w:r>
        <w:rPr>
          <w:rFonts w:eastAsia="Calibri" w:cs="Calibri"/>
          <w:sz w:val="22"/>
          <w:szCs w:val="22"/>
        </w:rPr>
        <w:t xml:space="preserve">• </w:t>
      </w:r>
      <w:r>
        <w:rPr>
          <w:rFonts w:eastAsia="Calibri" w:cs="Calibri"/>
          <w:sz w:val="22"/>
          <w:szCs w:val="22"/>
        </w:rPr>
        <w:t>VTV.vn — Giá thu mua tăng cao, cơ hội và thách thức của ngành cà phê (17/4/2024): https://vtv.vn/kinh-te/gia-thu-mua-tang-cao-co-hoi-va-thach-thuc-cua-nganh-ca-phe-viet-nam-20240417111149261.htm</w:t>
      </w:r>
    </w:p>
    <w:p>
      <w:pPr>
        <w:pStyle w:val="Normal"/>
        <w:spacing w:before="60" w:after="60"/>
        <w:ind w:hanging="240" w:start="480"/>
        <w:rPr/>
      </w:pPr>
      <w:r>
        <w:rPr>
          <w:rFonts w:eastAsia="Calibri" w:cs="Calibri"/>
          <w:sz w:val="22"/>
          <w:szCs w:val="22"/>
        </w:rPr>
        <w:t xml:space="preserve">• </w:t>
      </w:r>
      <w:r>
        <w:rPr>
          <w:rFonts w:eastAsia="Calibri" w:cs="Calibri"/>
          <w:sz w:val="22"/>
          <w:szCs w:val="22"/>
        </w:rPr>
        <w:t>Vietnamnet — 3 chiêu để hạn chế doanh nghiệp bẻ kèo, nông dân chạy làng (30/8/2024): https://vietnamnet.vn/3-chieu-de-han-che-doanh-nghiep-be-keo-nong-dan-chay-lang-2316909.html</w:t>
      </w:r>
    </w:p>
    <w:p>
      <w:pPr>
        <w:pStyle w:val="Normal"/>
        <w:spacing w:before="60" w:after="60"/>
        <w:ind w:hanging="240" w:start="480"/>
        <w:rPr/>
      </w:pPr>
      <w:r>
        <w:rPr>
          <w:rFonts w:eastAsia="Calibri" w:cs="Calibri"/>
          <w:sz w:val="22"/>
          <w:szCs w:val="22"/>
        </w:rPr>
        <w:t xml:space="preserve">• </w:t>
      </w:r>
      <w:r>
        <w:rPr>
          <w:rFonts w:eastAsia="Calibri" w:cs="Calibri"/>
          <w:sz w:val="22"/>
          <w:szCs w:val="22"/>
        </w:rPr>
        <w:t>Báo Pháp Luật TP.HCM — Nghịch lý xuất khẩu cà phê Việt (4/4/2026): https://plo.vn/nghich-ly-xuat-khau-ca-phe-viet-post902660.html</w:t>
      </w:r>
    </w:p>
    <w:p>
      <w:pPr>
        <w:pStyle w:val="Normal"/>
        <w:spacing w:before="80" w:after="80"/>
        <w:rPr/>
      </w:pPr>
      <w:r>
        <w:rPr/>
      </w:r>
    </w:p>
    <w:p>
      <w:pPr>
        <w:pStyle w:val="Heading3"/>
        <w:spacing w:before="200" w:after="100"/>
        <w:rPr/>
      </w:pPr>
      <w:r>
        <w:rPr>
          <w:rFonts w:eastAsia="Calibri" w:cs="Calibri" w:ascii="Calibri" w:hAnsi="Calibri"/>
          <w:b/>
          <w:bCs/>
          <w:color w:val="2E4057"/>
          <w:sz w:val="22"/>
          <w:szCs w:val="22"/>
        </w:rPr>
        <w:t>Nguồn về EUDR</w:t>
      </w:r>
    </w:p>
    <w:p>
      <w:pPr>
        <w:pStyle w:val="Normal"/>
        <w:spacing w:before="60" w:after="60"/>
        <w:ind w:hanging="240" w:start="480"/>
        <w:rPr/>
      </w:pPr>
      <w:r>
        <w:rPr>
          <w:rFonts w:eastAsia="Calibri" w:cs="Calibri"/>
          <w:sz w:val="22"/>
          <w:szCs w:val="22"/>
        </w:rPr>
        <w:t xml:space="preserve">• </w:t>
      </w:r>
      <w:r>
        <w:rPr>
          <w:rFonts w:eastAsia="Calibri" w:cs="Calibri"/>
          <w:sz w:val="22"/>
          <w:szCs w:val="22"/>
        </w:rPr>
        <w:t>World Resources Institute — What Is the EU Deforestation Regulation (EUDR)? (cập nhật 5/2026): https://www.wri.org/insights/explain-eu-deforestation-regulation</w:t>
      </w:r>
    </w:p>
    <w:p>
      <w:pPr>
        <w:pStyle w:val="Normal"/>
        <w:spacing w:before="60" w:after="60"/>
        <w:ind w:hanging="240" w:start="480"/>
        <w:rPr/>
      </w:pPr>
      <w:r>
        <w:rPr>
          <w:rFonts w:eastAsia="Calibri" w:cs="Calibri"/>
          <w:sz w:val="22"/>
          <w:szCs w:val="22"/>
        </w:rPr>
        <w:t xml:space="preserve">• </w:t>
      </w:r>
      <w:r>
        <w:rPr>
          <w:rFonts w:eastAsia="Calibri" w:cs="Calibri"/>
          <w:sz w:val="22"/>
          <w:szCs w:val="22"/>
        </w:rPr>
        <w:t>EU Council — Deforestation: targeted revision (18/12/2025): https://www.consilium.europa.eu/en/press/press-releases/2025/12/18/deforestation-council-signs-off-targeted-revision-to-simplify-and-postpone-the-regulation/</w:t>
      </w:r>
    </w:p>
    <w:p>
      <w:pPr>
        <w:pStyle w:val="Normal"/>
        <w:spacing w:before="60" w:after="60"/>
        <w:ind w:hanging="240" w:start="480"/>
        <w:rPr/>
      </w:pPr>
      <w:r>
        <w:rPr>
          <w:rFonts w:eastAsia="Calibri" w:cs="Calibri"/>
          <w:sz w:val="22"/>
          <w:szCs w:val="22"/>
        </w:rPr>
        <w:t xml:space="preserve">• </w:t>
      </w:r>
      <w:r>
        <w:rPr>
          <w:rFonts w:eastAsia="Calibri" w:cs="Calibri"/>
          <w:sz w:val="22"/>
          <w:szCs w:val="22"/>
        </w:rPr>
        <w:t>HQTS — EUDR Postponed: Official 2026–2027 Timeline (4/12/2025): https://www.hqts.com/eudr-postponed/</w:t>
      </w:r>
    </w:p>
    <w:p>
      <w:pPr>
        <w:pStyle w:val="Normal"/>
        <w:spacing w:before="80" w:after="80"/>
        <w:rPr/>
      </w:pPr>
      <w:r>
        <w:rPr/>
      </w:r>
    </w:p>
    <w:p>
      <w:pPr>
        <w:pStyle w:val="Heading3"/>
        <w:spacing w:before="200" w:after="100"/>
        <w:rPr/>
      </w:pPr>
      <w:r>
        <w:rPr>
          <w:rFonts w:eastAsia="Calibri" w:cs="Calibri" w:ascii="Calibri" w:hAnsi="Calibri"/>
          <w:b/>
          <w:bCs/>
          <w:color w:val="2E4057"/>
          <w:sz w:val="22"/>
          <w:szCs w:val="22"/>
        </w:rPr>
        <w:t>Nguồn về Ngân Hàng &amp; Fintech Nông Nghiệp</w:t>
      </w:r>
    </w:p>
    <w:p>
      <w:pPr>
        <w:pStyle w:val="Normal"/>
        <w:spacing w:before="60" w:after="60"/>
        <w:ind w:hanging="240" w:start="480"/>
        <w:rPr/>
      </w:pPr>
      <w:r>
        <w:rPr>
          <w:rFonts w:eastAsia="Calibri" w:cs="Calibri"/>
          <w:sz w:val="22"/>
          <w:szCs w:val="22"/>
        </w:rPr>
        <w:t xml:space="preserve">• </w:t>
      </w:r>
      <w:r>
        <w:rPr>
          <w:rFonts w:eastAsia="Calibri" w:cs="Calibri"/>
          <w:sz w:val="22"/>
          <w:szCs w:val="22"/>
        </w:rPr>
        <w:t>Vietnam.vn — Banks partner with the digital agricultural supply chain (1/4/2026): https://www.vietnam.vn/en/ngan-hang-dong-hanh-cung-chuoi-nong-san-so</w:t>
      </w:r>
    </w:p>
    <w:p>
      <w:pPr>
        <w:pStyle w:val="Normal"/>
        <w:spacing w:before="60" w:after="60"/>
        <w:ind w:hanging="240" w:start="480"/>
        <w:rPr/>
      </w:pPr>
      <w:r>
        <w:rPr>
          <w:rFonts w:eastAsia="Calibri" w:cs="Calibri"/>
          <w:sz w:val="22"/>
          <w:szCs w:val="22"/>
        </w:rPr>
        <w:t xml:space="preserve">• </w:t>
      </w:r>
      <w:r>
        <w:rPr>
          <w:rFonts w:eastAsia="Calibri" w:cs="Calibri"/>
          <w:sz w:val="22"/>
          <w:szCs w:val="22"/>
        </w:rPr>
        <w:t>Vietnam.vn — Xu hướng ứng dụng ngân hàng số vào chuỗi cung ứng nông sản (4/4/2026): https://www.vietnam.vn/en/xu-huong-ung-dung-ngan-hang-so-va-cong-nghe-vao-chuoi-cung-ung-nong-san</w:t>
      </w:r>
    </w:p>
    <w:p>
      <w:pPr>
        <w:pStyle w:val="Normal"/>
        <w:spacing w:before="60" w:after="60"/>
        <w:ind w:hanging="240" w:start="480"/>
        <w:rPr/>
      </w:pPr>
      <w:r>
        <w:rPr>
          <w:rFonts w:eastAsia="Calibri" w:cs="Calibri"/>
          <w:sz w:val="22"/>
          <w:szCs w:val="22"/>
        </w:rPr>
        <w:t xml:space="preserve">• </w:t>
      </w:r>
      <w:r>
        <w:rPr>
          <w:rFonts w:eastAsia="Calibri" w:cs="Calibri"/>
          <w:sz w:val="22"/>
          <w:szCs w:val="22"/>
        </w:rPr>
        <w:t>Vietnam Investment Review — Agribank $833M preferential credit programme 2024 (4/6/2024): https://vir.com.vn/agribank-ramps-up-efforts-to-spur-business-development-111584-111584.html</w:t>
      </w:r>
    </w:p>
    <w:p>
      <w:pPr>
        <w:pStyle w:val="Normal"/>
        <w:spacing w:before="60" w:after="60"/>
        <w:ind w:hanging="240" w:start="480"/>
        <w:rPr/>
      </w:pPr>
      <w:r>
        <w:rPr>
          <w:rFonts w:eastAsia="Calibri" w:cs="Calibri"/>
          <w:sz w:val="22"/>
          <w:szCs w:val="22"/>
        </w:rPr>
        <w:t xml:space="preserve">• </w:t>
      </w:r>
      <w:r>
        <w:rPr>
          <w:rFonts w:eastAsia="Calibri" w:cs="Calibri"/>
          <w:sz w:val="22"/>
          <w:szCs w:val="22"/>
        </w:rPr>
        <w:t>We-Fi / OCB — SME financing gap 68% in Vietnam (2022): https://we-fi.org/how-professionalism-and-cooperation-from-a-bank-give-wings-to-women-entrepreneurs-in-vietnam-to-fly/</w:t>
      </w:r>
    </w:p>
    <w:p>
      <w:pPr>
        <w:pStyle w:val="Normal"/>
        <w:spacing w:before="80" w:after="80"/>
        <w:rPr/>
      </w:pPr>
      <w:r>
        <w:rPr/>
      </w:r>
    </w:p>
    <w:p>
      <w:pPr>
        <w:pStyle w:val="Heading3"/>
        <w:spacing w:before="200" w:after="100"/>
        <w:rPr/>
      </w:pPr>
      <w:r>
        <w:rPr>
          <w:rFonts w:eastAsia="Calibri" w:cs="Calibri" w:ascii="Calibri" w:hAnsi="Calibri"/>
          <w:b/>
          <w:bCs/>
          <w:color w:val="2E4057"/>
          <w:sz w:val="22"/>
          <w:szCs w:val="22"/>
        </w:rPr>
        <w:t>Nguồn về Quy Mô Xuất Khẩu</w:t>
      </w:r>
    </w:p>
    <w:p>
      <w:pPr>
        <w:pStyle w:val="Normal"/>
        <w:spacing w:before="60" w:after="60"/>
        <w:ind w:hanging="240" w:start="480"/>
        <w:rPr/>
      </w:pPr>
      <w:r>
        <w:rPr>
          <w:rFonts w:eastAsia="Calibri" w:cs="Calibri"/>
          <w:sz w:val="22"/>
          <w:szCs w:val="22"/>
        </w:rPr>
        <w:t xml:space="preserve">• </w:t>
      </w:r>
      <w:r>
        <w:rPr>
          <w:rFonts w:eastAsia="Calibri" w:cs="Calibri"/>
          <w:sz w:val="22"/>
          <w:szCs w:val="22"/>
        </w:rPr>
        <w:t>Bộ Nông nghiệp và Môi trường — Tổng kết xuất khẩu 2025 (6/1/2026): https://www.vietnam.vn/en/xuat-khau-nong-lam-thuy-san-vuot-70-ty-usd</w:t>
      </w:r>
    </w:p>
    <w:p>
      <w:pPr>
        <w:pStyle w:val="Normal"/>
        <w:spacing w:before="60" w:after="60"/>
        <w:ind w:hanging="240" w:start="480"/>
        <w:rPr/>
      </w:pPr>
      <w:r>
        <w:rPr>
          <w:rFonts w:eastAsia="Calibri" w:cs="Calibri"/>
          <w:sz w:val="22"/>
          <w:szCs w:val="22"/>
        </w:rPr>
        <w:t xml:space="preserve">• </w:t>
      </w:r>
      <w:r>
        <w:rPr>
          <w:rFonts w:eastAsia="Calibri" w:cs="Calibri"/>
          <w:sz w:val="22"/>
          <w:szCs w:val="22"/>
        </w:rPr>
        <w:t>VietnamPlus — Agriculture sector on path to $74B (23/2/2026): https://en.vietnamplus.vn/agriculture-sector-on-path-to-74-billion-usd-in-export-revenue-post338097.vnp</w:t>
      </w:r>
    </w:p>
    <w:p>
      <w:pPr>
        <w:pStyle w:val="Normal"/>
        <w:spacing w:before="60" w:after="60"/>
        <w:ind w:hanging="240" w:start="480"/>
        <w:rPr/>
      </w:pPr>
      <w:r>
        <w:rPr>
          <w:rFonts w:eastAsia="Calibri" w:cs="Calibri"/>
          <w:sz w:val="22"/>
          <w:szCs w:val="22"/>
        </w:rPr>
        <w:t xml:space="preserve">• </w:t>
      </w:r>
      <w:r>
        <w:rPr>
          <w:rFonts w:eastAsia="Calibri" w:cs="Calibri"/>
          <w:sz w:val="22"/>
          <w:szCs w:val="22"/>
        </w:rPr>
        <w:t>Xinhua — Vietnam rubber exports $11B in 2025 (16/12/2025): https://english.news.cn/asiapacific/20251216/e5bb9a42b030477fbb1047e2e5223a2d/c.html</w:t>
      </w:r>
    </w:p>
    <w:p>
      <w:pPr>
        <w:pStyle w:val="Normal"/>
        <w:spacing w:before="60" w:after="60"/>
        <w:ind w:hanging="240" w:start="480"/>
        <w:rPr/>
      </w:pPr>
      <w:r>
        <w:rPr>
          <w:rFonts w:eastAsia="Calibri" w:cs="Calibri"/>
          <w:sz w:val="22"/>
          <w:szCs w:val="22"/>
        </w:rPr>
        <w:t xml:space="preserve">• </w:t>
      </w:r>
      <w:r>
        <w:rPr>
          <w:rFonts w:eastAsia="Calibri" w:cs="Calibri"/>
          <w:sz w:val="22"/>
          <w:szCs w:val="22"/>
        </w:rPr>
        <w:t>Vietnamnet — Cashew exports $5.23B in 2025 (1/2026): https://vietnamnet.vn/en/cashew-paradox-vietnam-exports-soar-but-imports-hit-record-high-2480954.html</w:t>
      </w:r>
    </w:p>
    <w:p>
      <w:pPr>
        <w:pStyle w:val="Normal"/>
        <w:spacing w:before="80" w:after="80"/>
        <w:rPr/>
      </w:pPr>
      <w:r>
        <w:rPr/>
      </w:r>
    </w:p>
    <w:p>
      <w:pPr>
        <w:pStyle w:val="Heading3"/>
        <w:spacing w:before="200" w:after="100"/>
        <w:rPr/>
      </w:pPr>
      <w:r>
        <w:rPr>
          <w:rFonts w:eastAsia="Calibri" w:cs="Calibri" w:ascii="Calibri" w:hAnsi="Calibri"/>
          <w:b/>
          <w:bCs/>
          <w:color w:val="2E4057"/>
          <w:sz w:val="22"/>
          <w:szCs w:val="22"/>
        </w:rPr>
        <w:t>Nguồn về Số Hóa Nông Nghiệp</w:t>
      </w:r>
    </w:p>
    <w:p>
      <w:pPr>
        <w:pStyle w:val="Normal"/>
        <w:spacing w:before="60" w:after="60"/>
        <w:ind w:hanging="240" w:start="480"/>
        <w:rPr/>
      </w:pPr>
      <w:r>
        <w:rPr>
          <w:rFonts w:eastAsia="Calibri" w:cs="Calibri"/>
          <w:sz w:val="22"/>
          <w:szCs w:val="22"/>
        </w:rPr>
        <w:t xml:space="preserve">• </w:t>
      </w:r>
      <w:r>
        <w:rPr>
          <w:rFonts w:eastAsia="Calibri" w:cs="Calibri"/>
          <w:sz w:val="22"/>
          <w:szCs w:val="22"/>
        </w:rPr>
        <w:t>Tạp chí Kinh tế và Dự báo — Giải pháp chuyển đổi số nông nghiệp (28/2/2025): https://kinhtevadubao.vn/giai-phap-thuc-day-chuyen-doi-so-nganh-nong-nghiep-viet-nam-31106.html</w:t>
      </w:r>
    </w:p>
    <w:p>
      <w:pPr>
        <w:pStyle w:val="Normal"/>
        <w:spacing w:before="60" w:after="60"/>
        <w:ind w:hanging="240" w:start="480"/>
        <w:rPr/>
      </w:pPr>
      <w:r>
        <w:rPr>
          <w:rFonts w:eastAsia="Calibri" w:cs="Calibri"/>
          <w:sz w:val="22"/>
          <w:szCs w:val="22"/>
        </w:rPr>
        <w:t xml:space="preserve">• </w:t>
      </w:r>
      <w:r>
        <w:rPr>
          <w:rFonts w:eastAsia="Calibri" w:cs="Calibri"/>
          <w:sz w:val="22"/>
          <w:szCs w:val="22"/>
        </w:rPr>
        <w:t>PSAV — Viet Nam prioritizes digitalization of agriculture (PM Decision 749/QĐ-TTg): https://psav-mard.org.vn/viet-nam-prioritizes-digitalization-of-agriculture-sector.html</w:t>
      </w:r>
    </w:p>
    <w:p>
      <w:pPr>
        <w:pStyle w:val="Normal"/>
        <w:spacing w:before="80" w:after="80"/>
        <w:rPr/>
      </w:pPr>
      <w:r>
        <w:rPr/>
      </w:r>
    </w:p>
    <w:p>
      <w:pPr>
        <w:pStyle w:val="Normal"/>
        <w:spacing w:before="400" w:after="0"/>
        <w:jc w:val="center"/>
        <w:rPr/>
      </w:pPr>
      <w:r>
        <w:rPr>
          <w:rFonts w:eastAsia="Calibri" w:cs="Calibri"/>
          <w:i/>
          <w:iCs/>
          <w:color w:val="999999"/>
          <w:sz w:val="20"/>
          <w:szCs w:val="20"/>
        </w:rPr>
        <w:t xml:space="preserve">— </w:t>
      </w:r>
      <w:r>
        <w:rPr>
          <w:rFonts w:eastAsia="Calibri" w:cs="Calibri"/>
          <w:i/>
          <w:iCs/>
          <w:color w:val="999999"/>
          <w:sz w:val="20"/>
          <w:szCs w:val="20"/>
        </w:rPr>
        <w:t>Hết tài liệu —</w:t>
      </w:r>
    </w:p>
    <w:p>
      <w:pPr>
        <w:pStyle w:val="Normal"/>
        <w:jc w:val="center"/>
        <w:rPr/>
      </w:pPr>
      <w:r>
        <w:rPr>
          <w:rFonts w:eastAsia="Calibri" w:cs="Calibri"/>
          <w:color w:val="AAAAAA"/>
          <w:sz w:val="18"/>
          <w:szCs w:val="18"/>
        </w:rPr>
        <w:t>AgriContract | Tài liệu nội bộ Đồ Án Tốt Nghiệp | v2.0 · Tháng 6/2026</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77777"/>
        <w:sz w:val="18"/>
        <w:szCs w:val="18"/>
      </w:rPr>
      <w:t xml:space="preserve">Trang </w:t>
    </w:r>
    <w:r>
      <w:rPr>
        <w:rFonts w:eastAsia="Calibri" w:cs="Calibri"/>
        <w:color w:val="AAAAAA"/>
        <w:sz w:val="18"/>
        <w:szCs w:val="18"/>
      </w:rPr>
      <w:fldChar w:fldCharType="begin"/>
    </w:r>
    <w:r>
      <w:rPr>
        <w:rFonts w:eastAsia="Calibri" w:cs="Calibri"/>
        <w:color w:val="AAAAAA"/>
        <w:sz w:val="18"/>
        <w:szCs w:val="18"/>
      </w:rPr>
      <w:instrText xml:space="preserve"> PAGE </w:instrText>
    </w:r>
    <w:r>
      <w:rPr>
        <w:rFonts w:eastAsia="Calibri" w:cs="Calibri"/>
        <w:color w:val="AAAAAA"/>
        <w:sz w:val="18"/>
        <w:szCs w:val="18"/>
      </w:rPr>
      <w:fldChar w:fldCharType="separate"/>
    </w:r>
    <w:r>
      <w:rPr>
        <w:rFonts w:eastAsia="Calibri" w:cs="Calibri"/>
        <w:color w:val="AAAAAA"/>
        <w:sz w:val="18"/>
        <w:szCs w:val="18"/>
      </w:rPr>
      <w:t>9</w:t>
    </w:r>
    <w:r>
      <w:rPr>
        <w:rFonts w:eastAsia="Calibri" w:cs="Calibri"/>
        <w:color w:val="AAAAAA"/>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777777"/>
        <w:sz w:val="18"/>
        <w:szCs w:val="18"/>
      </w:rPr>
      <w:t xml:space="preserve">Trang </w:t>
    </w:r>
    <w:r>
      <w:rPr>
        <w:rFonts w:eastAsia="Calibri" w:cs="Calibri"/>
        <w:color w:val="AAAAAA"/>
        <w:sz w:val="18"/>
        <w:szCs w:val="18"/>
      </w:rPr>
      <w:fldChar w:fldCharType="begin"/>
    </w:r>
    <w:r>
      <w:rPr>
        <w:rFonts w:eastAsia="Calibri" w:cs="Calibri"/>
        <w:color w:val="AAAAAA"/>
        <w:sz w:val="18"/>
        <w:szCs w:val="18"/>
      </w:rPr>
      <w:instrText xml:space="preserve"> PAGE </w:instrText>
    </w:r>
    <w:r>
      <w:rPr>
        <w:rFonts w:eastAsia="Calibri" w:cs="Calibri"/>
        <w:color w:val="AAAAAA"/>
        <w:sz w:val="18"/>
        <w:szCs w:val="18"/>
      </w:rPr>
      <w:fldChar w:fldCharType="separate"/>
    </w:r>
    <w:r>
      <w:rPr>
        <w:rFonts w:eastAsia="Calibri" w:cs="Calibri"/>
        <w:color w:val="AAAAAA"/>
        <w:sz w:val="18"/>
        <w:szCs w:val="18"/>
      </w:rPr>
      <w:t>9</w:t>
    </w:r>
    <w:r>
      <w:rPr>
        <w:rFonts w:eastAsia="Calibri" w:cs="Calibri"/>
        <w:color w:val="AAAAAA"/>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A5276"/>
      </w:pBdr>
      <w:rPr/>
    </w:pPr>
    <w:r>
      <w:rPr>
        <w:rFonts w:eastAsia="Calibri" w:cs="Calibri"/>
        <w:b/>
        <w:bCs/>
        <w:color w:val="1A5276"/>
        <w:sz w:val="20"/>
        <w:szCs w:val="20"/>
      </w:rPr>
      <w:t>AgriContract</w:t>
    </w:r>
    <w:r>
      <w:rPr>
        <w:rFonts w:eastAsia="Calibri" w:cs="Calibri"/>
        <w:color w:val="777777"/>
        <w:sz w:val="18"/>
        <w:szCs w:val="18"/>
      </w:rPr>
      <w:t xml:space="preserve">   |   Giải Pháp, Mục Tiêu &amp; Mô Hình Kinh Doanh   |   Tài liệu nội bộ — Đồ Án Tốt Nghiệp</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A5276"/>
      </w:pBdr>
      <w:rPr/>
    </w:pPr>
    <w:r>
      <w:rPr>
        <w:rFonts w:eastAsia="Calibri" w:cs="Calibri"/>
        <w:b/>
        <w:bCs/>
        <w:color w:val="1A5276"/>
        <w:sz w:val="20"/>
        <w:szCs w:val="20"/>
      </w:rPr>
      <w:t>AgriContract</w:t>
    </w:r>
    <w:r>
      <w:rPr>
        <w:rFonts w:eastAsia="Calibri" w:cs="Calibri"/>
        <w:color w:val="777777"/>
        <w:sz w:val="18"/>
        <w:szCs w:val="18"/>
      </w:rPr>
      <w:t xml:space="preserve">   |   Giải Pháp, Mục Tiêu &amp; Mô Hình Kinh Doanh   |   Tài liệu nội bộ — Đồ Án Tốt Nghiệp</w:t>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80"/>
      <w:outlineLvl w:val="0"/>
    </w:pPr>
    <w:rPr>
      <w:rFonts w:ascii="Calibri" w:hAnsi="Calibri" w:eastAsia="Calibri" w:cs="Calibri"/>
      <w:b/>
      <w:bCs/>
      <w:color w:val="1A5276"/>
      <w:sz w:val="28"/>
      <w:szCs w:val="28"/>
    </w:rPr>
  </w:style>
  <w:style w:type="paragraph" w:styleId="Heading2">
    <w:name w:val="heading 2"/>
    <w:basedOn w:val="Heading"/>
    <w:qFormat/>
    <w:pPr>
      <w:spacing w:before="280" w:after="120"/>
      <w:outlineLvl w:val="1"/>
    </w:pPr>
    <w:rPr>
      <w:rFonts w:ascii="Calibri" w:hAnsi="Calibri" w:eastAsia="Calibri" w:cs="Calibri"/>
      <w:b/>
      <w:bCs/>
      <w:color w:val="1A5276"/>
      <w:sz w:val="24"/>
      <w:szCs w:val="24"/>
    </w:rPr>
  </w:style>
  <w:style w:type="paragraph" w:styleId="Heading3">
    <w:name w:val="heading 3"/>
    <w:basedOn w:val="Heading"/>
    <w:qFormat/>
    <w:pPr>
      <w:spacing w:before="200" w:after="100"/>
      <w:outlineLvl w:val="2"/>
    </w:pPr>
    <w:rPr>
      <w:rFonts w:ascii="Calibri" w:hAnsi="Calibri" w:eastAsia="Calibri" w:cs="Calibri"/>
      <w:b/>
      <w:bCs/>
      <w:color w:val="2E4057"/>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LibreOffice/26.2.1.2$Linux_X86_64 LibreOffice_project/620$Build-2</Application>
  <AppVersion>15.0000</AppVersion>
  <Pages>9</Pages>
  <Words>2584</Words>
  <Characters>12869</Characters>
  <CharactersWithSpaces>15276</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2026-06-23T13:07:36Z</dcterms:created>
  <dc:creator>Un-named</dc:creator>
  <dc:description/>
  <dc:language>en-US</dc:language>
  <cp:lastModifiedBy/>
  <dcterms:modified xsi:type="dcterms:W3CDTF">2026-06-23T20:10:23Z</dcterms:modified>
  <cp:revision>2</cp:revision>
  <dc:subject/>
  <dc:title/>
</cp:coreProperties>
</file>