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rPr/>
      </w:pPr>
      <w:r>
        <w:rPr>
          <w:rFonts w:eastAsia="Calibri" w:cs="Calibri"/>
          <w:b/>
          <w:bCs/>
          <w:color w:val="374151"/>
          <w:spacing w:val="60"/>
          <w:sz w:val="26"/>
          <w:szCs w:val="26"/>
        </w:rPr>
        <w:t>AGRICONTRACT</w:t>
      </w:r>
    </w:p>
    <w:p>
      <w:pPr>
        <w:pStyle w:val="Normal"/>
        <w:pBdr>
          <w:bottom w:val="single" w:sz="8" w:space="8" w:color="1F2A37"/>
        </w:pBdr>
        <w:spacing w:before="120" w:after="60"/>
        <w:rPr/>
      </w:pPr>
      <w:r>
        <w:rPr>
          <w:rFonts w:eastAsia="Calibri" w:cs="Calibri"/>
          <w:b/>
          <w:bCs/>
          <w:color w:val="1F2A37"/>
          <w:sz w:val="44"/>
          <w:szCs w:val="44"/>
        </w:rPr>
        <w:t>Kiến trúc hệ thống của đồ án</w:t>
      </w:r>
    </w:p>
    <w:p>
      <w:pPr>
        <w:pStyle w:val="Normal"/>
        <w:spacing w:before="120" w:after="40"/>
        <w:rPr/>
      </w:pPr>
      <w:r>
        <w:rPr>
          <w:rFonts w:eastAsia="Calibri" w:cs="Calibri"/>
          <w:i/>
          <w:iCs/>
          <w:color w:val="374151"/>
          <w:sz w:val="23"/>
          <w:szCs w:val="23"/>
        </w:rPr>
        <w:t>Boundary, ownership, interaction, trust model, state choreography và quality attributes</w:t>
      </w:r>
    </w:p>
    <w:p>
      <w:pPr>
        <w:pStyle w:val="Normal"/>
        <w:spacing w:before="240" w:after="0"/>
        <w:rPr/>
      </w:pPr>
      <w:r>
        <w:rPr>
          <w:rFonts w:eastAsia="Calibri" w:cs="Calibri"/>
          <w:color w:val="6B7280"/>
          <w:sz w:val="20"/>
          <w:szCs w:val="20"/>
        </w:rPr>
        <w:t>Tài liệu kiến trúc đồ án</w:t>
      </w:r>
    </w:p>
    <w:p>
      <w:pPr>
        <w:pStyle w:val="Normal"/>
        <w:spacing w:before="0" w:after="0"/>
        <w:rPr/>
      </w:pPr>
      <w:r>
        <w:rPr>
          <w:rFonts w:eastAsia="Calibri" w:cs="Calibri"/>
          <w:color w:val="6B7280"/>
          <w:sz w:val="20"/>
          <w:szCs w:val="20"/>
        </w:rPr>
        <w:t>Phiên bản final · Tháng 7/2026</w:t>
      </w:r>
    </w:p>
    <w:p>
      <w:pPr>
        <w:pStyle w:val="Normal"/>
        <w:spacing w:before="360" w:after="0"/>
        <w:rPr/>
      </w:pPr>
      <w:r>
        <w:rPr/>
      </w:r>
      <w:r>
        <w:br w:type="page"/>
      </w:r>
    </w:p>
    <w:p>
      <w:pPr>
        <w:pStyle w:val="Normal"/>
        <w:spacing w:before="0" w:after="120"/>
        <w:rPr/>
      </w:pPr>
      <w:r>
        <w:rPr>
          <w:rFonts w:eastAsia="Calibri" w:cs="Calibri"/>
          <w:b/>
          <w:bCs/>
          <w:color w:val="1F2A37"/>
          <w:sz w:val="28"/>
          <w:szCs w:val="28"/>
        </w:rPr>
        <w:t>Mục lục</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"1-3" \h</w:instrText>
          </w:r>
          <w:r>
            <w:rPr>
              <w:rStyle w:val="IndexLink"/>
            </w:rPr>
            <w:fldChar w:fldCharType="separate"/>
          </w:r>
          <w:hyperlink w:anchor="__RefHeading___Toc3238_AgriContract" w:tooltip="Tóm tắt điều hành">
            <w:r>
              <w:rPr>
                <w:rStyle w:val="IndexLink"/>
              </w:rPr>
              <w:t>Tóm tắt điều hành</w:t>
              <w:tab/>
              <w:t>3</w:t>
            </w:r>
          </w:hyperlink>
        </w:p>
        <w:p>
          <w:pPr>
            <w:pStyle w:val="TOC1"/>
            <w:tabs>
              <w:tab w:val="clear" w:pos="9638"/>
              <w:tab w:val="right" w:pos="9637" w:leader="dot"/>
            </w:tabs>
            <w:rPr/>
          </w:pPr>
          <w:hyperlink w:anchor="__RefHeading___Toc3240_AgriContract" w:tooltip="1. Context, phạm vi và nguyên tắc">
            <w:r>
              <w:rPr>
                <w:rStyle w:val="IndexLink"/>
              </w:rPr>
              <w:t>1. Context, phạm vi và nguyên tắc</w:t>
              <w:tab/>
              <w:t>3</w:t>
            </w:r>
          </w:hyperlink>
        </w:p>
        <w:p>
          <w:pPr>
            <w:pStyle w:val="TOC2"/>
            <w:tabs>
              <w:tab w:val="clear" w:pos="9355"/>
              <w:tab w:val="right" w:pos="9637" w:leader="dot"/>
            </w:tabs>
            <w:rPr/>
          </w:pPr>
          <w:hyperlink w:anchor="__RefHeading___Toc3242_AgriContract" w:tooltip="1.1 Context hệ thống">
            <w:r>
              <w:rPr>
                <w:rStyle w:val="IndexLink"/>
              </w:rPr>
              <w:t>1.1 Context hệ thống</w:t>
              <w:tab/>
              <w:t>3</w:t>
            </w:r>
          </w:hyperlink>
        </w:p>
        <w:p>
          <w:pPr>
            <w:pStyle w:val="TOC2"/>
            <w:tabs>
              <w:tab w:val="clear" w:pos="9355"/>
              <w:tab w:val="right" w:pos="9637" w:leader="dot"/>
            </w:tabs>
            <w:rPr/>
          </w:pPr>
          <w:hyperlink w:anchor="__RefHeading___Toc3244_AgriContract" w:tooltip="1.2 Nguyên tắc kiến trúc">
            <w:r>
              <w:rPr>
                <w:rStyle w:val="IndexLink"/>
              </w:rPr>
              <w:t>1.2 Nguyên tắc kiến trúc</w:t>
              <w:tab/>
              <w:t>3</w:t>
            </w:r>
          </w:hyperlink>
        </w:p>
        <w:p>
          <w:pPr>
            <w:pStyle w:val="TOC1"/>
            <w:tabs>
              <w:tab w:val="clear" w:pos="9638"/>
              <w:tab w:val="right" w:pos="9637" w:leader="dot"/>
            </w:tabs>
            <w:rPr/>
          </w:pPr>
          <w:hyperlink w:anchor="__RefHeading___Toc3246_AgriContract" w:tooltip="2. Phân rã lớp và trust boundary">
            <w:r>
              <w:rPr>
                <w:rStyle w:val="IndexLink"/>
              </w:rPr>
              <w:t>2. Phân rã lớp và trust boundary</w:t>
              <w:tab/>
              <w:t>4</w:t>
            </w:r>
          </w:hyperlink>
        </w:p>
        <w:p>
          <w:pPr>
            <w:pStyle w:val="TOC1"/>
            <w:tabs>
              <w:tab w:val="clear" w:pos="9638"/>
              <w:tab w:val="right" w:pos="9637" w:leader="dot"/>
            </w:tabs>
            <w:rPr/>
          </w:pPr>
          <w:hyperlink w:anchor="__RefHeading___Toc3248_AgriContract" w:tooltip="3. Service ownership">
            <w:r>
              <w:rPr>
                <w:rStyle w:val="IndexLink"/>
              </w:rPr>
              <w:t>3. Service ownership</w:t>
              <w:tab/>
              <w:t>4</w:t>
            </w:r>
          </w:hyperlink>
        </w:p>
        <w:p>
          <w:pPr>
            <w:pStyle w:val="TOC2"/>
            <w:tabs>
              <w:tab w:val="clear" w:pos="9355"/>
              <w:tab w:val="right" w:pos="9637" w:leader="dot"/>
            </w:tabs>
            <w:rPr/>
          </w:pPr>
          <w:hyperlink w:anchor="__RefHeading___Toc3250_AgriContract" w:tooltip="3.1 Ownership của decision và lifecycle">
            <w:r>
              <w:rPr>
                <w:rStyle w:val="IndexLink"/>
              </w:rPr>
              <w:t>3.1 Ownership của decision và lifecycle</w:t>
              <w:tab/>
              <w:t>5</w:t>
            </w:r>
          </w:hyperlink>
        </w:p>
        <w:p>
          <w:pPr>
            <w:pStyle w:val="TOC2"/>
            <w:tabs>
              <w:tab w:val="clear" w:pos="9355"/>
              <w:tab w:val="right" w:pos="9637" w:leader="dot"/>
            </w:tabs>
            <w:rPr/>
          </w:pPr>
          <w:hyperlink w:anchor="__RefHeading___Toc3252_AgriContract" w:tooltip="3.2 Ownership của signature và evidence">
            <w:r>
              <w:rPr>
                <w:rStyle w:val="IndexLink"/>
              </w:rPr>
              <w:t>3.2 Ownership của signature và evidence</w:t>
              <w:tab/>
              <w:t>5</w:t>
            </w:r>
          </w:hyperlink>
        </w:p>
        <w:p>
          <w:pPr>
            <w:pStyle w:val="TOC1"/>
            <w:tabs>
              <w:tab w:val="clear" w:pos="9638"/>
              <w:tab w:val="right" w:pos="9637" w:leader="dot"/>
            </w:tabs>
            <w:rPr/>
          </w:pPr>
          <w:hyperlink w:anchor="__RefHeading___Toc3254_AgriContract" w:tooltip="4. Integration model và consistency">
            <w:r>
              <w:rPr>
                <w:rStyle w:val="IndexLink"/>
              </w:rPr>
              <w:t>4. Integration model và consistency</w:t>
              <w:tab/>
              <w:t>5</w:t>
            </w:r>
          </w:hyperlink>
        </w:p>
        <w:p>
          <w:pPr>
            <w:pStyle w:val="TOC2"/>
            <w:tabs>
              <w:tab w:val="clear" w:pos="9355"/>
              <w:tab w:val="right" w:pos="9637" w:leader="dot"/>
            </w:tabs>
            <w:rPr/>
          </w:pPr>
          <w:hyperlink w:anchor="__RefHeading___Toc3256_AgriContract" w:tooltip="4.1 Đồng bộ">
            <w:r>
              <w:rPr>
                <w:rStyle w:val="IndexLink"/>
              </w:rPr>
              <w:t>4.1 Đồng bộ</w:t>
              <w:tab/>
              <w:t>5</w:t>
            </w:r>
          </w:hyperlink>
        </w:p>
        <w:p>
          <w:pPr>
            <w:pStyle w:val="TOC2"/>
            <w:tabs>
              <w:tab w:val="clear" w:pos="9355"/>
              <w:tab w:val="right" w:pos="9637" w:leader="dot"/>
            </w:tabs>
            <w:rPr/>
          </w:pPr>
          <w:hyperlink w:anchor="__RefHeading___Toc3258_AgriContract" w:tooltip="4.2 Bất đồng bộ">
            <w:r>
              <w:rPr>
                <w:rStyle w:val="IndexLink"/>
              </w:rPr>
              <w:t>4.2 Bất đồng bộ</w:t>
              <w:tab/>
              <w:t>5</w:t>
            </w:r>
          </w:hyperlink>
        </w:p>
        <w:p>
          <w:pPr>
            <w:pStyle w:val="TOC2"/>
            <w:tabs>
              <w:tab w:val="clear" w:pos="9355"/>
              <w:tab w:val="right" w:pos="9637" w:leader="dot"/>
            </w:tabs>
            <w:rPr/>
          </w:pPr>
          <w:hyperlink w:anchor="__RefHeading___Toc3260_AgriContract" w:tooltip="4.3 Idempotency theo boundary">
            <w:r>
              <w:rPr>
                <w:rStyle w:val="IndexLink"/>
              </w:rPr>
              <w:t>4.3 Idempotency theo boundary</w:t>
              <w:tab/>
              <w:t>6</w:t>
            </w:r>
          </w:hyperlink>
        </w:p>
        <w:p>
          <w:pPr>
            <w:pStyle w:val="TOC2"/>
            <w:tabs>
              <w:tab w:val="clear" w:pos="9355"/>
              <w:tab w:val="right" w:pos="9637" w:leader="dot"/>
            </w:tabs>
            <w:rPr/>
          </w:pPr>
          <w:hyperlink w:anchor="__RefHeading___Toc3262_AgriContract" w:tooltip="4.4 Completion reconciler">
            <w:r>
              <w:rPr>
                <w:rStyle w:val="IndexLink"/>
              </w:rPr>
              <w:t>4.4 Completion reconciler</w:t>
              <w:tab/>
              <w:t>6</w:t>
            </w:r>
          </w:hyperlink>
        </w:p>
        <w:p>
          <w:pPr>
            <w:pStyle w:val="TOC1"/>
            <w:tabs>
              <w:tab w:val="clear" w:pos="9638"/>
              <w:tab w:val="right" w:pos="9637" w:leader="dot"/>
            </w:tabs>
            <w:rPr/>
          </w:pPr>
          <w:hyperlink w:anchor="__RefHeading___Toc3264_AgriContract" w:tooltip="5. Event và command architecture">
            <w:r>
              <w:rPr>
                <w:rStyle w:val="IndexLink"/>
              </w:rPr>
              <w:t>5. Event và command architecture</w:t>
              <w:tab/>
              <w:t>6</w:t>
            </w:r>
          </w:hyperlink>
        </w:p>
        <w:p>
          <w:pPr>
            <w:pStyle w:val="TOC2"/>
            <w:tabs>
              <w:tab w:val="clear" w:pos="9355"/>
              <w:tab w:val="right" w:pos="9637" w:leader="dot"/>
            </w:tabs>
            <w:rPr/>
          </w:pPr>
          <w:hyperlink w:anchor="__RefHeading___Toc3266_AgriContract" w:tooltip="5.1 Canonical consequence boundary">
            <w:r>
              <w:rPr>
                <w:rStyle w:val="IndexLink"/>
              </w:rPr>
              <w:t>5.1 Canonical consequence boundary</w:t>
              <w:tab/>
              <w:t>6</w:t>
            </w:r>
          </w:hyperlink>
        </w:p>
        <w:p>
          <w:pPr>
            <w:pStyle w:val="TOC2"/>
            <w:tabs>
              <w:tab w:val="clear" w:pos="9355"/>
              <w:tab w:val="right" w:pos="9637" w:leader="dot"/>
            </w:tabs>
            <w:rPr/>
          </w:pPr>
          <w:hyperlink w:anchor="__RefHeading___Toc3268_AgriContract" w:tooltip="5.2 Domain/bank event catalog">
            <w:r>
              <w:rPr>
                <w:rStyle w:val="IndexLink"/>
              </w:rPr>
              <w:t>5.2 Domain/bank event catalog</w:t>
              <w:tab/>
              <w:t>7</w:t>
            </w:r>
          </w:hyperlink>
        </w:p>
        <w:p>
          <w:pPr>
            <w:pStyle w:val="TOC2"/>
            <w:tabs>
              <w:tab w:val="clear" w:pos="9355"/>
              <w:tab w:val="right" w:pos="9637" w:leader="dot"/>
            </w:tabs>
            <w:rPr/>
          </w:pPr>
          <w:hyperlink w:anchor="__RefHeading___Toc3270_AgriContract" w:tooltip="5.3 Notification command catalog">
            <w:r>
              <w:rPr>
                <w:rStyle w:val="IndexLink"/>
              </w:rPr>
              <w:t>5.3 Notification command catalog</w:t>
              <w:tab/>
              <w:t>10</w:t>
            </w:r>
          </w:hyperlink>
        </w:p>
        <w:p>
          <w:pPr>
            <w:pStyle w:val="TOC1"/>
            <w:tabs>
              <w:tab w:val="clear" w:pos="9638"/>
              <w:tab w:val="right" w:pos="9637" w:leader="dot"/>
            </w:tabs>
            <w:rPr/>
          </w:pPr>
          <w:hyperlink w:anchor="__RefHeading___Toc3272_AgriContract" w:tooltip="6. Data architecture và invariant storage">
            <w:r>
              <w:rPr>
                <w:rStyle w:val="IndexLink"/>
              </w:rPr>
              <w:t>6. Data architecture và invariant storage</w:t>
              <w:tab/>
              <w:t>11</w:t>
            </w:r>
          </w:hyperlink>
        </w:p>
        <w:p>
          <w:pPr>
            <w:pStyle w:val="TOC2"/>
            <w:tabs>
              <w:tab w:val="clear" w:pos="9355"/>
              <w:tab w:val="right" w:pos="9637" w:leader="dot"/>
            </w:tabs>
            <w:rPr/>
          </w:pPr>
          <w:hyperlink w:anchor="__RefHeading___Toc3274_AgriContract" w:tooltip="6.1 Database-per-service">
            <w:r>
              <w:rPr>
                <w:rStyle w:val="IndexLink"/>
              </w:rPr>
              <w:t>6.1 Database-per-service</w:t>
              <w:tab/>
              <w:t>11</w:t>
            </w:r>
          </w:hyperlink>
        </w:p>
        <w:p>
          <w:pPr>
            <w:pStyle w:val="TOC2"/>
            <w:tabs>
              <w:tab w:val="clear" w:pos="9355"/>
              <w:tab w:val="right" w:pos="9637" w:leader="dot"/>
            </w:tabs>
            <w:rPr/>
          </w:pPr>
          <w:hyperlink w:anchor="__RefHeading___Toc3276_AgriContract" w:tooltip="6.2 Core persistence constraints">
            <w:r>
              <w:rPr>
                <w:rStyle w:val="IndexLink"/>
              </w:rPr>
              <w:t>6.2 Core persistence constraints</w:t>
              <w:tab/>
              <w:t>11</w:t>
            </w:r>
          </w:hyperlink>
        </w:p>
        <w:p>
          <w:pPr>
            <w:pStyle w:val="TOC1"/>
            <w:tabs>
              <w:tab w:val="clear" w:pos="9638"/>
              <w:tab w:val="right" w:pos="9637" w:leader="dot"/>
            </w:tabs>
            <w:rPr/>
          </w:pPr>
          <w:hyperlink w:anchor="__RefHeading___Toc3278_AgriContract" w:tooltip="7. State machines và choreography">
            <w:r>
              <w:rPr>
                <w:rStyle w:val="IndexLink"/>
              </w:rPr>
              <w:t>7. State machines và choreography</w:t>
              <w:tab/>
              <w:t>11</w:t>
            </w:r>
          </w:hyperlink>
        </w:p>
        <w:p>
          <w:pPr>
            <w:pStyle w:val="TOC2"/>
            <w:tabs>
              <w:tab w:val="clear" w:pos="9355"/>
              <w:tab w:val="right" w:pos="9637" w:leader="dot"/>
            </w:tabs>
            <w:rPr/>
          </w:pPr>
          <w:hyperlink w:anchor="__RefHeading___Toc3280_AgriContract" w:tooltip="7.1 Contract lifecycle">
            <w:r>
              <w:rPr>
                <w:rStyle w:val="IndexLink"/>
              </w:rPr>
              <w:t>7.1 Contract lifecycle</w:t>
              <w:tab/>
              <w:t>11</w:t>
            </w:r>
          </w:hyperlink>
        </w:p>
        <w:p>
          <w:pPr>
            <w:pStyle w:val="TOC2"/>
            <w:tabs>
              <w:tab w:val="clear" w:pos="9355"/>
              <w:tab w:val="right" w:pos="9637" w:leader="dot"/>
            </w:tabs>
            <w:rPr/>
          </w:pPr>
          <w:hyperlink w:anchor="__RefHeading___Toc3282_AgriContract" w:tooltip="7.2 Attribution/remedy">
            <w:r>
              <w:rPr>
                <w:rStyle w:val="IndexLink"/>
              </w:rPr>
              <w:t>7.2 Attribution/remedy</w:t>
              <w:tab/>
              <w:t>12</w:t>
            </w:r>
          </w:hyperlink>
        </w:p>
        <w:p>
          <w:pPr>
            <w:pStyle w:val="TOC2"/>
            <w:tabs>
              <w:tab w:val="clear" w:pos="9355"/>
              <w:tab w:val="right" w:pos="9637" w:leader="dot"/>
            </w:tabs>
            <w:rPr/>
          </w:pPr>
          <w:hyperlink w:anchor="__RefHeading___Toc3284_AgriContract" w:tooltip="7.3 Milestone/funding">
            <w:r>
              <w:rPr>
                <w:rStyle w:val="IndexLink"/>
              </w:rPr>
              <w:t>7.3 Milestone/funding</w:t>
              <w:tab/>
              <w:t>12</w:t>
            </w:r>
          </w:hyperlink>
        </w:p>
        <w:p>
          <w:pPr>
            <w:pStyle w:val="TOC2"/>
            <w:tabs>
              <w:tab w:val="clear" w:pos="9355"/>
              <w:tab w:val="right" w:pos="9637" w:leader="dot"/>
            </w:tabs>
            <w:rPr/>
          </w:pPr>
          <w:hyperlink w:anchor="__RefHeading___Toc3286_AgriContract" w:tooltip="7.4 Mutual replacement saga">
            <w:r>
              <w:rPr>
                <w:rStyle w:val="IndexLink"/>
              </w:rPr>
              <w:t>7.4 Mutual replacement saga</w:t>
              <w:tab/>
              <w:t>12</w:t>
            </w:r>
          </w:hyperlink>
        </w:p>
        <w:p>
          <w:pPr>
            <w:pStyle w:val="TOC1"/>
            <w:tabs>
              <w:tab w:val="clear" w:pos="9638"/>
              <w:tab w:val="right" w:pos="9637" w:leader="dot"/>
            </w:tabs>
            <w:rPr/>
          </w:pPr>
          <w:hyperlink w:anchor="__RefHeading___Toc3288_AgriContract" w:tooltip="8. Security, governance và evidence">
            <w:r>
              <w:rPr>
                <w:rStyle w:val="IndexLink"/>
              </w:rPr>
              <w:t>8. Security, governance và evidence</w:t>
              <w:tab/>
              <w:t>12</w:t>
            </w:r>
          </w:hyperlink>
        </w:p>
        <w:p>
          <w:pPr>
            <w:pStyle w:val="TOC2"/>
            <w:tabs>
              <w:tab w:val="clear" w:pos="9355"/>
              <w:tab w:val="right" w:pos="9637" w:leader="dot"/>
            </w:tabs>
            <w:rPr/>
          </w:pPr>
          <w:hyperlink w:anchor="__RefHeading___Toc3290_AgriContract" w:tooltip="8.1 Authentication/authorization">
            <w:r>
              <w:rPr>
                <w:rStyle w:val="IndexLink"/>
              </w:rPr>
              <w:t>8.1 Authentication/authorization</w:t>
              <w:tab/>
              <w:t>12</w:t>
            </w:r>
          </w:hyperlink>
        </w:p>
        <w:p>
          <w:pPr>
            <w:pStyle w:val="TOC2"/>
            <w:tabs>
              <w:tab w:val="clear" w:pos="9355"/>
              <w:tab w:val="right" w:pos="9637" w:leader="dot"/>
            </w:tabs>
            <w:rPr/>
          </w:pPr>
          <w:hyperlink w:anchor="__RefHeading___Toc3292_AgriContract" w:tooltip="8.2 External Verifier emergency control">
            <w:r>
              <w:rPr>
                <w:rStyle w:val="IndexLink"/>
              </w:rPr>
              <w:t>8.2 External Verifier emergency control</w:t>
              <w:tab/>
              <w:t>12</w:t>
            </w:r>
          </w:hyperlink>
        </w:p>
        <w:p>
          <w:pPr>
            <w:pStyle w:val="TOC2"/>
            <w:tabs>
              <w:tab w:val="clear" w:pos="9355"/>
              <w:tab w:val="right" w:pos="9637" w:leader="dot"/>
            </w:tabs>
            <w:rPr/>
          </w:pPr>
          <w:hyperlink w:anchor="__RefHeading___Toc3294_AgriContract" w:tooltip="8.3 Evidence scope">
            <w:r>
              <w:rPr>
                <w:rStyle w:val="IndexLink"/>
              </w:rPr>
              <w:t>8.3 Evidence scope</w:t>
              <w:tab/>
              <w:t>12</w:t>
            </w:r>
          </w:hyperlink>
        </w:p>
        <w:p>
          <w:pPr>
            <w:pStyle w:val="TOC2"/>
            <w:tabs>
              <w:tab w:val="clear" w:pos="9355"/>
              <w:tab w:val="right" w:pos="9637" w:leader="dot"/>
            </w:tabs>
            <w:rPr/>
          </w:pPr>
          <w:hyperlink w:anchor="__RefHeading___Toc3296_AgriContract" w:tooltip="8.4 Retention/DR">
            <w:r>
              <w:rPr>
                <w:rStyle w:val="IndexLink"/>
              </w:rPr>
              <w:t>8.4 Retention/DR</w:t>
              <w:tab/>
              <w:t>13</w:t>
            </w:r>
          </w:hyperlink>
        </w:p>
        <w:p>
          <w:pPr>
            <w:pStyle w:val="TOC1"/>
            <w:tabs>
              <w:tab w:val="clear" w:pos="9638"/>
              <w:tab w:val="right" w:pos="9637" w:leader="dot"/>
            </w:tabs>
            <w:rPr/>
          </w:pPr>
          <w:hyperlink w:anchor="__RefHeading___Toc3298_AgriContract" w:tooltip="9. Deployment và quality attributes">
            <w:r>
              <w:rPr>
                <w:rStyle w:val="IndexLink"/>
              </w:rPr>
              <w:t>9. Deployment và quality attributes</w:t>
              <w:tab/>
              <w:t>13</w:t>
            </w:r>
          </w:hyperlink>
        </w:p>
        <w:p>
          <w:pPr>
            <w:pStyle w:val="TOC1"/>
            <w:tabs>
              <w:tab w:val="clear" w:pos="9638"/>
              <w:tab w:val="right" w:pos="9637" w:leader="dot"/>
            </w:tabs>
            <w:rPr/>
          </w:pPr>
          <w:hyperlink w:anchor="__RefHeading___Toc3300_AgriContract" w:tooltip="10. API surface overview">
            <w:r>
              <w:rPr>
                <w:rStyle w:val="IndexLink"/>
              </w:rPr>
              <w:t>10. API surface overview</w:t>
              <w:tab/>
              <w:t>13</w:t>
            </w:r>
          </w:hyperlink>
        </w:p>
        <w:p>
          <w:pPr>
            <w:pStyle w:val="TOC1"/>
            <w:tabs>
              <w:tab w:val="clear" w:pos="9638"/>
              <w:tab w:val="right" w:pos="9637" w:leader="dot"/>
            </w:tabs>
            <w:rPr/>
          </w:pPr>
          <w:hyperlink w:anchor="__RefHeading___Toc3302_AgriContract" w:tooltip="10.1 Frozen design synchronization addendum">
            <w:r>
              <w:rPr>
                <w:rStyle w:val="IndexLink"/>
              </w:rPr>
              <w:t>10.1 Frozen design synchronization addendum</w:t>
              <w:tab/>
              <w:t>15</w:t>
            </w:r>
          </w:hyperlink>
        </w:p>
        <w:p>
          <w:pPr>
            <w:pStyle w:val="TOC2"/>
            <w:tabs>
              <w:tab w:val="clear" w:pos="9355"/>
              <w:tab w:val="right" w:pos="9637" w:leader="dot"/>
            </w:tabs>
            <w:rPr/>
          </w:pPr>
          <w:hyperlink w:anchor="__RefHeading___Toc3304_AgriContract" w:tooltip="Signature, lifecycle và OTP">
            <w:r>
              <w:rPr>
                <w:rStyle w:val="IndexLink"/>
              </w:rPr>
              <w:t>Signature, lifecycle và OTP</w:t>
              <w:tab/>
              <w:t>15</w:t>
            </w:r>
          </w:hyperlink>
        </w:p>
        <w:p>
          <w:pPr>
            <w:pStyle w:val="TOC2"/>
            <w:tabs>
              <w:tab w:val="clear" w:pos="9355"/>
              <w:tab w:val="right" w:pos="9637" w:leader="dot"/>
            </w:tabs>
            <w:rPr/>
          </w:pPr>
          <w:hyperlink w:anchor="__RefHeading___Toc3306_AgriContract" w:tooltip="Inventory, reservation và concurrency">
            <w:r>
              <w:rPr>
                <w:rStyle w:val="IndexLink"/>
              </w:rPr>
              <w:t>Inventory, reservation và concurrency</w:t>
              <w:tab/>
              <w:t>16</w:t>
            </w:r>
          </w:hyperlink>
        </w:p>
        <w:p>
          <w:pPr>
            <w:pStyle w:val="TOC2"/>
            <w:tabs>
              <w:tab w:val="clear" w:pos="9355"/>
              <w:tab w:val="right" w:pos="9637" w:leader="dot"/>
            </w:tabs>
            <w:rPr/>
          </w:pPr>
          <w:hyperlink w:anchor="__RefHeading___Toc3308_AgriContract" w:tooltip="Signed pricing, deposits và money authority">
            <w:r>
              <w:rPr>
                <w:rStyle w:val="IndexLink"/>
              </w:rPr>
              <w:t>Signed pricing, deposits và money authority</w:t>
              <w:tab/>
              <w:t>16</w:t>
            </w:r>
          </w:hyperlink>
        </w:p>
        <w:p>
          <w:pPr>
            <w:pStyle w:val="TOC2"/>
            <w:tabs>
              <w:tab w:val="clear" w:pos="9355"/>
              <w:tab w:val="right" w:pos="9637" w:leader="dot"/>
            </w:tabs>
            <w:rPr/>
          </w:pPr>
          <w:hyperlink w:anchor="__RefHeading___Toc3310_AgriContract" w:tooltip="Snapshots, delivery, inspection và metadata">
            <w:r>
              <w:rPr>
                <w:rStyle w:val="IndexLink"/>
              </w:rPr>
              <w:t>Snapshots, delivery, inspection và metadata</w:t>
              <w:tab/>
              <w:t>16</w:t>
            </w:r>
          </w:hyperlink>
        </w:p>
        <w:p>
          <w:pPr>
            <w:pStyle w:val="TOC2"/>
            <w:tabs>
              <w:tab w:val="clear" w:pos="9355"/>
              <w:tab w:val="right" w:pos="9637" w:leader="dot"/>
            </w:tabs>
            <w:rPr/>
          </w:pPr>
          <w:hyperlink w:anchor="__RefHeading___Toc3312_AgriContract" w:tooltip="Quality and disposition">
            <w:r>
              <w:rPr>
                <w:rStyle w:val="IndexLink"/>
              </w:rPr>
              <w:t>Quality and disposition</w:t>
              <w:tab/>
              <w:t>17</w:t>
            </w:r>
          </w:hyperlink>
        </w:p>
        <w:p>
          <w:pPr>
            <w:pStyle w:val="TOC2"/>
            <w:tabs>
              <w:tab w:val="clear" w:pos="9355"/>
              <w:tab w:val="right" w:pos="9637" w:leader="dot"/>
            </w:tabs>
            <w:rPr/>
          </w:pPr>
          <w:hyperlink w:anchor="__RefHeading___Toc3314_AgriContract" w:tooltip="Conventions and guardrails">
            <w:r>
              <w:rPr>
                <w:rStyle w:val="IndexLink"/>
              </w:rPr>
              <w:t>Conventions and guardrails</w:t>
              <w:tab/>
              <w:t>17</w:t>
            </w:r>
          </w:hyperlink>
        </w:p>
        <w:p>
          <w:pPr>
            <w:pStyle w:val="TOC2"/>
            <w:tabs>
              <w:tab w:val="clear" w:pos="9355"/>
              <w:tab w:val="right" w:pos="9637" w:leader="dot"/>
            </w:tabs>
            <w:rPr/>
          </w:pPr>
          <w:hyperlink w:anchor="__RefHeading___Toc3316_AgriContract" w:tooltip="LegalProfile references">
            <w:r>
              <w:rPr>
                <w:rStyle w:val="IndexLink"/>
              </w:rPr>
              <w:t>LegalProfile references</w:t>
              <w:tab/>
              <w:t>17</w:t>
            </w:r>
          </w:hyperlink>
        </w:p>
        <w:p>
          <w:pPr>
            <w:pStyle w:val="TOC1"/>
            <w:tabs>
              <w:tab w:val="clear" w:pos="9638"/>
              <w:tab w:val="right" w:pos="9637" w:leader="dot"/>
            </w:tabs>
            <w:rPr/>
          </w:pPr>
          <w:hyperlink w:anchor="__RefHeading___Toc3318_AgriContract" w:tooltip="10.2 Supplementary API and event totals">
            <w:r>
              <w:rPr>
                <w:rStyle w:val="IndexLink"/>
              </w:rPr>
              <w:t>10.2 Supplementary API and event totals</w:t>
              <w:tab/>
              <w:t>17</w:t>
            </w:r>
          </w:hyperlink>
        </w:p>
        <w:p>
          <w:pPr>
            <w:pStyle w:val="TOC1"/>
            <w:tabs>
              <w:tab w:val="clear" w:pos="9638"/>
              <w:tab w:val="right" w:pos="9637" w:leader="dot"/>
            </w:tabs>
            <w:rPr/>
          </w:pPr>
          <w:hyperlink w:anchor="__RefHeading___Toc3320_AgriContract" w:tooltip="11. Current Scope">
            <w:r>
              <w:rPr>
                <w:rStyle w:val="IndexLink"/>
              </w:rPr>
              <w:t>11. Current Scope</w:t>
              <w:tab/>
              <w:t>18</w:t>
            </w:r>
          </w:hyperlink>
        </w:p>
        <w:p>
          <w:pPr>
            <w:pStyle w:val="TOC1"/>
            <w:tabs>
              <w:tab w:val="clear" w:pos="9638"/>
              <w:tab w:val="right" w:pos="9637" w:leader="dot"/>
            </w:tabs>
            <w:rPr/>
          </w:pPr>
          <w:hyperlink w:anchor="__RefHeading___Toc3322_AgriContract" w:tooltip="12. Known Limitations">
            <w:r>
              <w:rPr>
                <w:rStyle w:val="IndexLink"/>
              </w:rPr>
              <w:t>12. Known Limitations</w:t>
              <w:tab/>
              <w:t>18</w:t>
            </w:r>
          </w:hyperlink>
        </w:p>
        <w:p>
          <w:pPr>
            <w:pStyle w:val="TOC1"/>
            <w:tabs>
              <w:tab w:val="clear" w:pos="9638"/>
              <w:tab w:val="right" w:pos="9637" w:leader="dot"/>
            </w:tabs>
            <w:rPr/>
          </w:pPr>
          <w:hyperlink w:anchor="__RefHeading___Toc3324_AgriContract" w:tooltip="13. Future Work">
            <w:r>
              <w:rPr>
                <w:rStyle w:val="IndexLink"/>
              </w:rPr>
              <w:t>13. Future Work</w:t>
              <w:tab/>
              <w:t>19</w:t>
            </w:r>
          </w:hyperlink>
        </w:p>
        <w:p>
          <w:pPr>
            <w:pStyle w:val="TOC1"/>
            <w:tabs>
              <w:tab w:val="clear" w:pos="9638"/>
              <w:tab w:val="right" w:pos="9637" w:leader="dot"/>
            </w:tabs>
            <w:rPr/>
          </w:pPr>
          <w:hyperlink w:anchor="__RefHeading___Toc3326_AgriContract" w:tooltip="14. Danh mục nguồn tham khảo">
            <w:r>
              <w:rPr>
                <w:rStyle w:val="IndexLink"/>
              </w:rPr>
              <w:t>14. Danh mục nguồn tham khảo</w:t>
              <w:tab/>
              <w:t>19</w:t>
            </w:r>
          </w:hyperlink>
          <w:r>
            <w:rPr>
              <w:rStyle w:val="IndexLink"/>
            </w:rPr>
            <w:fldChar w:fldCharType="end"/>
          </w:r>
        </w:p>
      </w:sdtContent>
    </w:sdt>
    <w:p>
      <w:pPr>
        <w:pStyle w:val="Normal"/>
        <w:rPr/>
      </w:pPr>
      <w:r>
        <w:rPr/>
      </w:r>
    </w:p>
    <w:p>
      <w:pPr>
        <w:pStyle w:val="Normal"/>
        <w:spacing w:before="240" w:after="0"/>
        <w:rPr/>
      </w:pPr>
      <w:r>
        <w:rPr/>
      </w:r>
      <w:r>
        <w:br w:type="page"/>
      </w:r>
    </w:p>
    <w:p>
      <w:pPr>
        <w:pStyle w:val="Heading1"/>
        <w:pBdr>
          <w:bottom w:val="single" w:sz="6" w:space="6" w:color="D1D5DB"/>
        </w:pBdr>
        <w:spacing w:before="0" w:after="120"/>
        <w:rPr/>
      </w:pPr>
      <w:bookmarkStart w:id="0" w:name="__RefHeading___Toc3238_AgriContract"/>
      <w:bookmarkEnd w:id="0"/>
      <w:r>
        <w:rPr>
          <w:rFonts w:eastAsia="Calibri" w:cs="Calibri" w:ascii="Calibri" w:hAnsi="Calibri"/>
          <w:b/>
          <w:bCs/>
          <w:color w:val="1F2A37"/>
          <w:sz w:val="30"/>
          <w:szCs w:val="30"/>
        </w:rPr>
        <w:t>Tóm tắt điều hành</w:t>
      </w:r>
    </w:p>
    <w:p>
      <w:pPr>
        <w:pStyle w:val="Normal"/>
        <w:spacing w:lineRule="auto" w:line="276" w:before="0" w:after="120"/>
        <w:jc w:val="both"/>
        <w:rPr/>
      </w:pPr>
      <w:r>
        <w:rPr>
          <w:rFonts w:eastAsia="Calibri" w:cs="Calibri"/>
          <w:b w:val="false"/>
          <w:bCs w:val="false"/>
          <w:i w:val="false"/>
          <w:iCs w:val="false"/>
          <w:color w:val="111827"/>
          <w:sz w:val="21"/>
          <w:szCs w:val="21"/>
        </w:rPr>
        <w:t xml:space="preserve">Kiến trúc mục tiêu gồm </w:t>
      </w:r>
      <w:r>
        <w:rPr>
          <w:rFonts w:eastAsia="Calibri" w:cs="Calibri"/>
          <w:b/>
          <w:bCs/>
          <w:i w:val="false"/>
          <w:iCs w:val="false"/>
          <w:color w:val="111827"/>
          <w:sz w:val="21"/>
          <w:szCs w:val="21"/>
        </w:rPr>
        <w:t>12 business services</w:t>
      </w:r>
      <w:r>
        <w:rPr>
          <w:rFonts w:eastAsia="Calibri" w:cs="Calibri"/>
          <w:b w:val="false"/>
          <w:bCs w:val="false"/>
          <w:i w:val="false"/>
          <w:iCs w:val="false"/>
          <w:color w:val="111827"/>
          <w:sz w:val="21"/>
          <w:szCs w:val="21"/>
        </w:rPr>
        <w:t xml:space="preserve"> và </w:t>
      </w:r>
      <w:r>
        <w:rPr>
          <w:rFonts w:eastAsia="Consolas" w:cs="Consolas" w:ascii="Consolas" w:hAnsi="Consolas"/>
          <w:b w:val="false"/>
          <w:bCs w:val="false"/>
          <w:i w:val="false"/>
          <w:iCs w:val="false"/>
          <w:color w:val="111827"/>
          <w:sz w:val="19"/>
          <w:szCs w:val="19"/>
        </w:rPr>
        <w:t>api-gateway</w:t>
      </w:r>
      <w:r>
        <w:rPr>
          <w:rFonts w:eastAsia="Calibri" w:cs="Calibri"/>
          <w:b w:val="false"/>
          <w:bCs w:val="false"/>
          <w:i w:val="false"/>
          <w:iCs w:val="false"/>
          <w:color w:val="111827"/>
          <w:sz w:val="21"/>
          <w:szCs w:val="21"/>
        </w:rPr>
        <w:t xml:space="preserve"> ở lớp biên. Signature/OTP thuộc </w:t>
      </w:r>
      <w:r>
        <w:rPr>
          <w:rFonts w:eastAsia="Consolas" w:cs="Consolas" w:ascii="Consolas" w:hAnsi="Consolas"/>
          <w:b w:val="false"/>
          <w:bCs w:val="false"/>
          <w:i w:val="false"/>
          <w:iCs w:val="false"/>
          <w:color w:val="111827"/>
          <w:sz w:val="19"/>
          <w:szCs w:val="19"/>
        </w:rPr>
        <w:t>contract-service</w:t>
      </w:r>
      <w:r>
        <w:rPr>
          <w:rFonts w:eastAsia="Calibri" w:cs="Calibri"/>
          <w:b w:val="false"/>
          <w:bCs w:val="false"/>
          <w:i w:val="false"/>
          <w:iCs w:val="false"/>
          <w:color w:val="111827"/>
          <w:sz w:val="21"/>
          <w:szCs w:val="21"/>
        </w:rPr>
        <w:t xml:space="preserve">; hash chain/anchor thuộc </w:t>
      </w:r>
      <w:r>
        <w:rPr>
          <w:rFonts w:eastAsia="Consolas" w:cs="Consolas" w:ascii="Consolas" w:hAnsi="Consolas"/>
          <w:b w:val="false"/>
          <w:bCs w:val="false"/>
          <w:i w:val="false"/>
          <w:iCs w:val="false"/>
          <w:color w:val="111827"/>
          <w:sz w:val="19"/>
          <w:szCs w:val="19"/>
        </w:rPr>
        <w:t>audit-service</w:t>
      </w:r>
      <w:r>
        <w:rPr>
          <w:rFonts w:eastAsia="Calibri" w:cs="Calibri"/>
          <w:b w:val="false"/>
          <w:bCs w:val="false"/>
          <w:i w:val="false"/>
          <w:iCs w:val="false"/>
          <w:color w:val="111827"/>
          <w:sz w:val="21"/>
          <w:szCs w:val="21"/>
        </w:rPr>
        <w:t>; gateway không được tính như business service. Hệ thống dùng database-per-service, transactional outbox và at-least-once messaging, nhưng đặt guard mạnh hơn trên đường tiền: bank ledger là sổ tiền authoritative, mỗi money leg có idempotency key riêng, và lifecycle terminal chỉ được commit sau ledger reconciliation + zero remaining lock.</w:t>
      </w:r>
    </w:p>
    <w:p>
      <w:pPr>
        <w:pStyle w:val="Normal"/>
        <w:spacing w:lineRule="auto" w:line="276" w:before="0" w:after="120"/>
        <w:jc w:val="both"/>
        <w:rPr/>
      </w:pPr>
      <w:r>
        <w:rPr>
          <w:rFonts w:eastAsia="Calibri" w:cs="Calibri"/>
          <w:b w:val="false"/>
          <w:bCs w:val="false"/>
          <w:i w:val="false"/>
          <w:iCs w:val="false"/>
          <w:color w:val="111827"/>
          <w:sz w:val="21"/>
          <w:szCs w:val="21"/>
        </w:rPr>
        <w:t xml:space="preserve">Phạm vi thực thi của đồ án chỉ là hợp đồng cà phê B2B nội địa Việt Nam. API write, product/listing, quality schema, pricing, template và document profile đều khóa </w:t>
      </w:r>
      <w:r>
        <w:rPr>
          <w:rFonts w:eastAsia="Consolas" w:cs="Consolas" w:ascii="Consolas" w:hAnsi="Consolas"/>
          <w:b w:val="false"/>
          <w:bCs w:val="false"/>
          <w:i w:val="false"/>
          <w:iCs w:val="false"/>
          <w:color w:val="111827"/>
          <w:sz w:val="19"/>
          <w:szCs w:val="19"/>
        </w:rPr>
        <w:t>COFFEE</w:t>
      </w:r>
      <w:r>
        <w:rPr>
          <w:rFonts w:eastAsia="Calibri" w:cs="Calibri"/>
          <w:b w:val="false"/>
          <w:bCs w:val="false"/>
          <w:i w:val="false"/>
          <w:iCs w:val="false"/>
          <w:color w:val="111827"/>
          <w:sz w:val="21"/>
          <w:szCs w:val="21"/>
        </w:rPr>
        <w:t>; dữ liệu commodity cũ chỉ được đọc/vận hành theo compatibility policy.</w:t>
      </w:r>
    </w:p>
    <w:p>
      <w:pPr>
        <w:pStyle w:val="Normal"/>
        <w:spacing w:lineRule="auto" w:line="276" w:before="0" w:after="120"/>
        <w:jc w:val="both"/>
        <w:rPr/>
      </w:pPr>
      <w:r>
        <w:rPr>
          <w:rFonts w:eastAsia="Calibri" w:cs="Calibri"/>
          <w:b w:val="false"/>
          <w:bCs w:val="false"/>
          <w:i w:val="false"/>
          <w:iCs w:val="false"/>
          <w:color w:val="111827"/>
          <w:sz w:val="21"/>
          <w:szCs w:val="21"/>
        </w:rPr>
        <w:t xml:space="preserve">Ranh giới quan trọng nhất là </w:t>
      </w:r>
      <w:r>
        <w:rPr>
          <w:rFonts w:eastAsia="Calibri" w:cs="Calibri"/>
          <w:b/>
          <w:bCs/>
          <w:i w:val="false"/>
          <w:iCs w:val="false"/>
          <w:color w:val="111827"/>
          <w:sz w:val="21"/>
          <w:szCs w:val="21"/>
        </w:rPr>
        <w:t>decision trước consequence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requestedBy</w:t>
      </w:r>
      <w:r>
        <w:rPr>
          <w:rFonts w:eastAsia="Calibri" w:cs="Calibri"/>
          <w:b w:val="false"/>
          <w:bCs w:val="false"/>
          <w:i w:val="false"/>
          <w:iCs w:val="false"/>
          <w:color w:val="111827"/>
          <w:sz w:val="21"/>
          <w:szCs w:val="21"/>
        </w:rPr>
        <w:t xml:space="preserve">, allegation và final attribution được tách. </w:t>
      </w:r>
      <w:r>
        <w:rPr>
          <w:rFonts w:eastAsia="Consolas" w:cs="Consolas" w:ascii="Consolas" w:hAnsi="Consolas"/>
          <w:b w:val="false"/>
          <w:bCs w:val="false"/>
          <w:i w:val="false"/>
          <w:iCs w:val="false"/>
          <w:color w:val="111827"/>
          <w:sz w:val="19"/>
          <w:szCs w:val="19"/>
        </w:rPr>
        <w:t>remedy.finalized</w:t>
      </w:r>
      <w:r>
        <w:rPr>
          <w:rFonts w:eastAsia="Calibri" w:cs="Calibri"/>
          <w:b w:val="false"/>
          <w:bCs w:val="false"/>
          <w:i w:val="false"/>
          <w:iCs w:val="false"/>
          <w:color w:val="111827"/>
          <w:sz w:val="21"/>
          <w:szCs w:val="21"/>
        </w:rPr>
        <w:t xml:space="preserve"> authoritative cho termination/remedy/quality-resolution money, contract-level deposit return và reputation lock; clean-path per-milestone money chạy qua </w:t>
      </w:r>
      <w:r>
        <w:rPr>
          <w:rFonts w:eastAsia="Consolas" w:cs="Consolas" w:ascii="Consolas" w:hAnsi="Consolas"/>
          <w:b w:val="false"/>
          <w:bCs w:val="false"/>
          <w:i w:val="false"/>
          <w:iCs w:val="false"/>
          <w:color w:val="111827"/>
          <w:sz w:val="19"/>
          <w:szCs w:val="19"/>
        </w:rPr>
        <w:t>milestone.settled</w:t>
      </w:r>
      <w:r>
        <w:rPr>
          <w:rFonts w:eastAsia="Calibri" w:cs="Calibri"/>
          <w:b w:val="false"/>
          <w:bCs w:val="false"/>
          <w:i w:val="false"/>
          <w:iCs w:val="false"/>
          <w:color w:val="111827"/>
          <w:sz w:val="21"/>
          <w:szCs w:val="21"/>
        </w:rPr>
        <w:t xml:space="preserve">; hai event không cùng phát cho một resolution. </w:t>
      </w:r>
      <w:r>
        <w:rPr>
          <w:rFonts w:eastAsia="Consolas" w:cs="Consolas" w:ascii="Consolas" w:hAnsi="Consolas"/>
          <w:b w:val="false"/>
          <w:bCs w:val="false"/>
          <w:i w:val="false"/>
          <w:iCs w:val="false"/>
          <w:color w:val="111827"/>
          <w:sz w:val="19"/>
          <w:szCs w:val="19"/>
        </w:rPr>
        <w:t>contract.settled</w:t>
      </w:r>
      <w:r>
        <w:rPr>
          <w:rFonts w:eastAsia="Calibri" w:cs="Calibri"/>
          <w:b w:val="false"/>
          <w:bCs w:val="false"/>
          <w:i w:val="false"/>
          <w:iCs w:val="false"/>
          <w:color w:val="111827"/>
          <w:sz w:val="21"/>
          <w:szCs w:val="21"/>
        </w:rPr>
        <w:t>/</w:t>
      </w:r>
      <w:r>
        <w:rPr>
          <w:rFonts w:eastAsia="Consolas" w:cs="Consolas" w:ascii="Consolas" w:hAnsi="Consolas"/>
          <w:b w:val="false"/>
          <w:bCs w:val="false"/>
          <w:i w:val="false"/>
          <w:iCs w:val="false"/>
          <w:color w:val="111827"/>
          <w:sz w:val="19"/>
          <w:szCs w:val="19"/>
        </w:rPr>
        <w:t>contract.terminated</w:t>
      </w:r>
      <w:r>
        <w:rPr>
          <w:rFonts w:eastAsia="Calibri" w:cs="Calibri"/>
          <w:b w:val="false"/>
          <w:bCs w:val="false"/>
          <w:i w:val="false"/>
          <w:iCs w:val="false"/>
          <w:color w:val="111827"/>
          <w:sz w:val="21"/>
          <w:szCs w:val="21"/>
        </w:rPr>
        <w:t xml:space="preserve"> chỉ phản ánh lifecycle/audit/analytics; bank và reputation không được consume chúng để release/seize/lock.</w:t>
      </w:r>
    </w:p>
    <w:p>
      <w:pPr>
        <w:pStyle w:val="Normal"/>
        <w:spacing w:lineRule="auto" w:line="276" w:before="0" w:after="120"/>
        <w:jc w:val="both"/>
        <w:rPr/>
      </w:pPr>
      <w:r>
        <w:rPr>
          <w:rFonts w:eastAsia="Calibri" w:cs="Calibri"/>
          <w:b w:val="false"/>
          <w:bCs w:val="false"/>
          <w:i w:val="false"/>
          <w:iCs w:val="false"/>
          <w:color w:val="111827"/>
          <w:sz w:val="21"/>
          <w:szCs w:val="21"/>
        </w:rPr>
        <w:t>Kiến trúc áp dụng các control zero-trust-oriented tại edge, internal route và External Verifier, nhưng không claim mô hình Zero Trust toàn diện. Bank thật, CA signature, external inspection production và một số DR/data integration vẫn ngoài phạm vi triển khai của đồ án.</w:t>
      </w:r>
    </w:p>
    <w:p>
      <w:pPr>
        <w:pStyle w:val="Heading1"/>
        <w:pBdr>
          <w:bottom w:val="single" w:sz="6" w:space="6" w:color="D1D5DB"/>
        </w:pBdr>
        <w:spacing w:before="320" w:after="120"/>
        <w:rPr/>
      </w:pPr>
      <w:bookmarkStart w:id="1" w:name="__RefHeading___Toc3240_AgriContract"/>
      <w:bookmarkEnd w:id="1"/>
      <w:r>
        <w:rPr>
          <w:rFonts w:eastAsia="Calibri" w:cs="Calibri" w:ascii="Calibri" w:hAnsi="Calibri"/>
          <w:b/>
          <w:bCs/>
          <w:color w:val="1F2A37"/>
          <w:sz w:val="30"/>
          <w:szCs w:val="30"/>
        </w:rPr>
        <w:t>1. Context, phạm vi và nguyên tắc</w:t>
      </w:r>
    </w:p>
    <w:p>
      <w:pPr>
        <w:pStyle w:val="Heading2"/>
        <w:spacing w:before="240" w:after="80"/>
        <w:rPr/>
      </w:pPr>
      <w:bookmarkStart w:id="2" w:name="__RefHeading___Toc3242_AgriContract"/>
      <w:bookmarkEnd w:id="2"/>
      <w:r>
        <w:rPr>
          <w:rFonts w:eastAsia="Calibri" w:cs="Calibri" w:ascii="Calibri" w:hAnsi="Calibri"/>
          <w:b/>
          <w:bCs/>
          <w:color w:val="1F2A37"/>
          <w:sz w:val="25"/>
          <w:szCs w:val="25"/>
        </w:rPr>
        <w:t>1.1 Context hệ thống</w:t>
      </w:r>
    </w:p>
    <w:p>
      <w:pPr>
        <w:pStyle w:val="Normal"/>
        <w:spacing w:lineRule="auto" w:line="276" w:before="0" w:after="120"/>
        <w:jc w:val="both"/>
        <w:rPr/>
      </w:pPr>
      <w:r>
        <w:rPr>
          <w:rFonts w:eastAsia="Calibri" w:cs="Calibri"/>
          <w:b w:val="false"/>
          <w:bCs w:val="false"/>
          <w:i w:val="false"/>
          <w:iCs w:val="false"/>
          <w:color w:val="111827"/>
          <w:sz w:val="21"/>
          <w:szCs w:val="21"/>
        </w:rPr>
        <w:t xml:space="preserve">External actors gồm Buyer, Seller, Inspector, Admin, Operator, External Verifier, tổ chức giám định Level 2, nhà cung cấp email/OTP, nguồn giá và custodian/ngân hàng. Tất cả request người dùng đi qua Nginx/API Gateway; </w:t>
      </w:r>
      <w:r>
        <w:rPr>
          <w:rFonts w:eastAsia="Consolas" w:cs="Consolas" w:ascii="Consolas" w:hAnsi="Consolas"/>
          <w:b w:val="false"/>
          <w:bCs w:val="false"/>
          <w:i w:val="false"/>
          <w:iCs w:val="false"/>
          <w:color w:val="111827"/>
          <w:sz w:val="19"/>
          <w:szCs w:val="19"/>
        </w:rPr>
        <w:t>/internal/**</w:t>
      </w:r>
      <w:r>
        <w:rPr>
          <w:rFonts w:eastAsia="Calibri" w:cs="Calibri"/>
          <w:b w:val="false"/>
          <w:bCs w:val="false"/>
          <w:i w:val="false"/>
          <w:iCs w:val="false"/>
          <w:color w:val="111827"/>
          <w:sz w:val="21"/>
          <w:szCs w:val="21"/>
        </w:rPr>
        <w:t xml:space="preserve"> chỉ cho service-to-service. External Verifier là ngoại lệ có endpoint ký ES256 trực tiếp tới bank-service qua route chuyên biệt, không JWT và không retry.</w:t>
      </w:r>
    </w:p>
    <w:p>
      <w:pPr>
        <w:pStyle w:val="Heading2"/>
        <w:spacing w:before="240" w:after="80"/>
        <w:rPr/>
      </w:pPr>
      <w:bookmarkStart w:id="3" w:name="__RefHeading___Toc3244_AgriContract"/>
      <w:bookmarkEnd w:id="3"/>
      <w:r>
        <w:rPr>
          <w:rFonts w:eastAsia="Calibri" w:cs="Calibri" w:ascii="Calibri" w:hAnsi="Calibri"/>
          <w:b/>
          <w:bCs/>
          <w:color w:val="1F2A37"/>
          <w:sz w:val="25"/>
          <w:szCs w:val="25"/>
        </w:rPr>
        <w:t>1.2 Nguyên tắc kiến trúc</w:t>
      </w:r>
    </w:p>
    <w:p>
      <w:pPr>
        <w:pStyle w:val="ListParagraph"/>
        <w:numPr>
          <w:ilvl w:val="0"/>
          <w:numId w:val="3"/>
        </w:numPr>
        <w:spacing w:lineRule="auto" w:line="276" w:before="0" w:after="60"/>
        <w:rPr/>
      </w:pPr>
      <w:r>
        <w:rPr>
          <w:rFonts w:eastAsia="Calibri" w:cs="Calibri"/>
          <w:b w:val="false"/>
          <w:bCs w:val="false"/>
          <w:i w:val="false"/>
          <w:iCs w:val="false"/>
          <w:color w:val="111827"/>
          <w:sz w:val="21"/>
          <w:szCs w:val="21"/>
        </w:rPr>
        <w:t>Business capability ownership rõ và database-per-service; không cross-service DB access.</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Rich aggregate/state transition; không để controller hoặc tầng truy cập dữ liệu tự sửa state.</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Outbox cùng local transaction; consumer idempotent; DLQ replay giữ event ID gốc.</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Số tiền chỉ authoritative ở bank ledger. escrow/contract giữ projection, expected legs và state, không tạo balance thứ hai.</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Decision side effect có canonical boundary; lifecycle/notification/analytics không được trở thành đường phạt song song.</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Immutability áp cho ledger/audit/lock facts; quyền xoá áp qua retention/legal hold/tombstone ở dữ liệu phù hợp.</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Fail-closed cho identity/eligibility/signing/listing/offer; analytics/notification không được chặn đường giao dịch cốt lõi trừ OTP synchronous.</w:t>
      </w:r>
    </w:p>
    <w:p>
      <w:pPr>
        <w:pStyle w:val="Heading1"/>
        <w:pBdr>
          <w:bottom w:val="single" w:sz="6" w:space="6" w:color="D1D5DB"/>
        </w:pBdr>
        <w:spacing w:before="320" w:after="120"/>
        <w:rPr/>
      </w:pPr>
      <w:bookmarkStart w:id="4" w:name="__RefHeading___Toc3246_AgriContract"/>
      <w:bookmarkEnd w:id="4"/>
      <w:r>
        <w:rPr>
          <w:rFonts w:eastAsia="Calibri" w:cs="Calibri" w:ascii="Calibri" w:hAnsi="Calibri"/>
          <w:b/>
          <w:bCs/>
          <w:color w:val="1F2A37"/>
          <w:sz w:val="30"/>
          <w:szCs w:val="30"/>
        </w:rPr>
        <w:t>2. Phân rã lớp và trust boundary</w:t>
      </w:r>
    </w:p>
    <w:tbl>
      <w:tblPr>
        <w:tblW w:w="9638" w:type="dxa"/>
        <w:jc w:val="start"/>
        <w:tblInd w:w="0" w:type="dxa"/>
        <w:tblLayout w:type="fixed"/>
        <w:tblCellMar>
          <w:top w:w="60" w:type="dxa"/>
          <w:start w:w="90" w:type="dxa"/>
          <w:bottom w:w="60" w:type="dxa"/>
          <w:end w:w="90" w:type="dxa"/>
        </w:tblCellMar>
      </w:tblPr>
      <w:tblGrid>
        <w:gridCol w:w="2531"/>
        <w:gridCol w:w="3476"/>
        <w:gridCol w:w="3631"/>
      </w:tblGrid>
      <w:tr>
        <w:trPr>
          <w:tblHeader w:val="true"/>
          <w:cantSplit w:val="true"/>
        </w:trPr>
        <w:tc>
          <w:tcPr>
            <w:tcW w:w="253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Lớp</w:t>
            </w:r>
          </w:p>
        </w:tc>
        <w:tc>
          <w:tcPr>
            <w:tcW w:w="3476"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Thành phần</w:t>
            </w:r>
          </w:p>
        </w:tc>
        <w:tc>
          <w:tcPr>
            <w:tcW w:w="363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Ranh giới</w:t>
            </w:r>
          </w:p>
        </w:tc>
      </w:tr>
      <w:tr>
        <w:trPr>
          <w:cantSplit w:val="true"/>
        </w:trPr>
        <w:tc>
          <w:tcPr>
            <w:tcW w:w="253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Edge</w:t>
            </w:r>
          </w:p>
        </w:tc>
        <w:tc>
          <w:tcPr>
            <w:tcW w:w="347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Nginx, api-gateway</w:t>
            </w:r>
          </w:p>
        </w:tc>
        <w:tc>
          <w:tcPr>
            <w:tcW w:w="363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TLS termination, size/rate/CORS, JWT, strip/overwrite identity header, coarse role; không fine-grained ownership</w:t>
            </w:r>
          </w:p>
        </w:tc>
      </w:tr>
      <w:tr>
        <w:trPr>
          <w:cantSplit w:val="true"/>
        </w:trPr>
        <w:tc>
          <w:tcPr>
            <w:tcW w:w="253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Business core</w:t>
            </w:r>
          </w:p>
        </w:tc>
        <w:tc>
          <w:tcPr>
            <w:tcW w:w="347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contract, escrow, bank, inspection, reputation</w:t>
            </w:r>
          </w:p>
        </w:tc>
        <w:tc>
          <w:tcPr>
            <w:tcW w:w="363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State/decision/money/trust facts; transaction và invariant quan trọng</w:t>
            </w:r>
          </w:p>
        </w:tc>
      </w:tr>
      <w:tr>
        <w:trPr>
          <w:cantSplit w:val="true"/>
        </w:trPr>
        <w:tc>
          <w:tcPr>
            <w:tcW w:w="253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Data/support</w:t>
            </w:r>
          </w:p>
        </w:tc>
        <w:tc>
          <w:tcPr>
            <w:tcW w:w="347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user, product, file, pricing, analytics, notification, audit</w:t>
            </w:r>
          </w:p>
        </w:tc>
        <w:tc>
          <w:tcPr>
            <w:tcW w:w="363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Eligibility, evidence, reference data, projection, delivery, verification</w:t>
            </w:r>
          </w:p>
        </w:tc>
      </w:tr>
      <w:tr>
        <w:trPr>
          <w:cantSplit w:val="true"/>
        </w:trPr>
        <w:tc>
          <w:tcPr>
            <w:tcW w:w="253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Infrastructure</w:t>
            </w:r>
          </w:p>
        </w:tc>
        <w:tc>
          <w:tcPr>
            <w:tcW w:w="347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RabbitMQ, MySQL schemas, MinIO, email/OTP, scheduler</w:t>
            </w:r>
          </w:p>
        </w:tc>
        <w:tc>
          <w:tcPr>
            <w:tcW w:w="363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At-least-once, persistence, blob lifecycle, external adapters</w:t>
            </w:r>
          </w:p>
        </w:tc>
      </w:tr>
    </w:tbl>
    <w:p>
      <w:pPr>
        <w:pStyle w:val="Normal"/>
        <w:spacing w:lineRule="auto" w:line="276" w:before="0" w:after="120"/>
        <w:jc w:val="both"/>
        <w:rPr/>
      </w:pPr>
      <w:r>
        <w:rPr>
          <w:rFonts w:eastAsia="Calibri" w:cs="Calibri"/>
          <w:b w:val="false"/>
          <w:bCs w:val="false"/>
          <w:i w:val="false"/>
          <w:iCs w:val="false"/>
          <w:color w:val="111827"/>
          <w:sz w:val="21"/>
          <w:szCs w:val="21"/>
        </w:rPr>
        <w:t xml:space="preserve">Gateway không route </w:t>
      </w:r>
      <w:r>
        <w:rPr>
          <w:rFonts w:eastAsia="Consolas" w:cs="Consolas" w:ascii="Consolas" w:hAnsi="Consolas"/>
          <w:b w:val="false"/>
          <w:bCs w:val="false"/>
          <w:i w:val="false"/>
          <w:iCs w:val="false"/>
          <w:color w:val="111827"/>
          <w:sz w:val="19"/>
          <w:szCs w:val="19"/>
        </w:rPr>
        <w:t>/internal/**</w:t>
      </w:r>
      <w:r>
        <w:rPr>
          <w:rFonts w:eastAsia="Calibri" w:cs="Calibri"/>
          <w:b w:val="false"/>
          <w:bCs w:val="false"/>
          <w:i w:val="false"/>
          <w:iCs w:val="false"/>
          <w:color w:val="111827"/>
          <w:sz w:val="21"/>
          <w:szCs w:val="21"/>
        </w:rPr>
        <w:t xml:space="preserve">; downstream không tin </w:t>
      </w:r>
      <w:r>
        <w:rPr>
          <w:rFonts w:eastAsia="Consolas" w:cs="Consolas" w:ascii="Consolas" w:hAnsi="Consolas"/>
          <w:b w:val="false"/>
          <w:bCs w:val="false"/>
          <w:i w:val="false"/>
          <w:iCs w:val="false"/>
          <w:color w:val="111827"/>
          <w:sz w:val="19"/>
          <w:szCs w:val="19"/>
        </w:rPr>
        <w:t>X-User-*</w:t>
      </w:r>
      <w:r>
        <w:rPr>
          <w:rFonts w:eastAsia="Calibri" w:cs="Calibri"/>
          <w:b w:val="false"/>
          <w:bCs w:val="false"/>
          <w:i w:val="false"/>
          <w:iCs w:val="false"/>
          <w:color w:val="111827"/>
          <w:sz w:val="21"/>
          <w:szCs w:val="21"/>
        </w:rPr>
        <w:t xml:space="preserve"> do client cung cấp. Owner service luôn kiểm tra participant/ownership. External Verifier request bị cap 64 KB, canonicalized, verify key/timestamp/nonce/action và không có Admin bypass.</w:t>
      </w:r>
    </w:p>
    <w:p>
      <w:pPr>
        <w:pStyle w:val="Heading1"/>
        <w:pBdr>
          <w:bottom w:val="single" w:sz="6" w:space="6" w:color="D1D5DB"/>
        </w:pBdr>
        <w:spacing w:before="320" w:after="120"/>
        <w:rPr/>
      </w:pPr>
      <w:bookmarkStart w:id="5" w:name="__RefHeading___Toc3248_AgriContract"/>
      <w:bookmarkEnd w:id="5"/>
      <w:r>
        <w:rPr>
          <w:rFonts w:eastAsia="Calibri" w:cs="Calibri" w:ascii="Calibri" w:hAnsi="Calibri"/>
          <w:b/>
          <w:bCs/>
          <w:color w:val="1F2A37"/>
          <w:sz w:val="30"/>
          <w:szCs w:val="30"/>
        </w:rPr>
        <w:t>3. Service ownership</w:t>
      </w:r>
    </w:p>
    <w:tbl>
      <w:tblPr>
        <w:tblW w:w="9638" w:type="dxa"/>
        <w:jc w:val="start"/>
        <w:tblInd w:w="0" w:type="dxa"/>
        <w:tblLayout w:type="fixed"/>
        <w:tblCellMar>
          <w:top w:w="60" w:type="dxa"/>
          <w:start w:w="90" w:type="dxa"/>
          <w:bottom w:w="60" w:type="dxa"/>
          <w:end w:w="90" w:type="dxa"/>
        </w:tblCellMar>
      </w:tblPr>
      <w:tblGrid>
        <w:gridCol w:w="1638"/>
        <w:gridCol w:w="2154"/>
        <w:gridCol w:w="1559"/>
        <w:gridCol w:w="2128"/>
        <w:gridCol w:w="2159"/>
      </w:tblGrid>
      <w:tr>
        <w:trPr>
          <w:tblHeader w:val="true"/>
          <w:cantSplit w:val="true"/>
        </w:trPr>
        <w:tc>
          <w:tcPr>
            <w:tcW w:w="16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Service</w:t>
            </w:r>
          </w:p>
        </w:tc>
        <w:tc>
          <w:tcPr>
            <w:tcW w:w="2154"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Năng lực sở hữu</w:t>
            </w:r>
          </w:p>
        </w:tc>
        <w:tc>
          <w:tcPr>
            <w:tcW w:w="155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Storage</w:t>
            </w:r>
          </w:p>
        </w:tc>
        <w:tc>
          <w:tcPr>
            <w:tcW w:w="212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Tương tác chính</w:t>
            </w:r>
          </w:p>
        </w:tc>
        <w:tc>
          <w:tcPr>
            <w:tcW w:w="215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Boundary quan trọng</w:t>
            </w:r>
          </w:p>
        </w:tc>
      </w:tr>
      <w:tr>
        <w:trPr>
          <w:cantSplit w:val="true"/>
        </w:trPr>
        <w:tc>
          <w:tcPr>
            <w:tcW w:w="16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user-service</w:t>
            </w:r>
          </w:p>
        </w:tc>
        <w:tc>
          <w:tcPr>
            <w:tcW w:w="21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Identity, KYC, role, eligibility và lock projection</w:t>
            </w:r>
          </w:p>
        </w:tc>
        <w:tc>
          <w:tcPr>
            <w:tcW w:w="155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user_db</w:t>
            </w:r>
          </w:p>
        </w:tc>
        <w:tc>
          <w:tcPr>
            <w:tcW w:w="212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user KYC/lock commands; internal eligibility API</w:t>
            </w:r>
          </w:p>
        </w:tc>
        <w:tc>
          <w:tcPr>
            <w:tcW w:w="215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Không sở hữu reputation ledger</w:t>
            </w:r>
          </w:p>
        </w:tc>
      </w:tr>
      <w:tr>
        <w:trPr>
          <w:cantSplit w:val="true"/>
        </w:trPr>
        <w:tc>
          <w:tcPr>
            <w:tcW w:w="16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product-service</w:t>
            </w:r>
          </w:p>
        </w:tc>
        <w:tc>
          <w:tcPr>
            <w:tcW w:w="21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Plot registry, product/listing, commodity gate, geo/yield risk</w:t>
            </w:r>
          </w:p>
        </w:tc>
        <w:tc>
          <w:tcPr>
            <w:tcW w:w="155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product_db</w:t>
            </w:r>
          </w:p>
        </w:tc>
        <w:tc>
          <w:tcPr>
            <w:tcW w:w="212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user eligibility; file.ready</w:t>
            </w:r>
          </w:p>
        </w:tc>
        <w:tc>
          <w:tcPr>
            <w:tcW w:w="215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Plot là seller-owned; overlap là signal</w:t>
            </w:r>
          </w:p>
        </w:tc>
      </w:tr>
      <w:tr>
        <w:trPr>
          <w:cantSplit w:val="true"/>
        </w:trPr>
        <w:tc>
          <w:tcPr>
            <w:tcW w:w="16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1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 milestone, consent/signature/OTP, template/document, attribution, remedy, termination</w:t>
            </w:r>
          </w:p>
        </w:tc>
        <w:tc>
          <w:tcPr>
            <w:tcW w:w="155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contract_db</w:t>
            </w:r>
          </w:p>
        </w:tc>
        <w:tc>
          <w:tcPr>
            <w:tcW w:w="212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REST commands; domain events; internal user/OTP/file</w:t>
            </w:r>
          </w:p>
        </w:tc>
        <w:tc>
          <w:tcPr>
            <w:tcW w:w="215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Owner duy nhất của business decision, lifecycle và immutable contract representation metadata</w:t>
            </w:r>
          </w:p>
        </w:tc>
      </w:tr>
      <w:tr>
        <w:trPr>
          <w:cantSplit w:val="true"/>
        </w:trPr>
        <w:tc>
          <w:tcPr>
            <w:tcW w:w="16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escrow-service</w:t>
            </w:r>
          </w:p>
        </w:tc>
        <w:tc>
          <w:tcPr>
            <w:tcW w:w="21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Projection escrow và chuyển remedy legs thành bank commands</w:t>
            </w:r>
          </w:p>
        </w:tc>
        <w:tc>
          <w:tcPr>
            <w:tcW w:w="155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escrow_db</w:t>
            </w:r>
          </w:p>
        </w:tc>
        <w:tc>
          <w:tcPr>
            <w:tcW w:w="212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contract.signed, remedy.finalized, milestone outcomes, bank results</w:t>
            </w:r>
          </w:p>
        </w:tc>
        <w:tc>
          <w:tcPr>
            <w:tcW w:w="215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Không sở hữu sổ tiền authoritative</w:t>
            </w:r>
          </w:p>
        </w:tc>
      </w:tr>
      <w:tr>
        <w:trPr>
          <w:cantSplit w:val="true"/>
        </w:trPr>
        <w:tc>
          <w:tcPr>
            <w:tcW w:w="16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bank-service</w:t>
            </w:r>
          </w:p>
        </w:tc>
        <w:tc>
          <w:tcPr>
            <w:tcW w:w="21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Append-only monetary ledger, lock/release/refund/seize, security lock</w:t>
            </w:r>
          </w:p>
        </w:tc>
        <w:tc>
          <w:tcPr>
            <w:tcW w:w="155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bank_db</w:t>
            </w:r>
          </w:p>
        </w:tc>
        <w:tc>
          <w:tcPr>
            <w:tcW w:w="212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bank.</w:t>
            </w:r>
            <w:r>
              <w:rPr>
                <w:rFonts w:eastAsia="Calibri" w:cs="Calibri"/>
                <w:b w:val="false"/>
                <w:bCs w:val="false"/>
                <w:i/>
                <w:iCs/>
                <w:color w:val="111827"/>
                <w:sz w:val="17"/>
                <w:szCs w:val="17"/>
              </w:rPr>
              <w:t>_requested; structuring signal; external verifier</w:t>
            </w:r>
          </w:p>
        </w:tc>
        <w:tc>
          <w:tcPr>
            <w:tcW w:w="215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Sở hữu sổ tiền authoritative</w:t>
            </w:r>
          </w:p>
        </w:tc>
      </w:tr>
      <w:tr>
        <w:trPr>
          <w:cantSplit w:val="true"/>
        </w:trPr>
        <w:tc>
          <w:tcPr>
            <w:tcW w:w="16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inspection-service</w:t>
            </w:r>
          </w:p>
        </w:tc>
        <w:tc>
          <w:tcPr>
            <w:tcW w:w="21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Level 1.5/2 commission, result/report hash, confirmation</w:t>
            </w:r>
          </w:p>
        </w:tc>
        <w:tc>
          <w:tcPr>
            <w:tcW w:w="155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inspection_db</w:t>
            </w:r>
          </w:p>
        </w:tc>
        <w:tc>
          <w:tcPr>
            <w:tcW w:w="212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contract/milestone commands, file.ready</w:t>
            </w:r>
          </w:p>
        </w:tc>
        <w:tc>
          <w:tcPr>
            <w:tcW w:w="215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Không ra phán quyết pháp lý</w:t>
            </w:r>
          </w:p>
        </w:tc>
      </w:tr>
      <w:tr>
        <w:trPr>
          <w:cantSplit w:val="true"/>
        </w:trPr>
        <w:tc>
          <w:tcPr>
            <w:tcW w:w="16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reputation-service</w:t>
            </w:r>
          </w:p>
        </w:tc>
        <w:tc>
          <w:tcPr>
            <w:tcW w:w="21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Immutable completion/dispute/lock facts và derived score</w:t>
            </w:r>
          </w:p>
        </w:tc>
        <w:tc>
          <w:tcPr>
            <w:tcW w:w="155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reputation_db</w:t>
            </w:r>
          </w:p>
        </w:tc>
        <w:tc>
          <w:tcPr>
            <w:tcW w:w="212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remedy.finalized, settled facts, risk signals</w:t>
            </w:r>
          </w:p>
        </w:tc>
        <w:tc>
          <w:tcPr>
            <w:tcW w:w="215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Negative consequence chỉ từ remedy.finalized</w:t>
            </w:r>
          </w:p>
        </w:tc>
      </w:tr>
      <w:tr>
        <w:trPr>
          <w:cantSplit w:val="true"/>
        </w:trPr>
        <w:tc>
          <w:tcPr>
            <w:tcW w:w="16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audit-service</w:t>
            </w:r>
          </w:p>
        </w:tc>
        <w:tc>
          <w:tcPr>
            <w:tcW w:w="21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Append-only dual hash chain, anchor, verify, evidence query</w:t>
            </w:r>
          </w:p>
        </w:tc>
        <w:tc>
          <w:tcPr>
            <w:tcW w:w="155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audit_db</w:t>
            </w:r>
          </w:p>
        </w:tc>
        <w:tc>
          <w:tcPr>
            <w:tcW w:w="212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evidence/security/domain events</w:t>
            </w:r>
          </w:p>
        </w:tc>
        <w:tc>
          <w:tcPr>
            <w:tcW w:w="215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Không sửa source facts; dedup source_event_id</w:t>
            </w:r>
          </w:p>
        </w:tc>
      </w:tr>
      <w:tr>
        <w:trPr>
          <w:cantSplit w:val="true"/>
        </w:trPr>
        <w:tc>
          <w:tcPr>
            <w:tcW w:w="16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file-service</w:t>
            </w:r>
          </w:p>
        </w:tc>
        <w:tc>
          <w:tcPr>
            <w:tcW w:w="21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Three trust-boundary ingests, malware scan, retention/legal hold</w:t>
            </w:r>
          </w:p>
        </w:tc>
        <w:tc>
          <w:tcPr>
            <w:tcW w:w="155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file_db + MinIO</w:t>
            </w:r>
          </w:p>
        </w:tc>
        <w:tc>
          <w:tcPr>
            <w:tcW w:w="212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upload/email/system-generated; file events</w:t>
            </w:r>
          </w:p>
        </w:tc>
        <w:tc>
          <w:tcPr>
            <w:tcW w:w="215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READY gate trước khi thành evidence</w:t>
            </w:r>
          </w:p>
        </w:tc>
      </w:tr>
      <w:tr>
        <w:trPr>
          <w:cantSplit w:val="true"/>
        </w:trPr>
        <w:tc>
          <w:tcPr>
            <w:tcW w:w="16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pricing-service</w:t>
            </w:r>
          </w:p>
        </w:tc>
        <w:tc>
          <w:tcPr>
            <w:tcW w:w="21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PriceQuote, VNSAT/manual ingestion và read API</w:t>
            </w:r>
          </w:p>
        </w:tc>
        <w:tc>
          <w:tcPr>
            <w:tcW w:w="155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pricing_db</w:t>
            </w:r>
          </w:p>
        </w:tc>
        <w:tc>
          <w:tcPr>
            <w:tcW w:w="212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scheduled/admin ingestion</w:t>
            </w:r>
          </w:p>
        </w:tc>
        <w:tc>
          <w:tcPr>
            <w:tcW w:w="215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Không là settlement engine</w:t>
            </w:r>
          </w:p>
        </w:tc>
      </w:tr>
      <w:tr>
        <w:trPr>
          <w:cantSplit w:val="true"/>
        </w:trPr>
        <w:tc>
          <w:tcPr>
            <w:tcW w:w="16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analytics-service</w:t>
            </w:r>
          </w:p>
        </w:tc>
        <w:tc>
          <w:tcPr>
            <w:tcW w:w="21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CQRS read models, monthly recompute, AML structuring signals</w:t>
            </w:r>
          </w:p>
        </w:tc>
        <w:tc>
          <w:tcPr>
            <w:tcW w:w="155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analytics_db</w:t>
            </w:r>
          </w:p>
        </w:tc>
        <w:tc>
          <w:tcPr>
            <w:tcW w:w="212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domain/ledger facts</w:t>
            </w:r>
          </w:p>
        </w:tc>
        <w:tc>
          <w:tcPr>
            <w:tcW w:w="215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Non-critical; catch-up queue backlog only</w:t>
            </w:r>
          </w:p>
        </w:tc>
      </w:tr>
      <w:tr>
        <w:trPr>
          <w:cantSplit w:val="true"/>
        </w:trPr>
        <w:tc>
          <w:tcPr>
            <w:tcW w:w="16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notification-service</w:t>
            </w:r>
          </w:p>
        </w:tc>
        <w:tc>
          <w:tcPr>
            <w:tcW w:w="21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Template delivery, evidence attachment, OTP sync</w:t>
            </w:r>
          </w:p>
        </w:tc>
        <w:tc>
          <w:tcPr>
            <w:tcW w:w="155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notification_db</w:t>
            </w:r>
          </w:p>
        </w:tc>
        <w:tc>
          <w:tcPr>
            <w:tcW w:w="212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notification commands; internal OTP API</w:t>
            </w:r>
          </w:p>
        </w:tc>
        <w:tc>
          <w:tcPr>
            <w:tcW w:w="215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Không consume business event để tạo sanction</w:t>
            </w:r>
          </w:p>
        </w:tc>
      </w:tr>
    </w:tbl>
    <w:p>
      <w:pPr>
        <w:pStyle w:val="Heading2"/>
        <w:spacing w:before="240" w:after="80"/>
        <w:rPr/>
      </w:pPr>
      <w:bookmarkStart w:id="6" w:name="__RefHeading___Toc3250_AgriContract"/>
      <w:bookmarkEnd w:id="6"/>
      <w:r>
        <w:rPr>
          <w:rFonts w:eastAsia="Calibri" w:cs="Calibri" w:ascii="Calibri" w:hAnsi="Calibri"/>
          <w:b/>
          <w:bCs/>
          <w:color w:val="1F2A37"/>
          <w:sz w:val="25"/>
          <w:szCs w:val="25"/>
        </w:rPr>
        <w:t>3.1 Ownership của decision và lifecycle</w:t>
      </w:r>
    </w:p>
    <w:p>
      <w:pPr>
        <w:pStyle w:val="Normal"/>
        <w:spacing w:lineRule="auto" w:line="276" w:before="0" w:after="120"/>
        <w:jc w:val="both"/>
        <w:rPr/>
      </w:pPr>
      <w:r>
        <w:rPr>
          <w:rFonts w:eastAsia="Consolas" w:cs="Consolas" w:ascii="Consolas" w:hAnsi="Consolas"/>
          <w:b w:val="false"/>
          <w:bCs w:val="false"/>
          <w:i w:val="false"/>
          <w:iCs w:val="false"/>
          <w:color w:val="111827"/>
          <w:sz w:val="19"/>
          <w:szCs w:val="19"/>
        </w:rPr>
        <w:t>contract-service</w:t>
      </w:r>
      <w:r>
        <w:rPr>
          <w:rFonts w:eastAsia="Calibri" w:cs="Calibri"/>
          <w:b w:val="false"/>
          <w:bCs w:val="false"/>
          <w:i w:val="false"/>
          <w:iCs w:val="false"/>
          <w:color w:val="111827"/>
          <w:sz w:val="21"/>
          <w:szCs w:val="21"/>
        </w:rPr>
        <w:t xml:space="preserve"> sở hữu </w:t>
      </w:r>
      <w:r>
        <w:rPr>
          <w:rFonts w:eastAsia="Consolas" w:cs="Consolas" w:ascii="Consolas" w:hAnsi="Consolas"/>
          <w:b w:val="false"/>
          <w:bCs w:val="false"/>
          <w:i w:val="false"/>
          <w:iCs w:val="false"/>
          <w:color w:val="111827"/>
          <w:sz w:val="19"/>
          <w:szCs w:val="19"/>
        </w:rPr>
        <w:t>BreachCase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AttributionDecision</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RemedyDecision</w:t>
      </w:r>
      <w:r>
        <w:rPr>
          <w:rFonts w:eastAsia="Calibri" w:cs="Calibri"/>
          <w:b w:val="false"/>
          <w:bCs w:val="false"/>
          <w:i w:val="false"/>
          <w:iCs w:val="false"/>
          <w:color w:val="111827"/>
          <w:sz w:val="21"/>
          <w:szCs w:val="21"/>
        </w:rPr>
        <w:t xml:space="preserve">, contract/milestone state và phát </w:t>
      </w:r>
      <w:r>
        <w:rPr>
          <w:rFonts w:eastAsia="Consolas" w:cs="Consolas" w:ascii="Consolas" w:hAnsi="Consolas"/>
          <w:b w:val="false"/>
          <w:bCs w:val="false"/>
          <w:i w:val="false"/>
          <w:iCs w:val="false"/>
          <w:color w:val="111827"/>
          <w:sz w:val="19"/>
          <w:szCs w:val="19"/>
        </w:rPr>
        <w:t>remedy.finalized</w:t>
      </w:r>
      <w:r>
        <w:rPr>
          <w:rFonts w:eastAsia="Calibri" w:cs="Calibri"/>
          <w:b w:val="false"/>
          <w:bCs w:val="false"/>
          <w:i w:val="false"/>
          <w:iCs w:val="false"/>
          <w:color w:val="111827"/>
          <w:sz w:val="21"/>
          <w:szCs w:val="21"/>
        </w:rPr>
        <w:t>. escrow-service chỉ dịch từng remedy leg thành bank command; bank-service chỉ thực hiện ledger effect. reputation-service chỉ tạo lock khi payload final cho phép. Cách phân rã này ngăn việc allegation, request initiator hoặc lifecycle event bị biến thành money/reputation consequence.</w:t>
      </w:r>
    </w:p>
    <w:p>
      <w:pPr>
        <w:pStyle w:val="Heading2"/>
        <w:spacing w:before="240" w:after="80"/>
        <w:rPr/>
      </w:pPr>
      <w:bookmarkStart w:id="7" w:name="__RefHeading___Toc3252_AgriContract"/>
      <w:bookmarkEnd w:id="7"/>
      <w:r>
        <w:rPr>
          <w:rFonts w:eastAsia="Calibri" w:cs="Calibri" w:ascii="Calibri" w:hAnsi="Calibri"/>
          <w:b/>
          <w:bCs/>
          <w:color w:val="1F2A37"/>
          <w:sz w:val="25"/>
          <w:szCs w:val="25"/>
        </w:rPr>
        <w:t>3.2 Ownership của signature và evidence</w:t>
      </w:r>
    </w:p>
    <w:p>
      <w:pPr>
        <w:pStyle w:val="Normal"/>
        <w:spacing w:lineRule="auto" w:line="276" w:before="0" w:after="120"/>
        <w:jc w:val="both"/>
        <w:rPr/>
      </w:pPr>
      <w:r>
        <w:rPr>
          <w:rFonts w:eastAsia="Calibri" w:cs="Calibri"/>
          <w:b w:val="false"/>
          <w:bCs w:val="false"/>
          <w:i w:val="false"/>
          <w:iCs w:val="false"/>
          <w:color w:val="111827"/>
          <w:sz w:val="21"/>
          <w:szCs w:val="21"/>
        </w:rPr>
        <w:t xml:space="preserve">Consent/signature/OTP challenge là domain con của contract-service vì phải binding với exact action, statement, terms hash và state. </w:t>
      </w:r>
      <w:r>
        <w:rPr>
          <w:rFonts w:eastAsia="Consolas" w:cs="Consolas" w:ascii="Consolas" w:hAnsi="Consolas"/>
          <w:b w:val="false"/>
          <w:bCs w:val="false"/>
          <w:i w:val="false"/>
          <w:iCs w:val="false"/>
          <w:color w:val="111827"/>
          <w:sz w:val="19"/>
          <w:szCs w:val="19"/>
        </w:rPr>
        <w:t>ContractTemplateProfile</w:t>
      </w:r>
      <w:r>
        <w:rPr>
          <w:rFonts w:eastAsia="Calibri" w:cs="Calibri"/>
          <w:b w:val="false"/>
          <w:bCs w:val="false"/>
          <w:i w:val="false"/>
          <w:iCs w:val="false"/>
          <w:color w:val="111827"/>
          <w:sz w:val="21"/>
          <w:szCs w:val="21"/>
        </w:rPr>
        <w:t xml:space="preserve"> và </w:t>
      </w:r>
      <w:r>
        <w:rPr>
          <w:rFonts w:eastAsia="Consolas" w:cs="Consolas" w:ascii="Consolas" w:hAnsi="Consolas"/>
          <w:b w:val="false"/>
          <w:bCs w:val="false"/>
          <w:i w:val="false"/>
          <w:iCs w:val="false"/>
          <w:color w:val="111827"/>
          <w:sz w:val="19"/>
          <w:szCs w:val="19"/>
        </w:rPr>
        <w:t>ContractDocument</w:t>
      </w:r>
      <w:r>
        <w:rPr>
          <w:rFonts w:eastAsia="Calibri" w:cs="Calibri"/>
          <w:b w:val="false"/>
          <w:bCs w:val="false"/>
          <w:i w:val="false"/>
          <w:iCs w:val="false"/>
          <w:color w:val="111827"/>
          <w:sz w:val="21"/>
          <w:szCs w:val="21"/>
        </w:rPr>
        <w:t xml:space="preserve"> metadata cũng do contract-service sở hữu; file-service chỉ giữ blob đã scan/hashed. audit-service sở hữu audit record/hash/anchor; inspection-service sở hữu result/report commitment. </w:t>
      </w:r>
      <w:r>
        <w:rPr>
          <w:rFonts w:eastAsia="Consolas" w:cs="Consolas" w:ascii="Consolas" w:hAnsi="Consolas"/>
          <w:b w:val="false"/>
          <w:bCs w:val="false"/>
          <w:i w:val="false"/>
          <w:iCs w:val="false"/>
          <w:color w:val="111827"/>
          <w:sz w:val="19"/>
          <w:szCs w:val="19"/>
        </w:rPr>
        <w:t>signedContentHash</w:t>
      </w:r>
      <w:r>
        <w:rPr>
          <w:rFonts w:eastAsia="Calibri" w:cs="Calibri"/>
          <w:b w:val="false"/>
          <w:bCs w:val="false"/>
          <w:i w:val="false"/>
          <w:iCs w:val="false"/>
          <w:color w:val="111827"/>
          <w:sz w:val="21"/>
          <w:szCs w:val="21"/>
        </w:rPr>
        <w:t>/</w:t>
      </w:r>
      <w:r>
        <w:rPr>
          <w:rFonts w:eastAsia="Consolas" w:cs="Consolas" w:ascii="Consolas" w:hAnsi="Consolas"/>
          <w:b w:val="false"/>
          <w:bCs w:val="false"/>
          <w:i w:val="false"/>
          <w:iCs w:val="false"/>
          <w:color w:val="111827"/>
          <w:sz w:val="19"/>
          <w:szCs w:val="19"/>
        </w:rPr>
        <w:t>sourceContentHash</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documentFileHash</w:t>
      </w:r>
      <w:r>
        <w:rPr>
          <w:rFonts w:eastAsia="Calibri" w:cs="Calibri"/>
          <w:b w:val="false"/>
          <w:bCs w:val="false"/>
          <w:i w:val="false"/>
          <w:iCs w:val="false"/>
          <w:color w:val="111827"/>
          <w:sz w:val="21"/>
          <w:szCs w:val="21"/>
        </w:rPr>
        <w:t>, report/result hash và audit record hash có mục tiêu khác nhau, không được trộn thành một “hash chung”.</w:t>
      </w:r>
    </w:p>
    <w:p>
      <w:pPr>
        <w:pStyle w:val="Heading1"/>
        <w:pBdr>
          <w:bottom w:val="single" w:sz="6" w:space="6" w:color="D1D5DB"/>
        </w:pBdr>
        <w:spacing w:before="320" w:after="120"/>
        <w:rPr/>
      </w:pPr>
      <w:bookmarkStart w:id="8" w:name="__RefHeading___Toc3254_AgriContract"/>
      <w:bookmarkEnd w:id="8"/>
      <w:r>
        <w:rPr>
          <w:rFonts w:eastAsia="Calibri" w:cs="Calibri" w:ascii="Calibri" w:hAnsi="Calibri"/>
          <w:b/>
          <w:bCs/>
          <w:color w:val="1F2A37"/>
          <w:sz w:val="30"/>
          <w:szCs w:val="30"/>
        </w:rPr>
        <w:t>4. Integration model và consistency</w:t>
      </w:r>
    </w:p>
    <w:p>
      <w:pPr>
        <w:pStyle w:val="Heading2"/>
        <w:spacing w:before="240" w:after="80"/>
        <w:rPr/>
      </w:pPr>
      <w:bookmarkStart w:id="9" w:name="__RefHeading___Toc3256_AgriContract"/>
      <w:bookmarkEnd w:id="9"/>
      <w:r>
        <w:rPr>
          <w:rFonts w:eastAsia="Calibri" w:cs="Calibri" w:ascii="Calibri" w:hAnsi="Calibri"/>
          <w:b/>
          <w:bCs/>
          <w:color w:val="1F2A37"/>
          <w:sz w:val="25"/>
          <w:szCs w:val="25"/>
        </w:rPr>
        <w:t>4.1 Đồng bộ</w:t>
      </w:r>
    </w:p>
    <w:p>
      <w:pPr>
        <w:pStyle w:val="Normal"/>
        <w:spacing w:lineRule="auto" w:line="276" w:before="0" w:after="120"/>
        <w:jc w:val="both"/>
        <w:rPr/>
      </w:pPr>
      <w:r>
        <w:rPr>
          <w:rFonts w:eastAsia="Calibri" w:cs="Calibri"/>
          <w:b w:val="false"/>
          <w:bCs w:val="false"/>
          <w:i w:val="false"/>
          <w:iCs w:val="false"/>
          <w:color w:val="111827"/>
          <w:sz w:val="21"/>
          <w:szCs w:val="21"/>
        </w:rPr>
        <w:t xml:space="preserve">REST chỉ dùng khi caller cần kết quả ngay: command từ UI, internal eligibility, OTP delivery, audit/ledger query phục vụ reconciliation. Mọi write endpoint yêu cầu </w:t>
      </w:r>
      <w:r>
        <w:rPr>
          <w:rFonts w:eastAsia="Consolas" w:cs="Consolas" w:ascii="Consolas" w:hAnsi="Consolas"/>
          <w:b w:val="false"/>
          <w:bCs w:val="false"/>
          <w:i w:val="false"/>
          <w:iCs w:val="false"/>
          <w:color w:val="111827"/>
          <w:sz w:val="19"/>
          <w:szCs w:val="19"/>
        </w:rPr>
        <w:t>Idempotency-Key</w:t>
      </w:r>
      <w:r>
        <w:rPr>
          <w:rFonts w:eastAsia="Calibri" w:cs="Calibri"/>
          <w:b w:val="false"/>
          <w:bCs w:val="false"/>
          <w:i w:val="false"/>
          <w:iCs w:val="false"/>
          <w:color w:val="111827"/>
          <w:sz w:val="21"/>
          <w:szCs w:val="21"/>
        </w:rPr>
        <w:t xml:space="preserve"> theo OpenAPI; identity từ JWT/service auth, không từ body/header client.</w:t>
      </w:r>
    </w:p>
    <w:p>
      <w:pPr>
        <w:pStyle w:val="Heading2"/>
        <w:spacing w:before="240" w:after="80"/>
        <w:rPr/>
      </w:pPr>
      <w:bookmarkStart w:id="10" w:name="__RefHeading___Toc3258_AgriContract"/>
      <w:bookmarkEnd w:id="10"/>
      <w:r>
        <w:rPr>
          <w:rFonts w:eastAsia="Calibri" w:cs="Calibri" w:ascii="Calibri" w:hAnsi="Calibri"/>
          <w:b/>
          <w:bCs/>
          <w:color w:val="1F2A37"/>
          <w:sz w:val="25"/>
          <w:szCs w:val="25"/>
        </w:rPr>
        <w:t>4.2 Bất đồng bộ</w:t>
      </w:r>
    </w:p>
    <w:p>
      <w:pPr>
        <w:pStyle w:val="Normal"/>
        <w:spacing w:lineRule="auto" w:line="276" w:before="0" w:after="120"/>
        <w:jc w:val="both"/>
        <w:rPr/>
      </w:pPr>
      <w:r>
        <w:rPr>
          <w:rFonts w:eastAsia="Calibri" w:cs="Calibri"/>
          <w:b w:val="false"/>
          <w:bCs w:val="false"/>
          <w:i w:val="false"/>
          <w:iCs w:val="false"/>
          <w:color w:val="111827"/>
          <w:sz w:val="21"/>
          <w:szCs w:val="21"/>
        </w:rPr>
        <w:t>RabbitMQ mang domain event, bank command/result và notification command. Event envelope chuẩn có event identity, version, producer, aggregate, timestamp, correlation/causation và payload. Publisher ghi business state + outbox cùng transaction. Consumer lưu processed event/source event trước hoặc cùng side effect.</w:t>
      </w:r>
    </w:p>
    <w:tbl>
      <w:tblPr>
        <w:tblW w:w="9638" w:type="dxa"/>
        <w:jc w:val="start"/>
        <w:tblInd w:w="0" w:type="dxa"/>
        <w:tblLayout w:type="fixed"/>
        <w:tblCellMar>
          <w:top w:w="60" w:type="dxa"/>
          <w:start w:w="90" w:type="dxa"/>
          <w:bottom w:w="60" w:type="dxa"/>
          <w:end w:w="90" w:type="dxa"/>
        </w:tblCellMar>
      </w:tblPr>
      <w:tblGrid>
        <w:gridCol w:w="2098"/>
        <w:gridCol w:w="2309"/>
        <w:gridCol w:w="2197"/>
        <w:gridCol w:w="3034"/>
      </w:tblGrid>
      <w:tr>
        <w:trPr>
          <w:tblHeader w:val="true"/>
          <w:cantSplit w:val="true"/>
        </w:trPr>
        <w:tc>
          <w:tcPr>
            <w:tcW w:w="209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Envelope field</w:t>
            </w:r>
          </w:p>
        </w:tc>
        <w:tc>
          <w:tcPr>
            <w:tcW w:w="230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Yêu cầu</w:t>
            </w:r>
          </w:p>
        </w:tc>
        <w:tc>
          <w:tcPr>
            <w:tcW w:w="219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Kiểu</w:t>
            </w:r>
          </w:p>
        </w:tc>
        <w:tc>
          <w:tcPr>
            <w:tcW w:w="3034"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Ý nghĩa</w:t>
            </w:r>
          </w:p>
        </w:tc>
      </w:tr>
      <w:tr>
        <w:trPr>
          <w:cantSplit w:val="true"/>
        </w:trPr>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eventId</w:t>
            </w:r>
          </w:p>
        </w:tc>
        <w:tc>
          <w:tcPr>
            <w:tcW w:w="230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Bắt buộc</w:t>
            </w:r>
          </w:p>
        </w:tc>
        <w:tc>
          <w:tcPr>
            <w:tcW w:w="219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string</w:t>
            </w:r>
          </w:p>
        </w:tc>
        <w:tc>
          <w:tcPr>
            <w:tcW w:w="303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
          </w:p>
        </w:tc>
      </w:tr>
      <w:tr>
        <w:trPr>
          <w:cantSplit w:val="true"/>
        </w:trPr>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eventType</w:t>
            </w:r>
          </w:p>
        </w:tc>
        <w:tc>
          <w:tcPr>
            <w:tcW w:w="230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Bắt buộc</w:t>
            </w:r>
          </w:p>
        </w:tc>
        <w:tc>
          <w:tcPr>
            <w:tcW w:w="219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string</w:t>
            </w:r>
          </w:p>
        </w:tc>
        <w:tc>
          <w:tcPr>
            <w:tcW w:w="303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
          </w:p>
        </w:tc>
      </w:tr>
      <w:tr>
        <w:trPr>
          <w:cantSplit w:val="true"/>
        </w:trPr>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eventVersion</w:t>
            </w:r>
          </w:p>
        </w:tc>
        <w:tc>
          <w:tcPr>
            <w:tcW w:w="230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Bắt buộc</w:t>
            </w:r>
          </w:p>
        </w:tc>
        <w:tc>
          <w:tcPr>
            <w:tcW w:w="219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integer</w:t>
            </w:r>
          </w:p>
        </w:tc>
        <w:tc>
          <w:tcPr>
            <w:tcW w:w="303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
          </w:p>
        </w:tc>
      </w:tr>
      <w:tr>
        <w:trPr>
          <w:cantSplit w:val="true"/>
        </w:trPr>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occurredAt</w:t>
            </w:r>
          </w:p>
        </w:tc>
        <w:tc>
          <w:tcPr>
            <w:tcW w:w="230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Bắt buộc</w:t>
            </w:r>
          </w:p>
        </w:tc>
        <w:tc>
          <w:tcPr>
            <w:tcW w:w="219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string</w:t>
            </w:r>
          </w:p>
        </w:tc>
        <w:tc>
          <w:tcPr>
            <w:tcW w:w="303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
          </w:p>
        </w:tc>
      </w:tr>
      <w:tr>
        <w:trPr>
          <w:cantSplit w:val="true"/>
        </w:trPr>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producer</w:t>
            </w:r>
          </w:p>
        </w:tc>
        <w:tc>
          <w:tcPr>
            <w:tcW w:w="230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Bắt buộc</w:t>
            </w:r>
          </w:p>
        </w:tc>
        <w:tc>
          <w:tcPr>
            <w:tcW w:w="219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string</w:t>
            </w:r>
          </w:p>
        </w:tc>
        <w:tc>
          <w:tcPr>
            <w:tcW w:w="303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
          </w:p>
        </w:tc>
      </w:tr>
      <w:tr>
        <w:trPr>
          <w:cantSplit w:val="true"/>
        </w:trPr>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aggregateId</w:t>
            </w:r>
          </w:p>
        </w:tc>
        <w:tc>
          <w:tcPr>
            <w:tcW w:w="230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Bắt buộc</w:t>
            </w:r>
          </w:p>
        </w:tc>
        <w:tc>
          <w:tcPr>
            <w:tcW w:w="219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string</w:t>
            </w:r>
          </w:p>
        </w:tc>
        <w:tc>
          <w:tcPr>
            <w:tcW w:w="303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identifier of the source aggregate that produced the event.</w:t>
            </w:r>
          </w:p>
        </w:tc>
      </w:tr>
      <w:tr>
        <w:trPr>
          <w:cantSplit w:val="true"/>
        </w:trPr>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correlationId</w:t>
            </w:r>
          </w:p>
        </w:tc>
        <w:tc>
          <w:tcPr>
            <w:tcW w:w="230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Nullable/tuỳ trường hợp</w:t>
            </w:r>
          </w:p>
        </w:tc>
        <w:tc>
          <w:tcPr>
            <w:tcW w:w="219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['string', 'null']</w:t>
            </w:r>
          </w:p>
        </w:tc>
        <w:tc>
          <w:tcPr>
            <w:tcW w:w="303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Required by contract when the event belongs to a request, saga, or scheduled workflow. The producer must generate it when possible. A standalone event that does not belong to such a workflow may omit it.</w:t>
            </w:r>
          </w:p>
        </w:tc>
      </w:tr>
      <w:tr>
        <w:trPr>
          <w:cantSplit w:val="true"/>
        </w:trPr>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causationId</w:t>
            </w:r>
          </w:p>
        </w:tc>
        <w:tc>
          <w:tcPr>
            <w:tcW w:w="230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Nullable/tuỳ trường hợp</w:t>
            </w:r>
          </w:p>
        </w:tc>
        <w:tc>
          <w:tcPr>
            <w:tcW w:w="219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['string', 'null']</w:t>
            </w:r>
          </w:p>
        </w:tc>
        <w:tc>
          <w:tcPr>
            <w:tcW w:w="303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Absent or null for a root event. For a derived event, the eventId or commandId that directly caused it. Producers must not fabricate a value for validation.</w:t>
            </w:r>
          </w:p>
        </w:tc>
      </w:tr>
      <w:tr>
        <w:trPr>
          <w:cantSplit w:val="true"/>
        </w:trPr>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subject</w:t>
            </w:r>
          </w:p>
        </w:tc>
        <w:tc>
          <w:tcPr>
            <w:tcW w:w="230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Nullable/tuỳ trường hợp</w:t>
            </w:r>
          </w:p>
        </w:tc>
        <w:tc>
          <w:tcPr>
            <w:tcW w:w="219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subject</w:t>
            </w:r>
          </w:p>
        </w:tc>
        <w:tc>
          <w:tcPr>
            <w:tcW w:w="303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Optional audit/business subject. Include only when authoritative design defines a subject such as CONTRACT, USER_PAIR, or SYSTEM. It is semantically independent from aggregateId.</w:t>
            </w:r>
          </w:p>
        </w:tc>
      </w:tr>
      <w:tr>
        <w:trPr>
          <w:cantSplit w:val="true"/>
        </w:trPr>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payload</w:t>
            </w:r>
          </w:p>
        </w:tc>
        <w:tc>
          <w:tcPr>
            <w:tcW w:w="230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Bắt buộc</w:t>
            </w:r>
          </w:p>
        </w:tc>
        <w:tc>
          <w:tcPr>
            <w:tcW w:w="219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object</w:t>
            </w:r>
          </w:p>
        </w:tc>
        <w:tc>
          <w:tcPr>
            <w:tcW w:w="303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
          </w:p>
        </w:tc>
      </w:tr>
    </w:tbl>
    <w:p>
      <w:pPr>
        <w:pStyle w:val="Heading2"/>
        <w:spacing w:before="240" w:after="80"/>
        <w:rPr/>
      </w:pPr>
      <w:bookmarkStart w:id="11" w:name="__RefHeading___Toc3260_AgriContract"/>
      <w:bookmarkEnd w:id="11"/>
      <w:r>
        <w:rPr>
          <w:rFonts w:eastAsia="Calibri" w:cs="Calibri" w:ascii="Calibri" w:hAnsi="Calibri"/>
          <w:b/>
          <w:bCs/>
          <w:color w:val="1F2A37"/>
          <w:sz w:val="25"/>
          <w:szCs w:val="25"/>
        </w:rPr>
        <w:t>4.3 Idempotency theo boundary</w:t>
      </w:r>
    </w:p>
    <w:tbl>
      <w:tblPr>
        <w:tblW w:w="9638" w:type="dxa"/>
        <w:jc w:val="start"/>
        <w:tblInd w:w="0" w:type="dxa"/>
        <w:tblLayout w:type="fixed"/>
        <w:tblCellMar>
          <w:top w:w="60" w:type="dxa"/>
          <w:start w:w="90" w:type="dxa"/>
          <w:bottom w:w="60" w:type="dxa"/>
          <w:end w:w="90" w:type="dxa"/>
        </w:tblCellMar>
      </w:tblPr>
      <w:tblGrid>
        <w:gridCol w:w="2555"/>
        <w:gridCol w:w="3547"/>
        <w:gridCol w:w="3536"/>
      </w:tblGrid>
      <w:tr>
        <w:trPr>
          <w:tblHeader w:val="true"/>
          <w:cantSplit w:val="true"/>
        </w:trPr>
        <w:tc>
          <w:tcPr>
            <w:tcW w:w="2555"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Boundary</w:t>
            </w:r>
          </w:p>
        </w:tc>
        <w:tc>
          <w:tcPr>
            <w:tcW w:w="354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Dedup key/constraint</w:t>
            </w:r>
          </w:p>
        </w:tc>
        <w:tc>
          <w:tcPr>
            <w:tcW w:w="3536"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Lý do</w:t>
            </w:r>
          </w:p>
        </w:tc>
      </w:tr>
      <w:tr>
        <w:trPr>
          <w:cantSplit w:val="true"/>
        </w:trPr>
        <w:tc>
          <w:tcPr>
            <w:tcW w:w="255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Bank request</w:t>
            </w:r>
          </w:p>
        </w:tc>
        <w:tc>
          <w:tcPr>
            <w:tcW w:w="354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payload.sourceEventId == envelope.eventId</w:t>
            </w:r>
            <w:r>
              <w:rPr>
                <w:rFonts w:eastAsia="Calibri" w:cs="Calibri"/>
                <w:b w:val="false"/>
                <w:bCs w:val="false"/>
                <w:i w:val="false"/>
                <w:iCs w:val="false"/>
                <w:color w:val="111827"/>
                <w:sz w:val="19"/>
                <w:szCs w:val="19"/>
              </w:rPr>
              <w:t xml:space="preserve">; </w:t>
            </w:r>
            <w:r>
              <w:rPr>
                <w:rFonts w:eastAsia="Consolas" w:cs="Consolas" w:ascii="Consolas" w:hAnsi="Consolas"/>
                <w:b w:val="false"/>
                <w:bCs w:val="false"/>
                <w:i w:val="false"/>
                <w:iCs w:val="false"/>
                <w:color w:val="111827"/>
                <w:sz w:val="17"/>
                <w:szCs w:val="17"/>
              </w:rPr>
              <w:t>UNIQUE(source_event_id)</w:t>
            </w:r>
          </w:p>
        </w:tc>
        <w:tc>
          <w:tcPr>
            <w:tcW w:w="353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Duplicate request không tạo bộ ledger thứ hai</w:t>
            </w:r>
          </w:p>
        </w:tc>
      </w:tr>
      <w:tr>
        <w:trPr>
          <w:cantSplit w:val="true"/>
        </w:trPr>
        <w:tc>
          <w:tcPr>
            <w:tcW w:w="255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Remedy leg</w:t>
            </w:r>
          </w:p>
        </w:tc>
        <w:tc>
          <w:tcPr>
            <w:tcW w:w="354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UNIQUE(remedy_leg_id)</w:t>
            </w:r>
            <w:r>
              <w:rPr>
                <w:rFonts w:eastAsia="Calibri" w:cs="Calibri"/>
                <w:b w:val="false"/>
                <w:bCs w:val="false"/>
                <w:i w:val="false"/>
                <w:iCs w:val="false"/>
                <w:color w:val="111827"/>
                <w:sz w:val="19"/>
                <w:szCs w:val="19"/>
              </w:rPr>
              <w:t xml:space="preserve"> khi có</w:t>
            </w:r>
          </w:p>
        </w:tc>
        <w:tc>
          <w:tcPr>
            <w:tcW w:w="353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 xml:space="preserve">Một decision có nhiều leg; không unique </w:t>
            </w:r>
            <w:r>
              <w:rPr>
                <w:rFonts w:eastAsia="Consolas" w:cs="Consolas" w:ascii="Consolas" w:hAnsi="Consolas"/>
                <w:b w:val="false"/>
                <w:bCs w:val="false"/>
                <w:i w:val="false"/>
                <w:iCs w:val="false"/>
                <w:color w:val="111827"/>
                <w:sz w:val="17"/>
                <w:szCs w:val="17"/>
              </w:rPr>
              <w:t>remedyDecisionId</w:t>
            </w:r>
            <w:r>
              <w:rPr>
                <w:rFonts w:eastAsia="Calibri" w:cs="Calibri"/>
                <w:b w:val="false"/>
                <w:bCs w:val="false"/>
                <w:i w:val="false"/>
                <w:iCs w:val="false"/>
                <w:color w:val="111827"/>
                <w:sz w:val="19"/>
                <w:szCs w:val="19"/>
              </w:rPr>
              <w:t xml:space="preserve"> ở ledger</w:t>
            </w:r>
          </w:p>
        </w:tc>
      </w:tr>
      <w:tr>
        <w:trPr>
          <w:cantSplit w:val="true"/>
        </w:trPr>
        <w:tc>
          <w:tcPr>
            <w:tcW w:w="255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Reputation lock</w:t>
            </w:r>
          </w:p>
        </w:tc>
        <w:tc>
          <w:tcPr>
            <w:tcW w:w="354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UNIQUE(remedy_decision_id)</w:t>
            </w:r>
          </w:p>
        </w:tc>
        <w:tc>
          <w:tcPr>
            <w:tcW w:w="353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Một final decision tạo tối đa một negative lock</w:t>
            </w:r>
          </w:p>
        </w:tc>
      </w:tr>
      <w:tr>
        <w:trPr>
          <w:cantSplit w:val="true"/>
        </w:trPr>
        <w:tc>
          <w:tcPr>
            <w:tcW w:w="255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Audit</w:t>
            </w:r>
          </w:p>
        </w:tc>
        <w:tc>
          <w:tcPr>
            <w:tcW w:w="354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UNIQUE(audit_record.source_event_id)</w:t>
            </w:r>
          </w:p>
        </w:tc>
        <w:tc>
          <w:tcPr>
            <w:tcW w:w="353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Replay không tạo record/anchor/email thứ hai</w:t>
            </w:r>
          </w:p>
        </w:tc>
      </w:tr>
      <w:tr>
        <w:trPr>
          <w:cantSplit w:val="true"/>
        </w:trPr>
        <w:tc>
          <w:tcPr>
            <w:tcW w:w="255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Notification</w:t>
            </w:r>
          </w:p>
        </w:tc>
        <w:tc>
          <w:tcPr>
            <w:tcW w:w="354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(event_id, recipient_email, notification_type)</w:t>
            </w:r>
          </w:p>
        </w:tc>
        <w:tc>
          <w:tcPr>
            <w:tcW w:w="353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Một command có thể có nhiều recipient/type</w:t>
            </w:r>
          </w:p>
        </w:tc>
      </w:tr>
      <w:tr>
        <w:trPr>
          <w:cantSplit w:val="true"/>
        </w:trPr>
        <w:tc>
          <w:tcPr>
            <w:tcW w:w="255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API command</w:t>
            </w:r>
          </w:p>
        </w:tc>
        <w:tc>
          <w:tcPr>
            <w:tcW w:w="354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Idempotency-Key</w:t>
            </w:r>
            <w:r>
              <w:rPr>
                <w:rFonts w:eastAsia="Calibri" w:cs="Calibri"/>
                <w:b w:val="false"/>
                <w:bCs w:val="false"/>
                <w:i w:val="false"/>
                <w:iCs w:val="false"/>
                <w:color w:val="111827"/>
                <w:sz w:val="19"/>
                <w:szCs w:val="19"/>
              </w:rPr>
              <w:t xml:space="preserve"> + actor/resource/operation scope</w:t>
            </w:r>
          </w:p>
        </w:tc>
        <w:tc>
          <w:tcPr>
            <w:tcW w:w="353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Retry HTTP không lặp business transition</w:t>
            </w:r>
          </w:p>
        </w:tc>
      </w:tr>
    </w:tbl>
    <w:p>
      <w:pPr>
        <w:pStyle w:val="Heading2"/>
        <w:spacing w:before="240" w:after="80"/>
        <w:rPr/>
      </w:pPr>
      <w:bookmarkStart w:id="12" w:name="__RefHeading___Toc3262_AgriContract"/>
      <w:bookmarkEnd w:id="12"/>
      <w:r>
        <w:rPr>
          <w:rFonts w:eastAsia="Calibri" w:cs="Calibri" w:ascii="Calibri" w:hAnsi="Calibri"/>
          <w:b/>
          <w:bCs/>
          <w:color w:val="1F2A37"/>
          <w:sz w:val="25"/>
          <w:szCs w:val="25"/>
        </w:rPr>
        <w:t>4.4 Completion reconciler</w:t>
      </w:r>
    </w:p>
    <w:p>
      <w:pPr>
        <w:pStyle w:val="Normal"/>
        <w:spacing w:lineRule="auto" w:line="276" w:before="0" w:after="120"/>
        <w:jc w:val="both"/>
        <w:rPr/>
      </w:pPr>
      <w:r>
        <w:rPr>
          <w:rFonts w:eastAsia="Calibri" w:cs="Calibri"/>
          <w:b w:val="false"/>
          <w:bCs w:val="false"/>
          <w:i w:val="false"/>
          <w:iCs w:val="false"/>
          <w:color w:val="111827"/>
          <w:sz w:val="21"/>
          <w:szCs w:val="21"/>
        </w:rPr>
        <w:t xml:space="preserve">Contract-service không consume bank result trực tiếp để quyết định terminal. Reconciler đọc internal bank ledger theo </w:t>
      </w:r>
      <w:r>
        <w:rPr>
          <w:rFonts w:eastAsia="Consolas" w:cs="Consolas" w:ascii="Consolas" w:hAnsi="Consolas"/>
          <w:b w:val="false"/>
          <w:bCs w:val="false"/>
          <w:i w:val="false"/>
          <w:iCs w:val="false"/>
          <w:color w:val="111827"/>
          <w:sz w:val="19"/>
          <w:szCs w:val="19"/>
        </w:rPr>
        <w:t>contractId</w:t>
      </w:r>
      <w:r>
        <w:rPr>
          <w:rFonts w:eastAsia="Calibri" w:cs="Calibri"/>
          <w:b w:val="false"/>
          <w:bCs w:val="false"/>
          <w:i w:val="false"/>
          <w:iCs w:val="false"/>
          <w:color w:val="111827"/>
          <w:sz w:val="21"/>
          <w:szCs w:val="21"/>
        </w:rPr>
        <w:t xml:space="preserve">, so expected </w:t>
      </w:r>
      <w:r>
        <w:rPr>
          <w:rFonts w:eastAsia="Consolas" w:cs="Consolas" w:ascii="Consolas" w:hAnsi="Consolas"/>
          <w:b w:val="false"/>
          <w:bCs w:val="false"/>
          <w:i w:val="false"/>
          <w:iCs w:val="false"/>
          <w:color w:val="111827"/>
          <w:sz w:val="19"/>
          <w:szCs w:val="19"/>
        </w:rPr>
        <w:t>remedyDecisionId/remedyLegId</w:t>
      </w:r>
      <w:r>
        <w:rPr>
          <w:rFonts w:eastAsia="Calibri" w:cs="Calibri"/>
          <w:b w:val="false"/>
          <w:bCs w:val="false"/>
          <w:i w:val="false"/>
          <w:iCs w:val="false"/>
          <w:color w:val="111827"/>
          <w:sz w:val="21"/>
          <w:szCs w:val="21"/>
        </w:rPr>
        <w:t xml:space="preserve">, trạng thái leg và remaining lock. Chỉ khi bộ leg đầy đủ và lock bằng 0 mới commit </w:t>
      </w:r>
      <w:r>
        <w:rPr>
          <w:rFonts w:eastAsia="Consolas" w:cs="Consolas" w:ascii="Consolas" w:hAnsi="Consolas"/>
          <w:b w:val="false"/>
          <w:bCs w:val="false"/>
          <w:i w:val="false"/>
          <w:iCs w:val="false"/>
          <w:color w:val="111827"/>
          <w:sz w:val="19"/>
          <w:szCs w:val="19"/>
        </w:rPr>
        <w:t>SETTLED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TERMINATED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SUPERSEDED</w:t>
      </w:r>
      <w:r>
        <w:rPr>
          <w:rFonts w:eastAsia="Calibri" w:cs="Calibri"/>
          <w:b w:val="false"/>
          <w:bCs w:val="false"/>
          <w:i w:val="false"/>
          <w:iCs w:val="false"/>
          <w:color w:val="111827"/>
          <w:sz w:val="21"/>
          <w:szCs w:val="21"/>
        </w:rPr>
        <w:t xml:space="preserve"> hoặc </w:t>
      </w:r>
      <w:r>
        <w:rPr>
          <w:rFonts w:eastAsia="Consolas" w:cs="Consolas" w:ascii="Consolas" w:hAnsi="Consolas"/>
          <w:b w:val="false"/>
          <w:bCs w:val="false"/>
          <w:i w:val="false"/>
          <w:iCs w:val="false"/>
          <w:color w:val="111827"/>
          <w:sz w:val="19"/>
          <w:szCs w:val="19"/>
        </w:rPr>
        <w:t>ACTIVATION_FAILED</w:t>
      </w:r>
      <w:r>
        <w:rPr>
          <w:rFonts w:eastAsia="Calibri" w:cs="Calibri"/>
          <w:b w:val="false"/>
          <w:bCs w:val="false"/>
          <w:i w:val="false"/>
          <w:iCs w:val="false"/>
          <w:color w:val="111827"/>
          <w:sz w:val="21"/>
          <w:szCs w:val="21"/>
        </w:rPr>
        <w:t xml:space="preserve"> và publish lifecycle event.</w:t>
      </w:r>
    </w:p>
    <w:p>
      <w:pPr>
        <w:pStyle w:val="Heading1"/>
        <w:pBdr>
          <w:bottom w:val="single" w:sz="6" w:space="6" w:color="D1D5DB"/>
        </w:pBdr>
        <w:spacing w:before="320" w:after="120"/>
        <w:rPr/>
      </w:pPr>
      <w:bookmarkStart w:id="13" w:name="__RefHeading___Toc3264_AgriContract"/>
      <w:bookmarkEnd w:id="13"/>
      <w:r>
        <w:rPr>
          <w:rFonts w:eastAsia="Calibri" w:cs="Calibri" w:ascii="Calibri" w:hAnsi="Calibri"/>
          <w:b/>
          <w:bCs/>
          <w:color w:val="1F2A37"/>
          <w:sz w:val="30"/>
          <w:szCs w:val="30"/>
        </w:rPr>
        <w:t>5. Event và command architecture</w:t>
      </w:r>
    </w:p>
    <w:p>
      <w:pPr>
        <w:pStyle w:val="Heading2"/>
        <w:spacing w:before="240" w:after="80"/>
        <w:rPr/>
      </w:pPr>
      <w:bookmarkStart w:id="14" w:name="__RefHeading___Toc3266_AgriContract"/>
      <w:bookmarkEnd w:id="14"/>
      <w:r>
        <w:rPr>
          <w:rFonts w:eastAsia="Calibri" w:cs="Calibri" w:ascii="Calibri" w:hAnsi="Calibri"/>
          <w:b/>
          <w:bCs/>
          <w:color w:val="1F2A37"/>
          <w:sz w:val="25"/>
          <w:szCs w:val="25"/>
        </w:rPr>
        <w:t>5.1 Canonical consequence boundary</w:t>
      </w:r>
    </w:p>
    <w:p>
      <w:pPr>
        <w:pStyle w:val="ListParagraph"/>
        <w:numPr>
          <w:ilvl w:val="0"/>
          <w:numId w:val="1"/>
        </w:numPr>
        <w:spacing w:lineRule="auto" w:line="276" w:before="0" w:after="60"/>
        <w:rPr/>
      </w:pPr>
      <w:r>
        <w:rPr>
          <w:rFonts w:eastAsia="Consolas" w:cs="Consolas" w:ascii="Consolas" w:hAnsi="Consolas"/>
          <w:b w:val="false"/>
          <w:bCs w:val="false"/>
          <w:i w:val="false"/>
          <w:iCs w:val="false"/>
          <w:color w:val="111827"/>
          <w:sz w:val="19"/>
          <w:szCs w:val="19"/>
        </w:rPr>
        <w:t>remedy.finalized</w:t>
      </w:r>
      <w:r>
        <w:rPr>
          <w:rFonts w:eastAsia="Calibri" w:cs="Calibri"/>
          <w:b w:val="false"/>
          <w:bCs w:val="false"/>
          <w:i w:val="false"/>
          <w:iCs w:val="false"/>
          <w:color w:val="111827"/>
          <w:sz w:val="21"/>
          <w:szCs w:val="21"/>
        </w:rPr>
        <w:t xml:space="preserve">: producer </w:t>
      </w:r>
      <w:r>
        <w:rPr>
          <w:rFonts w:eastAsia="Consolas" w:cs="Consolas" w:ascii="Consolas" w:hAnsi="Consolas"/>
          <w:b w:val="false"/>
          <w:bCs w:val="false"/>
          <w:i w:val="false"/>
          <w:iCs w:val="false"/>
          <w:color w:val="111827"/>
          <w:sz w:val="19"/>
          <w:szCs w:val="19"/>
        </w:rPr>
        <w:t>contract-service</w:t>
      </w:r>
      <w:r>
        <w:rPr>
          <w:rFonts w:eastAsia="Calibri" w:cs="Calibri"/>
          <w:b w:val="false"/>
          <w:bCs w:val="false"/>
          <w:i w:val="false"/>
          <w:iCs w:val="false"/>
          <w:color w:val="111827"/>
          <w:sz w:val="21"/>
          <w:szCs w:val="21"/>
        </w:rPr>
        <w:t xml:space="preserve">; consumers </w:t>
      </w:r>
      <w:r>
        <w:rPr>
          <w:rFonts w:eastAsia="Consolas" w:cs="Consolas" w:ascii="Consolas" w:hAnsi="Consolas"/>
          <w:b w:val="false"/>
          <w:bCs w:val="false"/>
          <w:i w:val="false"/>
          <w:iCs w:val="false"/>
          <w:color w:val="111827"/>
          <w:sz w:val="19"/>
          <w:szCs w:val="19"/>
        </w:rPr>
        <w:t>escrow-service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reputation-service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audit-service</w:t>
      </w:r>
      <w:r>
        <w:rPr>
          <w:rFonts w:eastAsia="Calibri" w:cs="Calibri"/>
          <w:b w:val="false"/>
          <w:bCs w:val="false"/>
          <w:i w:val="false"/>
          <w:iCs w:val="false"/>
          <w:color w:val="111827"/>
          <w:sz w:val="21"/>
          <w:szCs w:val="21"/>
        </w:rPr>
        <w:t xml:space="preserve">; authoritative cho termination/remedy/quality-resolution money, contract-level deposit return và reputation lock; clean-path per-milestone money chạy qua </w:t>
      </w:r>
      <w:r>
        <w:rPr>
          <w:rFonts w:eastAsia="Consolas" w:cs="Consolas" w:ascii="Consolas" w:hAnsi="Consolas"/>
          <w:b w:val="false"/>
          <w:bCs w:val="false"/>
          <w:i w:val="false"/>
          <w:iCs w:val="false"/>
          <w:color w:val="111827"/>
          <w:sz w:val="19"/>
          <w:szCs w:val="19"/>
        </w:rPr>
        <w:t>milestone.settled</w:t>
      </w:r>
      <w:r>
        <w:rPr>
          <w:rFonts w:eastAsia="Calibri" w:cs="Calibri"/>
          <w:b w:val="false"/>
          <w:bCs w:val="false"/>
          <w:i w:val="false"/>
          <w:iCs w:val="false"/>
          <w:color w:val="111827"/>
          <w:sz w:val="21"/>
          <w:szCs w:val="21"/>
        </w:rPr>
        <w:t>; hai event không cùng phát cho một resolution.</w:t>
      </w:r>
    </w:p>
    <w:p>
      <w:pPr>
        <w:pStyle w:val="ListParagraph"/>
        <w:numPr>
          <w:ilvl w:val="0"/>
          <w:numId w:val="1"/>
        </w:numPr>
        <w:spacing w:lineRule="auto" w:line="276" w:before="0" w:after="60"/>
        <w:rPr/>
      </w:pPr>
      <w:r>
        <w:rPr>
          <w:rFonts w:eastAsia="Consolas" w:cs="Consolas" w:ascii="Consolas" w:hAnsi="Consolas"/>
          <w:b w:val="false"/>
          <w:bCs w:val="false"/>
          <w:i w:val="false"/>
          <w:iCs w:val="false"/>
          <w:color w:val="111827"/>
          <w:sz w:val="19"/>
          <w:szCs w:val="19"/>
        </w:rPr>
        <w:t>contract.terminated</w:t>
      </w:r>
      <w:r>
        <w:rPr>
          <w:rFonts w:eastAsia="Calibri" w:cs="Calibri"/>
          <w:b w:val="false"/>
          <w:bCs w:val="false"/>
          <w:i w:val="false"/>
          <w:iCs w:val="false"/>
          <w:color w:val="111827"/>
          <w:sz w:val="21"/>
          <w:szCs w:val="21"/>
        </w:rPr>
        <w:t xml:space="preserve">: consumers </w:t>
      </w:r>
      <w:r>
        <w:rPr>
          <w:rFonts w:eastAsia="Consolas" w:cs="Consolas" w:ascii="Consolas" w:hAnsi="Consolas"/>
          <w:b w:val="false"/>
          <w:bCs w:val="false"/>
          <w:i w:val="false"/>
          <w:iCs w:val="false"/>
          <w:color w:val="111827"/>
          <w:sz w:val="19"/>
          <w:szCs w:val="19"/>
        </w:rPr>
        <w:t>audit-service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analytics-service</w:t>
      </w:r>
      <w:r>
        <w:rPr>
          <w:rFonts w:eastAsia="Calibri" w:cs="Calibri"/>
          <w:b w:val="false"/>
          <w:bCs w:val="false"/>
          <w:i w:val="false"/>
          <w:iCs w:val="false"/>
          <w:color w:val="111827"/>
          <w:sz w:val="21"/>
          <w:szCs w:val="21"/>
        </w:rPr>
        <w:t xml:space="preserve">; lifecycle facts only. Notification đi qua </w:t>
      </w:r>
      <w:r>
        <w:rPr>
          <w:rFonts w:eastAsia="Consolas" w:cs="Consolas" w:ascii="Consolas" w:hAnsi="Consolas"/>
          <w:b w:val="false"/>
          <w:bCs w:val="false"/>
          <w:i w:val="false"/>
          <w:iCs w:val="false"/>
          <w:color w:val="111827"/>
          <w:sz w:val="19"/>
          <w:szCs w:val="19"/>
        </w:rPr>
        <w:t>notification.contract_terminated_requested</w:t>
      </w:r>
      <w:r>
        <w:rPr>
          <w:rFonts w:eastAsia="Calibri" w:cs="Calibri"/>
          <w:b w:val="false"/>
          <w:bCs w:val="false"/>
          <w:i w:val="false"/>
          <w:iCs w:val="false"/>
          <w:color w:val="111827"/>
          <w:sz w:val="21"/>
          <w:szCs w:val="21"/>
        </w:rPr>
        <w:t>.</w:t>
      </w:r>
    </w:p>
    <w:p>
      <w:pPr>
        <w:pStyle w:val="ListParagraph"/>
        <w:numPr>
          <w:ilvl w:val="0"/>
          <w:numId w:val="1"/>
        </w:numPr>
        <w:spacing w:lineRule="auto" w:line="276" w:before="0" w:after="60"/>
        <w:rPr/>
      </w:pPr>
      <w:r>
        <w:rPr>
          <w:rFonts w:eastAsia="Consolas" w:cs="Consolas" w:ascii="Consolas" w:hAnsi="Consolas"/>
          <w:b w:val="false"/>
          <w:bCs w:val="false"/>
          <w:i w:val="false"/>
          <w:iCs w:val="false"/>
          <w:color w:val="111827"/>
          <w:sz w:val="19"/>
          <w:szCs w:val="19"/>
        </w:rPr>
        <w:t>contract.settled</w:t>
      </w:r>
      <w:r>
        <w:rPr>
          <w:rFonts w:eastAsia="Calibri" w:cs="Calibri"/>
          <w:b w:val="false"/>
          <w:bCs w:val="false"/>
          <w:i w:val="false"/>
          <w:iCs w:val="false"/>
          <w:color w:val="111827"/>
          <w:sz w:val="21"/>
          <w:szCs w:val="21"/>
        </w:rPr>
        <w:t>: positive completion/audit/analytics/reputation facts; bank không release deposit từ event này.</w:t>
      </w:r>
    </w:p>
    <w:p>
      <w:pPr>
        <w:pStyle w:val="ListParagraph"/>
        <w:numPr>
          <w:ilvl w:val="0"/>
          <w:numId w:val="1"/>
        </w:numPr>
        <w:spacing w:lineRule="auto" w:line="276" w:before="0" w:after="60"/>
        <w:rPr/>
      </w:pPr>
      <w:r>
        <w:rPr>
          <w:rFonts w:eastAsia="Consolas" w:cs="Consolas" w:ascii="Consolas" w:hAnsi="Consolas"/>
          <w:b w:val="false"/>
          <w:bCs w:val="false"/>
          <w:i w:val="false"/>
          <w:iCs w:val="false"/>
          <w:color w:val="111827"/>
          <w:sz w:val="19"/>
          <w:szCs w:val="19"/>
        </w:rPr>
        <w:t>milestone.cancelled_with_penalty</w:t>
      </w:r>
      <w:r>
        <w:rPr>
          <w:rFonts w:eastAsia="Calibri" w:cs="Calibri"/>
          <w:b w:val="false"/>
          <w:bCs w:val="false"/>
          <w:i w:val="false"/>
          <w:iCs w:val="false"/>
          <w:color w:val="111827"/>
          <w:sz w:val="21"/>
          <w:szCs w:val="21"/>
        </w:rPr>
        <w:t>: observational outcome cho analytics/audit; money đã được biểu diễn bằng remedy legs.</w:t>
      </w:r>
    </w:p>
    <w:p>
      <w:pPr>
        <w:pStyle w:val="Heading2"/>
        <w:spacing w:before="240" w:after="80"/>
        <w:rPr/>
      </w:pPr>
      <w:bookmarkStart w:id="15" w:name="__RefHeading___Toc3268_AgriContract"/>
      <w:bookmarkEnd w:id="15"/>
      <w:r>
        <w:rPr>
          <w:rFonts w:eastAsia="Calibri" w:cs="Calibri" w:ascii="Calibri" w:hAnsi="Calibri"/>
          <w:b/>
          <w:bCs/>
          <w:color w:val="1F2A37"/>
          <w:sz w:val="25"/>
          <w:szCs w:val="25"/>
        </w:rPr>
        <w:t>5.2 Domain/bank event catalog</w:t>
      </w:r>
    </w:p>
    <w:tbl>
      <w:tblPr>
        <w:tblW w:w="9638" w:type="dxa"/>
        <w:jc w:val="start"/>
        <w:tblInd w:w="0" w:type="dxa"/>
        <w:tblLayout w:type="fixed"/>
        <w:tblCellMar>
          <w:top w:w="60" w:type="dxa"/>
          <w:start w:w="90" w:type="dxa"/>
          <w:bottom w:w="60" w:type="dxa"/>
          <w:end w:w="90" w:type="dxa"/>
        </w:tblCellMar>
      </w:tblPr>
      <w:tblGrid>
        <w:gridCol w:w="2321"/>
        <w:gridCol w:w="2019"/>
        <w:gridCol w:w="2621"/>
        <w:gridCol w:w="2677"/>
      </w:tblGrid>
      <w:tr>
        <w:trPr>
          <w:tblHeader w:val="true"/>
          <w:cantSplit w:val="true"/>
        </w:trPr>
        <w:tc>
          <w:tcPr>
            <w:tcW w:w="232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Event</w:t>
            </w:r>
          </w:p>
        </w:tc>
        <w:tc>
          <w:tcPr>
            <w:tcW w:w="201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Producer</w:t>
            </w:r>
          </w:p>
        </w:tc>
        <w:tc>
          <w:tcPr>
            <w:tcW w:w="262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Consumers</w:t>
            </w:r>
          </w:p>
        </w:tc>
        <w:tc>
          <w:tcPr>
            <w:tcW w:w="267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Side-effect boundary</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contract.created</w:t>
            </w:r>
          </w:p>
        </w:tc>
        <w:tc>
          <w:tcPr>
            <w:tcW w:w="201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product-service</w:t>
            </w:r>
          </w:p>
        </w:tc>
        <w:tc>
          <w:tcPr>
            <w:tcW w:w="26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contract.withdrawn</w:t>
            </w:r>
          </w:p>
        </w:tc>
        <w:tc>
          <w:tcPr>
            <w:tcW w:w="201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product-service</w:t>
            </w:r>
          </w:p>
        </w:tc>
        <w:tc>
          <w:tcPr>
            <w:tcW w:w="26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contract.signed</w:t>
            </w:r>
          </w:p>
        </w:tc>
        <w:tc>
          <w:tcPr>
            <w:tcW w:w="201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product-service, escrow-service, analytics-service, audit-service</w:t>
            </w:r>
          </w:p>
        </w:tc>
        <w:tc>
          <w:tcPr>
            <w:tcW w:w="26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contract.activation_failed</w:t>
            </w:r>
          </w:p>
        </w:tc>
        <w:tc>
          <w:tcPr>
            <w:tcW w:w="201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product-service</w:t>
            </w:r>
          </w:p>
        </w:tc>
        <w:tc>
          <w:tcPr>
            <w:tcW w:w="26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contract.activated</w:t>
            </w:r>
          </w:p>
        </w:tc>
        <w:tc>
          <w:tcPr>
            <w:tcW w:w="201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product-service</w:t>
            </w:r>
          </w:p>
        </w:tc>
        <w:tc>
          <w:tcPr>
            <w:tcW w:w="26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escrow.deposit_locked</w:t>
            </w:r>
          </w:p>
        </w:tc>
        <w:tc>
          <w:tcPr>
            <w:tcW w:w="201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escrow-service</w:t>
            </w:r>
          </w:p>
        </w:tc>
        <w:tc>
          <w:tcPr>
            <w:tcW w:w="2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 escrow-service</w:t>
            </w:r>
          </w:p>
        </w:tc>
        <w:tc>
          <w:tcPr>
            <w:tcW w:w="26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escrow.deposit_lock_failed</w:t>
            </w:r>
          </w:p>
        </w:tc>
        <w:tc>
          <w:tcPr>
            <w:tcW w:w="201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escrow-service</w:t>
            </w:r>
          </w:p>
        </w:tc>
        <w:tc>
          <w:tcPr>
            <w:tcW w:w="2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6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bank.lock_requested</w:t>
            </w:r>
          </w:p>
        </w:tc>
        <w:tc>
          <w:tcPr>
            <w:tcW w:w="201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escrow-service</w:t>
            </w:r>
          </w:p>
        </w:tc>
        <w:tc>
          <w:tcPr>
            <w:tcW w:w="2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bank-service</w:t>
            </w:r>
          </w:p>
        </w:tc>
        <w:tc>
          <w:tcPr>
            <w:tcW w:w="26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bank.lock_completed</w:t>
            </w:r>
          </w:p>
        </w:tc>
        <w:tc>
          <w:tcPr>
            <w:tcW w:w="201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bank-service</w:t>
            </w:r>
          </w:p>
        </w:tc>
        <w:tc>
          <w:tcPr>
            <w:tcW w:w="2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escrow-service</w:t>
            </w:r>
          </w:p>
        </w:tc>
        <w:tc>
          <w:tcPr>
            <w:tcW w:w="26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bank.lock_failed</w:t>
            </w:r>
          </w:p>
        </w:tc>
        <w:tc>
          <w:tcPr>
            <w:tcW w:w="201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bank-service</w:t>
            </w:r>
          </w:p>
        </w:tc>
        <w:tc>
          <w:tcPr>
            <w:tcW w:w="2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escrow-service</w:t>
            </w:r>
          </w:p>
        </w:tc>
        <w:tc>
          <w:tcPr>
            <w:tcW w:w="26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bank.release_requested</w:t>
            </w:r>
          </w:p>
        </w:tc>
        <w:tc>
          <w:tcPr>
            <w:tcW w:w="201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escrow-service</w:t>
            </w:r>
          </w:p>
        </w:tc>
        <w:tc>
          <w:tcPr>
            <w:tcW w:w="2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bank-service</w:t>
            </w:r>
          </w:p>
        </w:tc>
        <w:tc>
          <w:tcPr>
            <w:tcW w:w="26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bank.release_completed</w:t>
            </w:r>
          </w:p>
        </w:tc>
        <w:tc>
          <w:tcPr>
            <w:tcW w:w="201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bank-service</w:t>
            </w:r>
          </w:p>
        </w:tc>
        <w:tc>
          <w:tcPr>
            <w:tcW w:w="2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escrow-service</w:t>
            </w:r>
          </w:p>
        </w:tc>
        <w:tc>
          <w:tcPr>
            <w:tcW w:w="26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bank.release_failed</w:t>
            </w:r>
          </w:p>
        </w:tc>
        <w:tc>
          <w:tcPr>
            <w:tcW w:w="201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bank-service</w:t>
            </w:r>
          </w:p>
        </w:tc>
        <w:tc>
          <w:tcPr>
            <w:tcW w:w="2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escrow-service</w:t>
            </w:r>
          </w:p>
        </w:tc>
        <w:tc>
          <w:tcPr>
            <w:tcW w:w="26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bank.seize_requested</w:t>
            </w:r>
          </w:p>
        </w:tc>
        <w:tc>
          <w:tcPr>
            <w:tcW w:w="201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escrow-service</w:t>
            </w:r>
          </w:p>
        </w:tc>
        <w:tc>
          <w:tcPr>
            <w:tcW w:w="2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bank-service</w:t>
            </w:r>
          </w:p>
        </w:tc>
        <w:tc>
          <w:tcPr>
            <w:tcW w:w="26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bank.seize_completed</w:t>
            </w:r>
          </w:p>
        </w:tc>
        <w:tc>
          <w:tcPr>
            <w:tcW w:w="201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bank-service</w:t>
            </w:r>
          </w:p>
        </w:tc>
        <w:tc>
          <w:tcPr>
            <w:tcW w:w="2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escrow-service</w:t>
            </w:r>
          </w:p>
        </w:tc>
        <w:tc>
          <w:tcPr>
            <w:tcW w:w="26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bank.seize_failed</w:t>
            </w:r>
          </w:p>
        </w:tc>
        <w:tc>
          <w:tcPr>
            <w:tcW w:w="201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bank-service</w:t>
            </w:r>
          </w:p>
        </w:tc>
        <w:tc>
          <w:tcPr>
            <w:tcW w:w="2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escrow-service</w:t>
            </w:r>
          </w:p>
        </w:tc>
        <w:tc>
          <w:tcPr>
            <w:tcW w:w="26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bank.refund_requested</w:t>
            </w:r>
          </w:p>
        </w:tc>
        <w:tc>
          <w:tcPr>
            <w:tcW w:w="201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escrow-service</w:t>
            </w:r>
          </w:p>
        </w:tc>
        <w:tc>
          <w:tcPr>
            <w:tcW w:w="2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bank-service</w:t>
            </w:r>
          </w:p>
        </w:tc>
        <w:tc>
          <w:tcPr>
            <w:tcW w:w="26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bank.refund_completed</w:t>
            </w:r>
          </w:p>
        </w:tc>
        <w:tc>
          <w:tcPr>
            <w:tcW w:w="201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bank-service</w:t>
            </w:r>
          </w:p>
        </w:tc>
        <w:tc>
          <w:tcPr>
            <w:tcW w:w="2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escrow-service</w:t>
            </w:r>
          </w:p>
        </w:tc>
        <w:tc>
          <w:tcPr>
            <w:tcW w:w="26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bank.refund_failed</w:t>
            </w:r>
          </w:p>
        </w:tc>
        <w:tc>
          <w:tcPr>
            <w:tcW w:w="201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bank-service</w:t>
            </w:r>
          </w:p>
        </w:tc>
        <w:tc>
          <w:tcPr>
            <w:tcW w:w="2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escrow-service</w:t>
            </w:r>
          </w:p>
        </w:tc>
        <w:tc>
          <w:tcPr>
            <w:tcW w:w="26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contract.settled</w:t>
            </w:r>
          </w:p>
        </w:tc>
        <w:tc>
          <w:tcPr>
            <w:tcW w:w="201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reputation-service, analytics-service</w:t>
            </w:r>
          </w:p>
        </w:tc>
        <w:tc>
          <w:tcPr>
            <w:tcW w:w="26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contract.terminated</w:t>
            </w:r>
          </w:p>
        </w:tc>
        <w:tc>
          <w:tcPr>
            <w:tcW w:w="201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audit-service, analytics-service</w:t>
            </w:r>
          </w:p>
        </w:tc>
        <w:tc>
          <w:tcPr>
            <w:tcW w:w="26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breach.reported</w:t>
            </w:r>
          </w:p>
        </w:tc>
        <w:tc>
          <w:tcPr>
            <w:tcW w:w="201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audit-service</w:t>
            </w:r>
          </w:p>
        </w:tc>
        <w:tc>
          <w:tcPr>
            <w:tcW w:w="26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remedy.finalized</w:t>
            </w:r>
          </w:p>
        </w:tc>
        <w:tc>
          <w:tcPr>
            <w:tcW w:w="201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escrow-service, reputation-service, audit-service</w:t>
            </w:r>
          </w:p>
        </w:tc>
        <w:tc>
          <w:tcPr>
            <w:tcW w:w="26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milestone.settled</w:t>
            </w:r>
          </w:p>
        </w:tc>
        <w:tc>
          <w:tcPr>
            <w:tcW w:w="201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escrow-service, analytics-service, audit-service</w:t>
            </w:r>
          </w:p>
        </w:tc>
        <w:tc>
          <w:tcPr>
            <w:tcW w:w="26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milestone.dispute_resolved</w:t>
            </w:r>
          </w:p>
        </w:tc>
        <w:tc>
          <w:tcPr>
            <w:tcW w:w="201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reputation-service</w:t>
            </w:r>
          </w:p>
        </w:tc>
        <w:tc>
          <w:tcPr>
            <w:tcW w:w="26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milestone.level2_provisional_settled</w:t>
            </w:r>
          </w:p>
        </w:tc>
        <w:tc>
          <w:tcPr>
            <w:tcW w:w="201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escrow-service</w:t>
            </w:r>
          </w:p>
        </w:tc>
        <w:tc>
          <w:tcPr>
            <w:tcW w:w="26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milestone.level2_buffer_reconciled</w:t>
            </w:r>
          </w:p>
        </w:tc>
        <w:tc>
          <w:tcPr>
            <w:tcW w:w="201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escrow-service</w:t>
            </w:r>
          </w:p>
        </w:tc>
        <w:tc>
          <w:tcPr>
            <w:tcW w:w="26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milestone.level2_terminal_settled</w:t>
            </w:r>
          </w:p>
        </w:tc>
        <w:tc>
          <w:tcPr>
            <w:tcW w:w="201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escrow-service</w:t>
            </w:r>
          </w:p>
        </w:tc>
        <w:tc>
          <w:tcPr>
            <w:tcW w:w="26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milestone.price_adjusted</w:t>
            </w:r>
          </w:p>
        </w:tc>
        <w:tc>
          <w:tcPr>
            <w:tcW w:w="201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audit-service, analytics-service</w:t>
            </w:r>
          </w:p>
        </w:tc>
        <w:tc>
          <w:tcPr>
            <w:tcW w:w="26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inspection.report_confirmed</w:t>
            </w:r>
          </w:p>
        </w:tc>
        <w:tc>
          <w:tcPr>
            <w:tcW w:w="201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inspection-service</w:t>
            </w:r>
          </w:p>
        </w:tc>
        <w:tc>
          <w:tcPr>
            <w:tcW w:w="2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audit-service, contract-service</w:t>
            </w:r>
          </w:p>
        </w:tc>
        <w:tc>
          <w:tcPr>
            <w:tcW w:w="26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milestone.seller_weighed</w:t>
            </w:r>
          </w:p>
        </w:tc>
        <w:tc>
          <w:tcPr>
            <w:tcW w:w="201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file-service, audit-service</w:t>
            </w:r>
          </w:p>
        </w:tc>
        <w:tc>
          <w:tcPr>
            <w:tcW w:w="26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milestone.buyer_confirmed</w:t>
            </w:r>
          </w:p>
        </w:tc>
        <w:tc>
          <w:tcPr>
            <w:tcW w:w="201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audit-service</w:t>
            </w:r>
          </w:p>
        </w:tc>
        <w:tc>
          <w:tcPr>
            <w:tcW w:w="26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milestone.flagged</w:t>
            </w:r>
          </w:p>
        </w:tc>
        <w:tc>
          <w:tcPr>
            <w:tcW w:w="201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
          </w:p>
        </w:tc>
        <w:tc>
          <w:tcPr>
            <w:tcW w:w="26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milestone.force_majeure_claimed</w:t>
            </w:r>
          </w:p>
        </w:tc>
        <w:tc>
          <w:tcPr>
            <w:tcW w:w="201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audit-service</w:t>
            </w:r>
          </w:p>
        </w:tc>
        <w:tc>
          <w:tcPr>
            <w:tcW w:w="26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milestone.force_majeure_resolved</w:t>
            </w:r>
          </w:p>
        </w:tc>
        <w:tc>
          <w:tcPr>
            <w:tcW w:w="201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escrow-service, audit-service</w:t>
            </w:r>
          </w:p>
        </w:tc>
        <w:tc>
          <w:tcPr>
            <w:tcW w:w="26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milestone.cancelled_with_penalty</w:t>
            </w:r>
          </w:p>
        </w:tc>
        <w:tc>
          <w:tcPr>
            <w:tcW w:w="201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analytics-service, audit-service</w:t>
            </w:r>
          </w:p>
        </w:tc>
        <w:tc>
          <w:tcPr>
            <w:tcW w:w="26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escrow.milestone_funding_failed</w:t>
            </w:r>
          </w:p>
        </w:tc>
        <w:tc>
          <w:tcPr>
            <w:tcW w:w="201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escrow-service</w:t>
            </w:r>
          </w:p>
        </w:tc>
        <w:tc>
          <w:tcPr>
            <w:tcW w:w="2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6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reputation.locked</w:t>
            </w:r>
          </w:p>
        </w:tc>
        <w:tc>
          <w:tcPr>
            <w:tcW w:w="201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reputation-service</w:t>
            </w:r>
          </w:p>
        </w:tc>
        <w:tc>
          <w:tcPr>
            <w:tcW w:w="2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user-service</w:t>
            </w:r>
          </w:p>
        </w:tc>
        <w:tc>
          <w:tcPr>
            <w:tcW w:w="26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reputation.unlocked</w:t>
            </w:r>
          </w:p>
        </w:tc>
        <w:tc>
          <w:tcPr>
            <w:tcW w:w="201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reputation-service</w:t>
            </w:r>
          </w:p>
        </w:tc>
        <w:tc>
          <w:tcPr>
            <w:tcW w:w="2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user-service</w:t>
            </w:r>
          </w:p>
        </w:tc>
        <w:tc>
          <w:tcPr>
            <w:tcW w:w="26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file.ready</w:t>
            </w:r>
          </w:p>
        </w:tc>
        <w:tc>
          <w:tcPr>
            <w:tcW w:w="201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file-service</w:t>
            </w:r>
          </w:p>
        </w:tc>
        <w:tc>
          <w:tcPr>
            <w:tcW w:w="2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 inspection-service</w:t>
            </w:r>
          </w:p>
        </w:tc>
        <w:tc>
          <w:tcPr>
            <w:tcW w:w="26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file.failed</w:t>
            </w:r>
          </w:p>
        </w:tc>
        <w:tc>
          <w:tcPr>
            <w:tcW w:w="201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file-service</w:t>
            </w:r>
          </w:p>
        </w:tc>
        <w:tc>
          <w:tcPr>
            <w:tcW w:w="2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 inspection-service</w:t>
            </w:r>
          </w:p>
        </w:tc>
        <w:tc>
          <w:tcPr>
            <w:tcW w:w="26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contract.document_generated</w:t>
            </w:r>
          </w:p>
        </w:tc>
        <w:tc>
          <w:tcPr>
            <w:tcW w:w="201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audit-service</w:t>
            </w:r>
          </w:p>
        </w:tc>
        <w:tc>
          <w:tcPr>
            <w:tcW w:w="26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Immutable representation is READY once; audit records both source-content and PDF-file hashes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bank.security_lock_changed</w:t>
            </w:r>
          </w:p>
        </w:tc>
        <w:tc>
          <w:tcPr>
            <w:tcW w:w="201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bank-service</w:t>
            </w:r>
          </w:p>
        </w:tc>
        <w:tc>
          <w:tcPr>
            <w:tcW w:w="2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audit-service</w:t>
            </w:r>
          </w:p>
        </w:tc>
        <w:tc>
          <w:tcPr>
            <w:tcW w:w="26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bank.verifier_key_registered</w:t>
            </w:r>
          </w:p>
        </w:tc>
        <w:tc>
          <w:tcPr>
            <w:tcW w:w="201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bank-service</w:t>
            </w:r>
          </w:p>
        </w:tc>
        <w:tc>
          <w:tcPr>
            <w:tcW w:w="2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audit-service</w:t>
            </w:r>
          </w:p>
        </w:tc>
        <w:tc>
          <w:tcPr>
            <w:tcW w:w="26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bank.large_transaction_flagged</w:t>
            </w:r>
          </w:p>
        </w:tc>
        <w:tc>
          <w:tcPr>
            <w:tcW w:w="201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bank-service</w:t>
            </w:r>
          </w:p>
        </w:tc>
        <w:tc>
          <w:tcPr>
            <w:tcW w:w="2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reputation-service, audit-service</w:t>
            </w:r>
          </w:p>
        </w:tc>
        <w:tc>
          <w:tcPr>
            <w:tcW w:w="26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bank.suspicious_report_created</w:t>
            </w:r>
          </w:p>
        </w:tc>
        <w:tc>
          <w:tcPr>
            <w:tcW w:w="201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bank-service</w:t>
            </w:r>
          </w:p>
        </w:tc>
        <w:tc>
          <w:tcPr>
            <w:tcW w:w="2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audit-service</w:t>
            </w:r>
          </w:p>
        </w:tc>
        <w:tc>
          <w:tcPr>
            <w:tcW w:w="26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analytics.structuring_pattern_detected</w:t>
            </w:r>
          </w:p>
        </w:tc>
        <w:tc>
          <w:tcPr>
            <w:tcW w:w="201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analytics-service</w:t>
            </w:r>
          </w:p>
        </w:tc>
        <w:tc>
          <w:tcPr>
            <w:tcW w:w="2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reputation-service, bank-service</w:t>
            </w:r>
          </w:p>
        </w:tc>
        <w:tc>
          <w:tcPr>
            <w:tcW w:w="26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reputation.elevated_risk_cleared</w:t>
            </w:r>
          </w:p>
        </w:tc>
        <w:tc>
          <w:tcPr>
            <w:tcW w:w="201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reputation-service</w:t>
            </w:r>
          </w:p>
        </w:tc>
        <w:tc>
          <w:tcPr>
            <w:tcW w:w="2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audit-service</w:t>
            </w:r>
          </w:p>
        </w:tc>
        <w:tc>
          <w:tcPr>
            <w:tcW w:w="26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inspection.level2_commissioned</w:t>
            </w:r>
          </w:p>
        </w:tc>
        <w:tc>
          <w:tcPr>
            <w:tcW w:w="201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inspection-service</w:t>
            </w:r>
          </w:p>
        </w:tc>
        <w:tc>
          <w:tcPr>
            <w:tcW w:w="2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audit-service</w:t>
            </w:r>
          </w:p>
        </w:tc>
        <w:tc>
          <w:tcPr>
            <w:tcW w:w="26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r>
        <w:trPr>
          <w:cantSplit w:val="true"/>
        </w:trPr>
        <w:tc>
          <w:tcPr>
            <w:tcW w:w="23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file.email_notice</w:t>
            </w:r>
          </w:p>
        </w:tc>
        <w:tc>
          <w:tcPr>
            <w:tcW w:w="201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file-service</w:t>
            </w:r>
          </w:p>
        </w:tc>
        <w:tc>
          <w:tcPr>
            <w:tcW w:w="2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inspection-service</w:t>
            </w:r>
          </w:p>
        </w:tc>
        <w:tc>
          <w:tcPr>
            <w:tcW w:w="26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event; consumers apply the frozen side-effect boundary and durable idempotency rules</w:t>
            </w:r>
          </w:p>
        </w:tc>
      </w:tr>
    </w:tbl>
    <w:p>
      <w:pPr>
        <w:pStyle w:val="Heading2"/>
        <w:spacing w:before="240" w:after="80"/>
        <w:rPr/>
      </w:pPr>
      <w:bookmarkStart w:id="16" w:name="__RefHeading___Toc3270_AgriContract"/>
      <w:bookmarkEnd w:id="16"/>
      <w:r>
        <w:rPr>
          <w:rFonts w:eastAsia="Calibri" w:cs="Calibri" w:ascii="Calibri" w:hAnsi="Calibri"/>
          <w:b/>
          <w:bCs/>
          <w:color w:val="1F2A37"/>
          <w:sz w:val="25"/>
          <w:szCs w:val="25"/>
        </w:rPr>
        <w:t>5.3 Notification command catalog</w:t>
      </w:r>
    </w:p>
    <w:tbl>
      <w:tblPr>
        <w:tblW w:w="9638" w:type="dxa"/>
        <w:jc w:val="start"/>
        <w:tblInd w:w="0" w:type="dxa"/>
        <w:tblLayout w:type="fixed"/>
        <w:tblCellMar>
          <w:top w:w="60" w:type="dxa"/>
          <w:start w:w="90" w:type="dxa"/>
          <w:bottom w:w="60" w:type="dxa"/>
          <w:end w:w="90" w:type="dxa"/>
        </w:tblCellMar>
      </w:tblPr>
      <w:tblGrid>
        <w:gridCol w:w="2580"/>
        <w:gridCol w:w="2095"/>
        <w:gridCol w:w="2135"/>
        <w:gridCol w:w="2828"/>
      </w:tblGrid>
      <w:tr>
        <w:trPr>
          <w:tblHeader w:val="true"/>
          <w:cantSplit w:val="true"/>
        </w:trPr>
        <w:tc>
          <w:tcPr>
            <w:tcW w:w="258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Command</w:t>
            </w:r>
          </w:p>
        </w:tc>
        <w:tc>
          <w:tcPr>
            <w:tcW w:w="2095"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Producer</w:t>
            </w:r>
          </w:p>
        </w:tc>
        <w:tc>
          <w:tcPr>
            <w:tcW w:w="2135"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Consumer</w:t>
            </w:r>
          </w:p>
        </w:tc>
        <w:tc>
          <w:tcPr>
            <w:tcW w:w="282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Payload required</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notification.contract_anchor_requested</w:t>
            </w:r>
          </w:p>
        </w:tc>
        <w:tc>
          <w:tcPr>
            <w:tcW w:w="209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13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contractTermsSnapshot</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signedContentHash</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signedAt</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notification.contract_document_ready_requested</w:t>
            </w:r>
          </w:p>
        </w:tc>
        <w:tc>
          <w:tcPr>
            <w:tcW w:w="209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13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documentId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fileId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sourceContentHash</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documentFileHash</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templateCode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templateVersion</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generatedAt</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notification.contract_activation_failed_requested</w:t>
            </w:r>
          </w:p>
        </w:tc>
        <w:tc>
          <w:tcPr>
            <w:tcW w:w="209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13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failedLeg</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buyerDepositState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sellerDepositState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nextActions</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notification.contract_terminated_requested</w:t>
            </w:r>
          </w:p>
        </w:tc>
        <w:tc>
          <w:tcPr>
            <w:tcW w:w="209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13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terminationType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requestedBy</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finalBreachingRole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breachReasonCode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remedyDecisionId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breachCaseId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affectedMilestoneIds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supersededByContractId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replacesContractId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remedyLegs</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notification.breach_notice_requested</w:t>
            </w:r>
          </w:p>
        </w:tc>
        <w:tc>
          <w:tcPr>
            <w:tcW w:w="209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13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breachCaseId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breachReasonCode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severity</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evidenceRefs</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notification.remedy_finalized_requested</w:t>
            </w:r>
          </w:p>
        </w:tc>
        <w:tc>
          <w:tcPr>
            <w:tcW w:w="209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13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remedyDecisionId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attributionDecisionId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breachCaseId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buyerId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sellerId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affectedMilestoneIds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finalBreachingRole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breachReasonCode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decisionSource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penaltyEligible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reputationEligible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remedyLegs</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notification.milestone_funding_status_requested</w:t>
            </w:r>
          </w:p>
        </w:tc>
        <w:tc>
          <w:tcPr>
            <w:tcW w:w="209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13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statusType</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notification.milestone_status_requested</w:t>
            </w:r>
          </w:p>
        </w:tc>
        <w:tc>
          <w:tcPr>
            <w:tcW w:w="209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13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statusType</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notification.milestone_anchor_requested</w:t>
            </w:r>
          </w:p>
        </w:tc>
        <w:tc>
          <w:tcPr>
            <w:tcW w:w="209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audit-service</w:t>
            </w:r>
          </w:p>
        </w:tc>
        <w:tc>
          <w:tcPr>
            <w:tcW w:w="213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recordHash</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otsProof</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settlementSummary</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notification.level2_commission_requested</w:t>
            </w:r>
          </w:p>
        </w:tc>
        <w:tc>
          <w:tcPr>
            <w:tcW w:w="209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inspection-service</w:t>
            </w:r>
          </w:p>
        </w:tc>
        <w:tc>
          <w:tcPr>
            <w:tcW w:w="213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commissionId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org</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intakeAddress</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notification.audit_digest_requested</w:t>
            </w:r>
          </w:p>
        </w:tc>
        <w:tc>
          <w:tcPr>
            <w:tcW w:w="209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audit-service</w:t>
            </w:r>
          </w:p>
        </w:tc>
        <w:tc>
          <w:tcPr>
            <w:tcW w:w="213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recordHash</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notification.audit_failure_requested</w:t>
            </w:r>
          </w:p>
        </w:tc>
        <w:tc>
          <w:tcPr>
            <w:tcW w:w="209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audit-service</w:t>
            </w:r>
          </w:p>
        </w:tc>
        <w:tc>
          <w:tcPr>
            <w:tcW w:w="213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failureSummary</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notification.security_lock_changed_requested</w:t>
            </w:r>
          </w:p>
        </w:tc>
        <w:tc>
          <w:tcPr>
            <w:tcW w:w="209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bank-service</w:t>
            </w:r>
          </w:p>
        </w:tc>
        <w:tc>
          <w:tcPr>
            <w:tcW w:w="213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action</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reason</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timestamp</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notification.reconciliation_mismatch_requested</w:t>
            </w:r>
          </w:p>
        </w:tc>
        <w:tc>
          <w:tcPr>
            <w:tcW w:w="209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bank-service</w:t>
            </w:r>
          </w:p>
        </w:tc>
        <w:tc>
          <w:tcPr>
            <w:tcW w:w="213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mismatchSummary</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notification.user_kyc_result_requested</w:t>
            </w:r>
          </w:p>
        </w:tc>
        <w:tc>
          <w:tcPr>
            <w:tcW w:w="209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user-service</w:t>
            </w:r>
          </w:p>
        </w:tc>
        <w:tc>
          <w:tcPr>
            <w:tcW w:w="213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userId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recipientEmail</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organizationName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result</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decidedAt</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notification.user_lock_changed_requested</w:t>
            </w:r>
          </w:p>
        </w:tc>
        <w:tc>
          <w:tcPr>
            <w:tcW w:w="209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user-service</w:t>
            </w:r>
          </w:p>
        </w:tc>
        <w:tc>
          <w:tcPr>
            <w:tcW w:w="213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userId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recipientEmail</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action</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reasonCode</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notification.verifier_key_anchor_requested</w:t>
            </w:r>
          </w:p>
        </w:tc>
        <w:tc>
          <w:tcPr>
            <w:tcW w:w="209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bank-service</w:t>
            </w:r>
          </w:p>
        </w:tc>
        <w:tc>
          <w:tcPr>
            <w:tcW w:w="213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recipientEmail</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publicKeyFingerprint</w:t>
            </w:r>
          </w:p>
        </w:tc>
      </w:tr>
    </w:tbl>
    <w:p>
      <w:pPr>
        <w:pStyle w:val="Heading1"/>
        <w:pBdr>
          <w:bottom w:val="single" w:sz="6" w:space="6" w:color="D1D5DB"/>
        </w:pBdr>
        <w:spacing w:before="320" w:after="120"/>
        <w:rPr/>
      </w:pPr>
      <w:bookmarkStart w:id="17" w:name="__RefHeading___Toc3272_AgriContract"/>
      <w:bookmarkEnd w:id="17"/>
      <w:r>
        <w:rPr>
          <w:rFonts w:eastAsia="Calibri" w:cs="Calibri" w:ascii="Calibri" w:hAnsi="Calibri"/>
          <w:b/>
          <w:bCs/>
          <w:color w:val="1F2A37"/>
          <w:sz w:val="30"/>
          <w:szCs w:val="30"/>
        </w:rPr>
        <w:t>6. Data architecture và invariant storage</w:t>
      </w:r>
    </w:p>
    <w:p>
      <w:pPr>
        <w:pStyle w:val="Heading2"/>
        <w:spacing w:before="240" w:after="80"/>
        <w:rPr/>
      </w:pPr>
      <w:bookmarkStart w:id="18" w:name="__RefHeading___Toc3274_AgriContract"/>
      <w:bookmarkEnd w:id="18"/>
      <w:r>
        <w:rPr>
          <w:rFonts w:eastAsia="Calibri" w:cs="Calibri" w:ascii="Calibri" w:hAnsi="Calibri"/>
          <w:b/>
          <w:bCs/>
          <w:color w:val="1F2A37"/>
          <w:sz w:val="25"/>
          <w:szCs w:val="25"/>
        </w:rPr>
        <w:t>6.1 Database-per-service</w:t>
      </w:r>
    </w:p>
    <w:p>
      <w:pPr>
        <w:pStyle w:val="Normal"/>
        <w:spacing w:lineRule="auto" w:line="276" w:before="0" w:after="120"/>
        <w:jc w:val="both"/>
        <w:rPr/>
      </w:pPr>
      <w:r>
        <w:rPr>
          <w:rFonts w:eastAsia="Calibri" w:cs="Calibri"/>
          <w:b w:val="false"/>
          <w:bCs w:val="false"/>
          <w:i w:val="false"/>
          <w:iCs w:val="false"/>
          <w:color w:val="111827"/>
          <w:sz w:val="21"/>
          <w:szCs w:val="21"/>
        </w:rPr>
        <w:t>Mỗi service có schema và DB user riêng. FK chỉ tồn tại trong schema owner; cross-service ID là UUID snapshot/reference. Migration deployment theo producer/consumer compatibility và outbox; không dùng distributed transaction.</w:t>
      </w:r>
    </w:p>
    <w:p>
      <w:pPr>
        <w:pStyle w:val="Heading2"/>
        <w:spacing w:before="240" w:after="80"/>
        <w:rPr/>
      </w:pPr>
      <w:bookmarkStart w:id="19" w:name="__RefHeading___Toc3276_AgriContract"/>
      <w:bookmarkEnd w:id="19"/>
      <w:r>
        <w:rPr>
          <w:rFonts w:eastAsia="Calibri" w:cs="Calibri" w:ascii="Calibri" w:hAnsi="Calibri"/>
          <w:b/>
          <w:bCs/>
          <w:color w:val="1F2A37"/>
          <w:sz w:val="25"/>
          <w:szCs w:val="25"/>
        </w:rPr>
        <w:t>6.2 Core persistence constraints</w:t>
      </w:r>
    </w:p>
    <w:tbl>
      <w:tblPr>
        <w:tblW w:w="9638" w:type="dxa"/>
        <w:jc w:val="start"/>
        <w:tblInd w:w="0" w:type="dxa"/>
        <w:tblLayout w:type="fixed"/>
        <w:tblCellMar>
          <w:top w:w="60" w:type="dxa"/>
          <w:start w:w="90" w:type="dxa"/>
          <w:bottom w:w="60" w:type="dxa"/>
          <w:end w:w="90" w:type="dxa"/>
        </w:tblCellMar>
      </w:tblPr>
      <w:tblGrid>
        <w:gridCol w:w="2683"/>
        <w:gridCol w:w="3543"/>
        <w:gridCol w:w="3412"/>
      </w:tblGrid>
      <w:tr>
        <w:trPr>
          <w:tblHeader w:val="true"/>
          <w:cantSplit w:val="true"/>
        </w:trPr>
        <w:tc>
          <w:tcPr>
            <w:tcW w:w="2683"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Schema/table</w:t>
            </w:r>
          </w:p>
        </w:tc>
        <w:tc>
          <w:tcPr>
            <w:tcW w:w="3543"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Ràng buộc chính</w:t>
            </w:r>
          </w:p>
        </w:tc>
        <w:tc>
          <w:tcPr>
            <w:tcW w:w="3412"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Invariant</w:t>
            </w:r>
          </w:p>
        </w:tc>
      </w:tr>
      <w:tr>
        <w:trPr>
          <w:cantSplit w:val="true"/>
        </w:trPr>
        <w:tc>
          <w:tcPr>
            <w:tcW w:w="268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contract/remedy</w:t>
            </w:r>
          </w:p>
        </w:tc>
        <w:tc>
          <w:tcPr>
            <w:tcW w:w="35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immutable signed terms hash; unique decision IDs; state/version</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Hai chữ ký cùng terms; allegation không sửa decision đã final</w:t>
            </w:r>
          </w:p>
        </w:tc>
      </w:tr>
      <w:tr>
        <w:trPr>
          <w:cantSplit w:val="true"/>
        </w:trPr>
        <w:tc>
          <w:tcPr>
            <w:tcW w:w="268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bank.ledger_entry</w:t>
            </w:r>
          </w:p>
        </w:tc>
        <w:tc>
          <w:tcPr>
            <w:tcW w:w="35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append-only; source_event_id unique; remedy_leg_id partial unique; amount positive</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No double money; one decision may have many legs</w:t>
            </w:r>
          </w:p>
        </w:tc>
      </w:tr>
      <w:tr>
        <w:trPr>
          <w:cantSplit w:val="true"/>
        </w:trPr>
        <w:tc>
          <w:tcPr>
            <w:tcW w:w="268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reputation.lock_entry</w:t>
            </w:r>
          </w:p>
        </w:tc>
        <w:tc>
          <w:tcPr>
            <w:tcW w:w="35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insert-only; remedy_decision_id unique; source_event_id unique</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w:t>
            </w:r>
            <w:r>
              <w:rPr>
                <w:rFonts w:eastAsia="Calibri" w:cs="Calibri"/>
                <w:b w:val="false"/>
                <w:bCs w:val="false"/>
                <w:i w:val="false"/>
                <w:iCs w:val="false"/>
                <w:color w:val="111827"/>
                <w:sz w:val="19"/>
                <w:szCs w:val="19"/>
              </w:rPr>
              <w:t>1 lock/decision; history không UPDATE</w:t>
            </w:r>
          </w:p>
        </w:tc>
      </w:tr>
      <w:tr>
        <w:trPr>
          <w:cantSplit w:val="true"/>
        </w:trPr>
        <w:tc>
          <w:tcPr>
            <w:tcW w:w="268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audit.audit_record</w:t>
            </w:r>
          </w:p>
        </w:tc>
        <w:tc>
          <w:tcPr>
            <w:tcW w:w="35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source_event_id unique; chain sequence/hash unique; append-only grants</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Replay/tamper detected</w:t>
            </w:r>
          </w:p>
        </w:tc>
      </w:tr>
      <w:tr>
        <w:trPr>
          <w:cantSplit w:val="true"/>
        </w:trPr>
        <w:tc>
          <w:tcPr>
            <w:tcW w:w="268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file</w:t>
            </w:r>
          </w:p>
        </w:tc>
        <w:tc>
          <w:tcPr>
            <w:tcW w:w="35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ingest channel server-derived; state; legal_hold; tombstone/version</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File infected không READY; hold chặn xoá</w:t>
            </w:r>
          </w:p>
        </w:tc>
      </w:tr>
      <w:tr>
        <w:trPr>
          <w:cantSplit w:val="true"/>
        </w:trPr>
        <w:tc>
          <w:tcPr>
            <w:tcW w:w="268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user projection</w:t>
            </w:r>
          </w:p>
        </w:tc>
        <w:tc>
          <w:tcPr>
            <w:tcW w:w="35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last_lock_revision persisted</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Old event không ghi đè sau restart</w:t>
            </w:r>
          </w:p>
        </w:tc>
      </w:tr>
      <w:tr>
        <w:trPr>
          <w:cantSplit w:val="true"/>
        </w:trPr>
        <w:tc>
          <w:tcPr>
            <w:tcW w:w="268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analytics</w:t>
            </w:r>
          </w:p>
        </w:tc>
        <w:tc>
          <w:tcPr>
            <w:tcW w:w="35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processed_event + month bucket key</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At-least-once safe; recompute touched months</w:t>
            </w:r>
          </w:p>
        </w:tc>
      </w:tr>
      <w:tr>
        <w:trPr>
          <w:cantSplit w:val="true"/>
        </w:trPr>
        <w:tc>
          <w:tcPr>
            <w:tcW w:w="268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notification_log</w:t>
            </w:r>
          </w:p>
        </w:tc>
        <w:tc>
          <w:tcPr>
            <w:tcW w:w="35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event/recipient/type unique</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Retry không gửi trùng</w:t>
            </w:r>
          </w:p>
        </w:tc>
      </w:tr>
    </w:tbl>
    <w:p>
      <w:pPr>
        <w:pStyle w:val="Heading1"/>
        <w:pBdr>
          <w:bottom w:val="single" w:sz="6" w:space="6" w:color="D1D5DB"/>
        </w:pBdr>
        <w:spacing w:before="320" w:after="120"/>
        <w:rPr/>
      </w:pPr>
      <w:bookmarkStart w:id="20" w:name="__RefHeading___Toc3278_AgriContract"/>
      <w:bookmarkEnd w:id="20"/>
      <w:r>
        <w:rPr>
          <w:rFonts w:eastAsia="Calibri" w:cs="Calibri" w:ascii="Calibri" w:hAnsi="Calibri"/>
          <w:b/>
          <w:bCs/>
          <w:color w:val="1F2A37"/>
          <w:sz w:val="30"/>
          <w:szCs w:val="30"/>
        </w:rPr>
        <w:t>7. State machines và choreography</w:t>
      </w:r>
    </w:p>
    <w:p>
      <w:pPr>
        <w:pStyle w:val="Heading2"/>
        <w:spacing w:before="240" w:after="80"/>
        <w:rPr/>
      </w:pPr>
      <w:bookmarkStart w:id="21" w:name="__RefHeading___Toc3280_AgriContract"/>
      <w:bookmarkEnd w:id="21"/>
      <w:r>
        <w:rPr>
          <w:rFonts w:eastAsia="Calibri" w:cs="Calibri" w:ascii="Calibri" w:hAnsi="Calibri"/>
          <w:b/>
          <w:bCs/>
          <w:color w:val="1F2A37"/>
          <w:sz w:val="25"/>
          <w:szCs w:val="25"/>
        </w:rPr>
        <w:t>7.1 Contract lifecycle</w:t>
      </w:r>
    </w:p>
    <w:p>
      <w:pPr>
        <w:pStyle w:val="Normal"/>
        <w:spacing w:lineRule="auto" w:line="276" w:before="0" w:after="120"/>
        <w:jc w:val="both"/>
        <w:rPr/>
      </w:pPr>
      <w:r>
        <w:rPr>
          <w:rFonts w:eastAsia="Consolas" w:cs="Consolas" w:ascii="Consolas" w:hAnsi="Consolas"/>
          <w:b w:val="false"/>
          <w:bCs w:val="false"/>
          <w:i w:val="false"/>
          <w:iCs w:val="false"/>
          <w:color w:val="111827"/>
          <w:sz w:val="19"/>
          <w:szCs w:val="19"/>
        </w:rPr>
        <w:t>OFFERED → NEGOTIATING → SIGNED → ACTIVE</w:t>
      </w:r>
      <w:r>
        <w:rPr>
          <w:rFonts w:eastAsia="Calibri" w:cs="Calibri"/>
          <w:b w:val="false"/>
          <w:bCs w:val="false"/>
          <w:i w:val="false"/>
          <w:iCs w:val="false"/>
          <w:color w:val="111827"/>
          <w:sz w:val="21"/>
          <w:szCs w:val="21"/>
        </w:rPr>
        <w:t xml:space="preserve">. Từ pre-sign có thể </w:t>
      </w:r>
      <w:r>
        <w:rPr>
          <w:rFonts w:eastAsia="Consolas" w:cs="Consolas" w:ascii="Consolas" w:hAnsi="Consolas"/>
          <w:b w:val="false"/>
          <w:bCs w:val="false"/>
          <w:i w:val="false"/>
          <w:iCs w:val="false"/>
          <w:color w:val="111827"/>
          <w:sz w:val="19"/>
          <w:szCs w:val="19"/>
        </w:rPr>
        <w:t>WITHDRAWN</w:t>
      </w:r>
      <w:r>
        <w:rPr>
          <w:rFonts w:eastAsia="Calibri" w:cs="Calibri"/>
          <w:b w:val="false"/>
          <w:bCs w:val="false"/>
          <w:i w:val="false"/>
          <w:iCs w:val="false"/>
          <w:color w:val="111827"/>
          <w:sz w:val="21"/>
          <w:szCs w:val="21"/>
        </w:rPr>
        <w:t xml:space="preserve">; activation failure đi </w:t>
      </w:r>
      <w:r>
        <w:rPr>
          <w:rFonts w:eastAsia="Consolas" w:cs="Consolas" w:ascii="Consolas" w:hAnsi="Consolas"/>
          <w:b w:val="false"/>
          <w:bCs w:val="false"/>
          <w:i w:val="false"/>
          <w:iCs w:val="false"/>
          <w:color w:val="111827"/>
          <w:sz w:val="19"/>
          <w:szCs w:val="19"/>
        </w:rPr>
        <w:t>ACTIVATION_REFUND_PENDING → ACTIVATION_FAILED</w:t>
      </w:r>
      <w:r>
        <w:rPr>
          <w:rFonts w:eastAsia="Calibri" w:cs="Calibri"/>
          <w:b w:val="false"/>
          <w:bCs w:val="false"/>
          <w:i w:val="false"/>
          <w:iCs w:val="false"/>
          <w:color w:val="111827"/>
          <w:sz w:val="21"/>
          <w:szCs w:val="21"/>
        </w:rPr>
        <w:t xml:space="preserve">; replacement đi </w:t>
      </w:r>
      <w:r>
        <w:rPr>
          <w:rFonts w:eastAsia="Consolas" w:cs="Consolas" w:ascii="Consolas" w:hAnsi="Consolas"/>
          <w:b w:val="false"/>
          <w:bCs w:val="false"/>
          <w:i w:val="false"/>
          <w:iCs w:val="false"/>
          <w:color w:val="111827"/>
          <w:sz w:val="19"/>
          <w:szCs w:val="19"/>
        </w:rPr>
        <w:t>REPLACEMENT_PENDING → SUPERSEDE_REFUND_PENDING → SUPERSEDED</w:t>
      </w:r>
      <w:r>
        <w:rPr>
          <w:rFonts w:eastAsia="Calibri" w:cs="Calibri"/>
          <w:b w:val="false"/>
          <w:bCs w:val="false"/>
          <w:i w:val="false"/>
          <w:iCs w:val="false"/>
          <w:color w:val="111827"/>
          <w:sz w:val="21"/>
          <w:szCs w:val="21"/>
        </w:rPr>
        <w:t xml:space="preserve">; completion đi </w:t>
      </w:r>
      <w:r>
        <w:rPr>
          <w:rFonts w:eastAsia="Consolas" w:cs="Consolas" w:ascii="Consolas" w:hAnsi="Consolas"/>
          <w:b w:val="false"/>
          <w:bCs w:val="false"/>
          <w:i w:val="false"/>
          <w:iCs w:val="false"/>
          <w:color w:val="111827"/>
          <w:sz w:val="19"/>
          <w:szCs w:val="19"/>
        </w:rPr>
        <w:t>SETTLED</w:t>
      </w:r>
      <w:r>
        <w:rPr>
          <w:rFonts w:eastAsia="Calibri" w:cs="Calibri"/>
          <w:b w:val="false"/>
          <w:bCs w:val="false"/>
          <w:i w:val="false"/>
          <w:iCs w:val="false"/>
          <w:color w:val="111827"/>
          <w:sz w:val="21"/>
          <w:szCs w:val="21"/>
        </w:rPr>
        <w:t xml:space="preserve">; các nhánh chấm dứt khác đi </w:t>
      </w:r>
      <w:r>
        <w:rPr>
          <w:rFonts w:eastAsia="Consolas" w:cs="Consolas" w:ascii="Consolas" w:hAnsi="Consolas"/>
          <w:b w:val="false"/>
          <w:bCs w:val="false"/>
          <w:i w:val="false"/>
          <w:iCs w:val="false"/>
          <w:color w:val="111827"/>
          <w:sz w:val="19"/>
          <w:szCs w:val="19"/>
        </w:rPr>
        <w:t>TERMINATED</w:t>
      </w:r>
      <w:r>
        <w:rPr>
          <w:rFonts w:eastAsia="Calibri" w:cs="Calibri"/>
          <w:b w:val="false"/>
          <w:bCs w:val="false"/>
          <w:i w:val="false"/>
          <w:iCs w:val="false"/>
          <w:color w:val="111827"/>
          <w:sz w:val="21"/>
          <w:szCs w:val="21"/>
        </w:rPr>
        <w:t xml:space="preserve"> sau reconciliation.</w:t>
      </w:r>
    </w:p>
    <w:p>
      <w:pPr>
        <w:pStyle w:val="Normal"/>
        <w:spacing w:lineRule="auto" w:line="276" w:before="0" w:after="120"/>
        <w:jc w:val="both"/>
        <w:rPr/>
      </w:pPr>
      <w:r>
        <w:rPr>
          <w:rFonts w:eastAsia="Calibri" w:cs="Calibri"/>
          <w:b w:val="false"/>
          <w:bCs w:val="false"/>
          <w:i w:val="false"/>
          <w:iCs w:val="false"/>
          <w:color w:val="111827"/>
          <w:sz w:val="21"/>
          <w:szCs w:val="21"/>
        </w:rPr>
        <w:t xml:space="preserve">Không có current state </w:t>
      </w:r>
      <w:r>
        <w:rPr>
          <w:rFonts w:eastAsia="Consolas" w:cs="Consolas" w:ascii="Consolas" w:hAnsi="Consolas"/>
          <w:b w:val="false"/>
          <w:bCs w:val="false"/>
          <w:i w:val="false"/>
          <w:iCs w:val="false"/>
          <w:color w:val="111827"/>
          <w:sz w:val="19"/>
          <w:szCs w:val="19"/>
        </w:rPr>
        <w:t>CANCELLED</w:t>
      </w:r>
      <w:r>
        <w:rPr>
          <w:rFonts w:eastAsia="Calibri" w:cs="Calibri"/>
          <w:b w:val="false"/>
          <w:bCs w:val="false"/>
          <w:i w:val="false"/>
          <w:iCs w:val="false"/>
          <w:color w:val="111827"/>
          <w:sz w:val="21"/>
          <w:szCs w:val="21"/>
        </w:rPr>
        <w:t xml:space="preserve"> hoặc </w:t>
      </w:r>
      <w:r>
        <w:rPr>
          <w:rFonts w:eastAsia="Consolas" w:cs="Consolas" w:ascii="Consolas" w:hAnsi="Consolas"/>
          <w:b w:val="false"/>
          <w:bCs w:val="false"/>
          <w:i w:val="false"/>
          <w:iCs w:val="false"/>
          <w:color w:val="111827"/>
          <w:sz w:val="19"/>
          <w:szCs w:val="19"/>
        </w:rPr>
        <w:t>DELIVERED</w:t>
      </w:r>
      <w:r>
        <w:rPr>
          <w:rFonts w:eastAsia="Calibri" w:cs="Calibri"/>
          <w:b w:val="false"/>
          <w:bCs w:val="false"/>
          <w:i w:val="false"/>
          <w:iCs w:val="false"/>
          <w:color w:val="111827"/>
          <w:sz w:val="21"/>
          <w:szCs w:val="21"/>
        </w:rPr>
        <w:t xml:space="preserve">. Terminal state luôn zero-lock; </w:t>
      </w:r>
      <w:r>
        <w:rPr>
          <w:rFonts w:eastAsia="Consolas" w:cs="Consolas" w:ascii="Consolas" w:hAnsi="Consolas"/>
          <w:b w:val="false"/>
          <w:bCs w:val="false"/>
          <w:i w:val="false"/>
          <w:iCs w:val="false"/>
          <w:color w:val="111827"/>
          <w:sz w:val="19"/>
          <w:szCs w:val="19"/>
        </w:rPr>
        <w:t>WITHDRAWN</w:t>
      </w:r>
      <w:r>
        <w:rPr>
          <w:rFonts w:eastAsia="Calibri" w:cs="Calibri"/>
          <w:b w:val="false"/>
          <w:bCs w:val="false"/>
          <w:i w:val="false"/>
          <w:iCs w:val="false"/>
          <w:color w:val="111827"/>
          <w:sz w:val="21"/>
          <w:szCs w:val="21"/>
        </w:rPr>
        <w:t xml:space="preserve"> là ngoại lệ đơn giản vì chưa phát sinh lock.</w:t>
      </w:r>
    </w:p>
    <w:p>
      <w:pPr>
        <w:pStyle w:val="Heading2"/>
        <w:spacing w:before="240" w:after="80"/>
        <w:rPr/>
      </w:pPr>
      <w:bookmarkStart w:id="22" w:name="__RefHeading___Toc3282_AgriContract"/>
      <w:bookmarkEnd w:id="22"/>
      <w:r>
        <w:rPr>
          <w:rFonts w:eastAsia="Calibri" w:cs="Calibri" w:ascii="Calibri" w:hAnsi="Calibri"/>
          <w:b/>
          <w:bCs/>
          <w:color w:val="1F2A37"/>
          <w:sz w:val="25"/>
          <w:szCs w:val="25"/>
        </w:rPr>
        <w:t>7.2 Attribution/remedy</w:t>
      </w:r>
    </w:p>
    <w:p>
      <w:pPr>
        <w:pStyle w:val="Normal"/>
        <w:spacing w:lineRule="auto" w:line="276" w:before="0" w:after="120"/>
        <w:jc w:val="both"/>
        <w:rPr/>
      </w:pPr>
      <w:r>
        <w:rPr>
          <w:rFonts w:eastAsia="Calibri" w:cs="Calibri"/>
          <w:b w:val="false"/>
          <w:bCs w:val="false"/>
          <w:i w:val="false"/>
          <w:iCs w:val="false"/>
          <w:color w:val="111827"/>
          <w:sz w:val="21"/>
          <w:szCs w:val="21"/>
        </w:rPr>
        <w:t xml:space="preserve">Rổ A: objective guard → </w:t>
      </w:r>
      <w:r>
        <w:rPr>
          <w:rFonts w:eastAsia="Consolas" w:cs="Consolas" w:ascii="Consolas" w:hAnsi="Consolas"/>
          <w:b w:val="false"/>
          <w:bCs w:val="false"/>
          <w:i w:val="false"/>
          <w:iCs w:val="false"/>
          <w:color w:val="111827"/>
          <w:sz w:val="19"/>
          <w:szCs w:val="19"/>
        </w:rPr>
        <w:t>AttributionDecision(SYSTEM)</w:t>
      </w:r>
      <w:r>
        <w:rPr>
          <w:rFonts w:eastAsia="Calibri" w:cs="Calibri"/>
          <w:b w:val="false"/>
          <w:bCs w:val="false"/>
          <w:i w:val="false"/>
          <w:iCs w:val="false"/>
          <w:color w:val="111827"/>
          <w:sz w:val="21"/>
          <w:szCs w:val="21"/>
        </w:rPr>
        <w:t xml:space="preserve"> → </w:t>
      </w:r>
      <w:r>
        <w:rPr>
          <w:rFonts w:eastAsia="Consolas" w:cs="Consolas" w:ascii="Consolas" w:hAnsi="Consolas"/>
          <w:b w:val="false"/>
          <w:bCs w:val="false"/>
          <w:i w:val="false"/>
          <w:iCs w:val="false"/>
          <w:color w:val="111827"/>
          <w:sz w:val="19"/>
          <w:szCs w:val="19"/>
        </w:rPr>
        <w:t>RemedyDecision</w:t>
      </w:r>
      <w:r>
        <w:rPr>
          <w:rFonts w:eastAsia="Calibri" w:cs="Calibri"/>
          <w:b w:val="false"/>
          <w:bCs w:val="false"/>
          <w:i w:val="false"/>
          <w:iCs w:val="false"/>
          <w:color w:val="111827"/>
          <w:sz w:val="21"/>
          <w:szCs w:val="21"/>
        </w:rPr>
        <w:t xml:space="preserve">. Rổ B: </w:t>
      </w:r>
      <w:r>
        <w:rPr>
          <w:rFonts w:eastAsia="Consolas" w:cs="Consolas" w:ascii="Consolas" w:hAnsi="Consolas"/>
          <w:b w:val="false"/>
          <w:bCs w:val="false"/>
          <w:i w:val="false"/>
          <w:iCs w:val="false"/>
          <w:color w:val="111827"/>
          <w:sz w:val="19"/>
          <w:szCs w:val="19"/>
        </w:rPr>
        <w:t>BreachCase REPORTED → UNDER_REVIEW → RESOLVED</w:t>
      </w:r>
      <w:r>
        <w:rPr>
          <w:rFonts w:eastAsia="Calibri" w:cs="Calibri"/>
          <w:b w:val="false"/>
          <w:bCs w:val="false"/>
          <w:i w:val="false"/>
          <w:iCs w:val="false"/>
          <w:color w:val="111827"/>
          <w:sz w:val="21"/>
          <w:szCs w:val="21"/>
        </w:rPr>
        <w:t xml:space="preserve"> → decision. </w:t>
      </w:r>
      <w:r>
        <w:rPr>
          <w:rFonts w:eastAsia="Consolas" w:cs="Consolas" w:ascii="Consolas" w:hAnsi="Consolas"/>
          <w:b w:val="false"/>
          <w:bCs w:val="false"/>
          <w:i w:val="false"/>
          <w:iCs w:val="false"/>
          <w:color w:val="111827"/>
          <w:sz w:val="19"/>
          <w:szCs w:val="19"/>
        </w:rPr>
        <w:t>finalBreachingRole = null</w:t>
      </w:r>
      <w:r>
        <w:rPr>
          <w:rFonts w:eastAsia="Calibri" w:cs="Calibri"/>
          <w:b w:val="false"/>
          <w:bCs w:val="false"/>
          <w:i w:val="false"/>
          <w:iCs w:val="false"/>
          <w:color w:val="111827"/>
          <w:sz w:val="21"/>
          <w:szCs w:val="21"/>
        </w:rPr>
        <w:t xml:space="preserve"> bắt buộc penalty/reputation false và chỉ có settlement/refund legs.</w:t>
      </w:r>
    </w:p>
    <w:p>
      <w:pPr>
        <w:pStyle w:val="Heading2"/>
        <w:spacing w:before="240" w:after="80"/>
        <w:rPr/>
      </w:pPr>
      <w:bookmarkStart w:id="23" w:name="__RefHeading___Toc3284_AgriContract"/>
      <w:bookmarkEnd w:id="23"/>
      <w:r>
        <w:rPr>
          <w:rFonts w:eastAsia="Calibri" w:cs="Calibri" w:ascii="Calibri" w:hAnsi="Calibri"/>
          <w:b/>
          <w:bCs/>
          <w:color w:val="1F2A37"/>
          <w:sz w:val="25"/>
          <w:szCs w:val="25"/>
        </w:rPr>
        <w:t>7.3 Milestone/funding</w:t>
      </w:r>
    </w:p>
    <w:p>
      <w:pPr>
        <w:pStyle w:val="Normal"/>
        <w:spacing w:lineRule="auto" w:line="276" w:before="0" w:after="120"/>
        <w:jc w:val="both"/>
        <w:rPr/>
      </w:pPr>
      <w:r>
        <w:rPr>
          <w:rFonts w:eastAsia="Calibri" w:cs="Calibri"/>
          <w:b w:val="false"/>
          <w:bCs w:val="false"/>
          <w:i w:val="false"/>
          <w:iCs w:val="false"/>
          <w:color w:val="111827"/>
          <w:sz w:val="21"/>
          <w:szCs w:val="21"/>
        </w:rPr>
        <w:t xml:space="preserve">Funding: </w:t>
      </w:r>
      <w:r>
        <w:rPr>
          <w:rFonts w:eastAsia="Consolas" w:cs="Consolas" w:ascii="Consolas" w:hAnsi="Consolas"/>
          <w:b w:val="false"/>
          <w:bCs w:val="false"/>
          <w:i w:val="false"/>
          <w:iCs w:val="false"/>
          <w:color w:val="111827"/>
          <w:sz w:val="19"/>
          <w:szCs w:val="19"/>
        </w:rPr>
        <w:t>FUNDING_PENDING → LOCKED | FUNDING_FAILED</w:t>
      </w:r>
      <w:r>
        <w:rPr>
          <w:rFonts w:eastAsia="Calibri" w:cs="Calibri"/>
          <w:b w:val="false"/>
          <w:bCs w:val="false"/>
          <w:i w:val="false"/>
          <w:iCs w:val="false"/>
          <w:color w:val="111827"/>
          <w:sz w:val="21"/>
          <w:szCs w:val="21"/>
        </w:rPr>
        <w:t xml:space="preserve">; retry/cure có timer riêng. Delivery: </w:t>
      </w:r>
      <w:r>
        <w:rPr>
          <w:rFonts w:eastAsia="Consolas" w:cs="Consolas" w:ascii="Consolas" w:hAnsi="Consolas"/>
          <w:b w:val="false"/>
          <w:bCs w:val="false"/>
          <w:i w:val="false"/>
          <w:iCs w:val="false"/>
          <w:color w:val="111827"/>
          <w:sz w:val="19"/>
          <w:szCs w:val="19"/>
        </w:rPr>
        <w:t>CREATED → IN_PROGRESS → SELLER_WEIGHED → BUYER_RECEIVED → AWAITING_SELLER_RESPONSE/CONTESTED/FORCE_MAJEURE_PENDING_REVIEW → SETTLED</w:t>
      </w:r>
      <w:r>
        <w:rPr>
          <w:rFonts w:eastAsia="Calibri" w:cs="Calibri"/>
          <w:b w:val="false"/>
          <w:bCs w:val="false"/>
          <w:i w:val="false"/>
          <w:iCs w:val="false"/>
          <w:color w:val="111827"/>
          <w:sz w:val="21"/>
          <w:szCs w:val="21"/>
        </w:rPr>
        <w:t>. Inspection pending chặn auto-confirm.</w:t>
      </w:r>
    </w:p>
    <w:p>
      <w:pPr>
        <w:pStyle w:val="Heading2"/>
        <w:spacing w:before="240" w:after="80"/>
        <w:rPr/>
      </w:pPr>
      <w:bookmarkStart w:id="24" w:name="__RefHeading___Toc3286_AgriContract"/>
      <w:bookmarkEnd w:id="24"/>
      <w:r>
        <w:rPr>
          <w:rFonts w:eastAsia="Calibri" w:cs="Calibri" w:ascii="Calibri" w:hAnsi="Calibri"/>
          <w:b/>
          <w:bCs/>
          <w:color w:val="1F2A37"/>
          <w:sz w:val="25"/>
          <w:szCs w:val="25"/>
        </w:rPr>
        <w:t>7.4 Mutual replacement saga</w:t>
      </w:r>
    </w:p>
    <w:p>
      <w:pPr>
        <w:pStyle w:val="Normal"/>
        <w:spacing w:lineRule="auto" w:line="276" w:before="0" w:after="120"/>
        <w:jc w:val="both"/>
        <w:rPr/>
      </w:pPr>
      <w:r>
        <w:rPr>
          <w:rFonts w:eastAsia="Calibri" w:cs="Calibri"/>
          <w:b w:val="false"/>
          <w:bCs w:val="false"/>
          <w:i w:val="false"/>
          <w:iCs w:val="false"/>
          <w:color w:val="111827"/>
          <w:sz w:val="21"/>
          <w:szCs w:val="21"/>
        </w:rPr>
        <w:t xml:space="preserve">Draft/replacement phải đủ hai chữ ký trước khi đụng contract cũ. Khi replacement signed, cũ vào pending, refund toàn bộ lock còn lại, rồi mới </w:t>
      </w:r>
      <w:r>
        <w:rPr>
          <w:rFonts w:eastAsia="Consolas" w:cs="Consolas" w:ascii="Consolas" w:hAnsi="Consolas"/>
          <w:b w:val="false"/>
          <w:bCs w:val="false"/>
          <w:i w:val="false"/>
          <w:iCs w:val="false"/>
          <w:color w:val="111827"/>
          <w:sz w:val="19"/>
          <w:szCs w:val="19"/>
        </w:rPr>
        <w:t>SUPERSEDED</w:t>
      </w:r>
      <w:r>
        <w:rPr>
          <w:rFonts w:eastAsia="Calibri" w:cs="Calibri"/>
          <w:b w:val="false"/>
          <w:bCs w:val="false"/>
          <w:i w:val="false"/>
          <w:iCs w:val="false"/>
          <w:color w:val="111827"/>
          <w:sz w:val="21"/>
          <w:szCs w:val="21"/>
        </w:rPr>
        <w:t>; contract mới tự activation từ zero. Crash ở bất kỳ cửa sổ nào phải để state retryable và không rollback settled history.</w:t>
      </w:r>
    </w:p>
    <w:p>
      <w:pPr>
        <w:pStyle w:val="Heading1"/>
        <w:pBdr>
          <w:bottom w:val="single" w:sz="6" w:space="6" w:color="D1D5DB"/>
        </w:pBdr>
        <w:spacing w:before="320" w:after="120"/>
        <w:rPr/>
      </w:pPr>
      <w:bookmarkStart w:id="25" w:name="__RefHeading___Toc3288_AgriContract"/>
      <w:bookmarkEnd w:id="25"/>
      <w:r>
        <w:rPr>
          <w:rFonts w:eastAsia="Calibri" w:cs="Calibri" w:ascii="Calibri" w:hAnsi="Calibri"/>
          <w:b/>
          <w:bCs/>
          <w:color w:val="1F2A37"/>
          <w:sz w:val="30"/>
          <w:szCs w:val="30"/>
        </w:rPr>
        <w:t>8. Security, governance và evidence</w:t>
      </w:r>
    </w:p>
    <w:p>
      <w:pPr>
        <w:pStyle w:val="Heading2"/>
        <w:spacing w:before="240" w:after="80"/>
        <w:rPr/>
      </w:pPr>
      <w:bookmarkStart w:id="26" w:name="__RefHeading___Toc3290_AgriContract"/>
      <w:bookmarkEnd w:id="26"/>
      <w:r>
        <w:rPr>
          <w:rFonts w:eastAsia="Calibri" w:cs="Calibri" w:ascii="Calibri" w:hAnsi="Calibri"/>
          <w:b/>
          <w:bCs/>
          <w:color w:val="1F2A37"/>
          <w:sz w:val="25"/>
          <w:szCs w:val="25"/>
        </w:rPr>
        <w:t>8.1 Authentication/authorization</w:t>
      </w:r>
    </w:p>
    <w:p>
      <w:pPr>
        <w:pStyle w:val="Normal"/>
        <w:spacing w:lineRule="auto" w:line="276" w:before="0" w:after="120"/>
        <w:jc w:val="both"/>
        <w:rPr/>
      </w:pPr>
      <w:r>
        <w:rPr>
          <w:rFonts w:eastAsia="Calibri" w:cs="Calibri"/>
          <w:b w:val="false"/>
          <w:bCs w:val="false"/>
          <w:i w:val="false"/>
          <w:iCs w:val="false"/>
          <w:color w:val="111827"/>
          <w:sz w:val="21"/>
          <w:szCs w:val="21"/>
        </w:rPr>
        <w:t>JWT cho user; service auth cho internal. Gateway coarse role; service owner fine-grained. Public user DTO không lộ PII; public reputation summary vẫn cần JWT. OPERATOR không truy cập đường ADMIN high-risk; maker-checker chặn self-approval.</w:t>
      </w:r>
    </w:p>
    <w:p>
      <w:pPr>
        <w:pStyle w:val="Heading2"/>
        <w:spacing w:before="240" w:after="80"/>
        <w:rPr/>
      </w:pPr>
      <w:bookmarkStart w:id="27" w:name="__RefHeading___Toc3292_AgriContract"/>
      <w:bookmarkEnd w:id="27"/>
      <w:r>
        <w:rPr>
          <w:rFonts w:eastAsia="Calibri" w:cs="Calibri" w:ascii="Calibri" w:hAnsi="Calibri"/>
          <w:b/>
          <w:bCs/>
          <w:color w:val="1F2A37"/>
          <w:sz w:val="25"/>
          <w:szCs w:val="25"/>
        </w:rPr>
        <w:t>8.2 External Verifier emergency control</w:t>
      </w:r>
    </w:p>
    <w:p>
      <w:pPr>
        <w:pStyle w:val="Normal"/>
        <w:spacing w:lineRule="auto" w:line="276" w:before="0" w:after="120"/>
        <w:jc w:val="both"/>
        <w:rPr/>
      </w:pPr>
      <w:r>
        <w:rPr>
          <w:rFonts w:eastAsia="Calibri" w:cs="Calibri"/>
          <w:b w:val="false"/>
          <w:bCs w:val="false"/>
          <w:i w:val="false"/>
          <w:iCs w:val="false"/>
          <w:color w:val="111827"/>
          <w:sz w:val="21"/>
          <w:szCs w:val="21"/>
        </w:rPr>
        <w:t xml:space="preserve">ES256 public key baked/deploy-time, RFC 8785 canonicalization, timestamp ±300s, nonce persist, action binding. Lock active làm mọi </w:t>
      </w:r>
      <w:r>
        <w:rPr>
          <w:rFonts w:eastAsia="Consolas" w:cs="Consolas" w:ascii="Consolas" w:hAnsi="Consolas"/>
          <w:b w:val="false"/>
          <w:bCs w:val="false"/>
          <w:i w:val="false"/>
          <w:iCs w:val="false"/>
          <w:color w:val="111827"/>
          <w:sz w:val="19"/>
          <w:szCs w:val="19"/>
        </w:rPr>
        <w:t>bank.*_requested</w:t>
      </w:r>
      <w:r>
        <w:rPr>
          <w:rFonts w:eastAsia="Calibri" w:cs="Calibri"/>
          <w:b w:val="false"/>
          <w:bCs w:val="false"/>
          <w:i w:val="false"/>
          <w:iCs w:val="false"/>
          <w:color w:val="111827"/>
          <w:sz w:val="21"/>
          <w:szCs w:val="21"/>
        </w:rPr>
        <w:t xml:space="preserve"> fail. Unlock mirror lock; không Admin bypass. Đây là một control khẩn cấp hẹp, không phải mô hình Zero Trust toàn diện.</w:t>
      </w:r>
    </w:p>
    <w:p>
      <w:pPr>
        <w:pStyle w:val="Heading2"/>
        <w:spacing w:before="240" w:after="80"/>
        <w:rPr/>
      </w:pPr>
      <w:bookmarkStart w:id="28" w:name="__RefHeading___Toc3294_AgriContract"/>
      <w:bookmarkEnd w:id="28"/>
      <w:r>
        <w:rPr>
          <w:rFonts w:eastAsia="Calibri" w:cs="Calibri" w:ascii="Calibri" w:hAnsi="Calibri"/>
          <w:b/>
          <w:bCs/>
          <w:color w:val="1F2A37"/>
          <w:sz w:val="25"/>
          <w:szCs w:val="25"/>
        </w:rPr>
        <w:t>8.3 Evidence scope</w:t>
      </w:r>
    </w:p>
    <w:p>
      <w:pPr>
        <w:pStyle w:val="Normal"/>
        <w:spacing w:lineRule="auto" w:line="276" w:before="0" w:after="120"/>
        <w:jc w:val="both"/>
        <w:rPr/>
      </w:pPr>
      <w:r>
        <w:rPr>
          <w:rFonts w:eastAsia="Calibri" w:cs="Calibri"/>
          <w:b w:val="false"/>
          <w:bCs w:val="false"/>
          <w:i w:val="false"/>
          <w:iCs w:val="false"/>
          <w:color w:val="111827"/>
          <w:sz w:val="21"/>
          <w:szCs w:val="21"/>
        </w:rPr>
        <w:t>Audit hash hỗ trợ kiểm tra record có bị sửa sau commit hay không; content/report hash hỗ trợ kiểm tra artefact bytes/normalized result; OTP ghi nhận challenge holder đã hoàn tất thao tác. Không lớp nào tự chứng minh dữ liệu đầu vào đúng, người thao tác có thẩm quyền pháp lý hoặc điều khoản hợp pháp; giá trị chứng cứ phụ thuộc độ tin cậy, tính toàn vẹn và khả năng xác định chủ thể trong bối cảnh giao dịch. [27]</w:t>
      </w:r>
    </w:p>
    <w:p>
      <w:pPr>
        <w:pStyle w:val="Normal"/>
        <w:spacing w:lineRule="auto" w:line="276" w:before="0" w:after="120"/>
        <w:jc w:val="both"/>
        <w:rPr/>
      </w:pPr>
      <w:r>
        <w:rPr>
          <w:rFonts w:eastAsia="Calibri" w:cs="Calibri"/>
          <w:b w:val="false"/>
          <w:bCs w:val="false"/>
          <w:i w:val="false"/>
          <w:iCs w:val="false"/>
          <w:color w:val="111827"/>
          <w:sz w:val="21"/>
          <w:szCs w:val="21"/>
        </w:rPr>
        <w:t xml:space="preserve">Mỗi hành vi cần xác nhận tạo </w:t>
      </w:r>
      <w:r>
        <w:rPr>
          <w:rFonts w:eastAsia="Consolas" w:cs="Consolas" w:ascii="Consolas" w:hAnsi="Consolas"/>
          <w:b w:val="false"/>
          <w:bCs w:val="false"/>
          <w:i w:val="false"/>
          <w:iCs w:val="false"/>
          <w:color w:val="111827"/>
          <w:sz w:val="19"/>
          <w:szCs w:val="19"/>
        </w:rPr>
        <w:t>ConsentEvidence</w:t>
      </w:r>
      <w:r>
        <w:rPr>
          <w:rFonts w:eastAsia="Calibri" w:cs="Calibri"/>
          <w:b w:val="false"/>
          <w:bCs w:val="false"/>
          <w:i w:val="false"/>
          <w:iCs w:val="false"/>
          <w:color w:val="111827"/>
          <w:sz w:val="21"/>
          <w:szCs w:val="21"/>
        </w:rPr>
        <w:t xml:space="preserve"> append-only, gắn actor/role, action, subject, statement code-version-hash, </w:t>
      </w:r>
      <w:r>
        <w:rPr>
          <w:rFonts w:eastAsia="Consolas" w:cs="Consolas" w:ascii="Consolas" w:hAnsi="Consolas"/>
          <w:b w:val="false"/>
          <w:bCs w:val="false"/>
          <w:i w:val="false"/>
          <w:iCs w:val="false"/>
          <w:color w:val="111827"/>
          <w:sz w:val="19"/>
          <w:szCs w:val="19"/>
        </w:rPr>
        <w:t>presentedContentHash</w:t>
      </w:r>
      <w:r>
        <w:rPr>
          <w:rFonts w:eastAsia="Calibri" w:cs="Calibri"/>
          <w:b w:val="false"/>
          <w:bCs w:val="false"/>
          <w:i w:val="false"/>
          <w:iCs w:val="false"/>
          <w:color w:val="111827"/>
          <w:sz w:val="21"/>
          <w:szCs w:val="21"/>
        </w:rPr>
        <w:t>, thời điểm và correlation ID. Ký hợp đồng yêu cầu checkbox + session step-up + OTP; hành vi vận hành như cân giao, nhận hàng, flag hoặc accept giá yêu cầu checkbox + authenticated ownership check. Checkbox không phải điểm chỉ/vân tay sinh trắc học và không nâng tier chữ ký thành chữ ký số CA.</w:t>
      </w:r>
    </w:p>
    <w:p>
      <w:pPr>
        <w:pStyle w:val="Normal"/>
        <w:spacing w:lineRule="auto" w:line="276" w:before="0" w:after="120"/>
        <w:jc w:val="both"/>
        <w:rPr/>
      </w:pPr>
      <w:r>
        <w:rPr>
          <w:rFonts w:eastAsia="Calibri" w:cs="Calibri"/>
          <w:b w:val="false"/>
          <w:bCs w:val="false"/>
          <w:i w:val="false"/>
          <w:iCs w:val="false"/>
          <w:color w:val="111827"/>
          <w:sz w:val="21"/>
          <w:szCs w:val="21"/>
        </w:rPr>
        <w:t xml:space="preserve">Template hợp đồng có profile </w:t>
      </w:r>
      <w:r>
        <w:rPr>
          <w:rFonts w:eastAsia="Consolas" w:cs="Consolas" w:ascii="Consolas" w:hAnsi="Consolas"/>
          <w:b w:val="false"/>
          <w:bCs w:val="false"/>
          <w:i w:val="false"/>
          <w:iCs w:val="false"/>
          <w:color w:val="111827"/>
          <w:sz w:val="19"/>
          <w:szCs w:val="19"/>
        </w:rPr>
        <w:t>{VN_COFFEE_B2B, contractTemplateVersion, contractTemplateHash, coffeeQualityProfileVersion}</w:t>
      </w:r>
      <w:r>
        <w:rPr>
          <w:rFonts w:eastAsia="Calibri" w:cs="Calibri"/>
          <w:b w:val="false"/>
          <w:bCs w:val="false"/>
          <w:i w:val="false"/>
          <w:iCs w:val="false"/>
          <w:color w:val="111827"/>
          <w:sz w:val="21"/>
          <w:szCs w:val="21"/>
        </w:rPr>
        <w:t xml:space="preserve"> nằm trong signed snapshot. Preview server-side luôn có watermark </w:t>
      </w:r>
      <w:r>
        <w:rPr>
          <w:rFonts w:eastAsia="Consolas" w:cs="Consolas" w:ascii="Consolas" w:hAnsi="Consolas"/>
          <w:b w:val="false"/>
          <w:bCs w:val="false"/>
          <w:i w:val="false"/>
          <w:iCs w:val="false"/>
          <w:color w:val="111827"/>
          <w:sz w:val="19"/>
          <w:szCs w:val="19"/>
        </w:rPr>
        <w:t>CHƯA CÓ HIỆU LỰC</w:t>
      </w:r>
      <w:r>
        <w:rPr>
          <w:rFonts w:eastAsia="Calibri" w:cs="Calibri"/>
          <w:b w:val="false"/>
          <w:bCs w:val="false"/>
          <w:i w:val="false"/>
          <w:iCs w:val="false"/>
          <w:color w:val="111827"/>
          <w:sz w:val="21"/>
          <w:szCs w:val="21"/>
        </w:rPr>
        <w:t xml:space="preserve">. Chữ ký thứ hai commit </w:t>
      </w:r>
      <w:r>
        <w:rPr>
          <w:rFonts w:eastAsia="Consolas" w:cs="Consolas" w:ascii="Consolas" w:hAnsi="Consolas"/>
          <w:b w:val="false"/>
          <w:bCs w:val="false"/>
          <w:i w:val="false"/>
          <w:iCs w:val="false"/>
          <w:color w:val="111827"/>
          <w:sz w:val="19"/>
          <w:szCs w:val="19"/>
        </w:rPr>
        <w:t>SIGNED</w:t>
      </w:r>
      <w:r>
        <w:rPr>
          <w:rFonts w:eastAsia="Calibri" w:cs="Calibri"/>
          <w:b w:val="false"/>
          <w:bCs w:val="false"/>
          <w:i w:val="false"/>
          <w:iCs w:val="false"/>
          <w:color w:val="111827"/>
          <w:sz w:val="21"/>
          <w:szCs w:val="21"/>
        </w:rPr>
        <w:t xml:space="preserve"> và </w:t>
      </w:r>
      <w:r>
        <w:rPr>
          <w:rFonts w:eastAsia="Consolas" w:cs="Consolas" w:ascii="Consolas" w:hAnsi="Consolas"/>
          <w:b w:val="false"/>
          <w:bCs w:val="false"/>
          <w:i w:val="false"/>
          <w:iCs w:val="false"/>
          <w:color w:val="111827"/>
          <w:sz w:val="19"/>
          <w:szCs w:val="19"/>
        </w:rPr>
        <w:t>ContractDocument(PENDING)</w:t>
      </w:r>
      <w:r>
        <w:rPr>
          <w:rFonts w:eastAsia="Calibri" w:cs="Calibri"/>
          <w:b w:val="false"/>
          <w:bCs w:val="false"/>
          <w:i w:val="false"/>
          <w:iCs w:val="false"/>
          <w:color w:val="111827"/>
          <w:sz w:val="21"/>
          <w:szCs w:val="21"/>
        </w:rPr>
        <w:t xml:space="preserve">; worker render/lưu PDF ngoài transaction, rồi chuyển </w:t>
      </w:r>
      <w:r>
        <w:rPr>
          <w:rFonts w:eastAsia="Consolas" w:cs="Consolas" w:ascii="Consolas" w:hAnsi="Consolas"/>
          <w:b w:val="false"/>
          <w:bCs w:val="false"/>
          <w:i w:val="false"/>
          <w:iCs w:val="false"/>
          <w:color w:val="111827"/>
          <w:sz w:val="19"/>
          <w:szCs w:val="19"/>
        </w:rPr>
        <w:t>READY</w:t>
      </w:r>
      <w:r>
        <w:rPr>
          <w:rFonts w:eastAsia="Calibri" w:cs="Calibri"/>
          <w:b w:val="false"/>
          <w:bCs w:val="false"/>
          <w:i w:val="false"/>
          <w:iCs w:val="false"/>
          <w:color w:val="111827"/>
          <w:sz w:val="21"/>
          <w:szCs w:val="21"/>
        </w:rPr>
        <w:t xml:space="preserve">, phát </w:t>
      </w:r>
      <w:r>
        <w:rPr>
          <w:rFonts w:eastAsia="Consolas" w:cs="Consolas" w:ascii="Consolas" w:hAnsi="Consolas"/>
          <w:b w:val="false"/>
          <w:bCs w:val="false"/>
          <w:i w:val="false"/>
          <w:iCs w:val="false"/>
          <w:color w:val="111827"/>
          <w:sz w:val="19"/>
          <w:szCs w:val="19"/>
        </w:rPr>
        <w:t>contract.document_generated</w:t>
      </w:r>
      <w:r>
        <w:rPr>
          <w:rFonts w:eastAsia="Calibri" w:cs="Calibri"/>
          <w:b w:val="false"/>
          <w:bCs w:val="false"/>
          <w:i w:val="false"/>
          <w:iCs w:val="false"/>
          <w:color w:val="111827"/>
          <w:sz w:val="21"/>
          <w:szCs w:val="21"/>
        </w:rPr>
        <w:t xml:space="preserve"> và notification final. </w:t>
      </w:r>
      <w:r>
        <w:rPr>
          <w:rFonts w:eastAsia="Consolas" w:cs="Consolas" w:ascii="Consolas" w:hAnsi="Consolas"/>
          <w:b w:val="false"/>
          <w:bCs w:val="false"/>
          <w:i w:val="false"/>
          <w:iCs w:val="false"/>
          <w:color w:val="111827"/>
          <w:sz w:val="19"/>
          <w:szCs w:val="19"/>
        </w:rPr>
        <w:t>sourceContentHash</w:t>
      </w:r>
      <w:r>
        <w:rPr>
          <w:rFonts w:eastAsia="Calibri" w:cs="Calibri"/>
          <w:b w:val="false"/>
          <w:bCs w:val="false"/>
          <w:i w:val="false"/>
          <w:iCs w:val="false"/>
          <w:color w:val="111827"/>
          <w:sz w:val="21"/>
          <w:szCs w:val="21"/>
        </w:rPr>
        <w:t xml:space="preserve"> commit nội dung pháp lý, </w:t>
      </w:r>
      <w:r>
        <w:rPr>
          <w:rFonts w:eastAsia="Consolas" w:cs="Consolas" w:ascii="Consolas" w:hAnsi="Consolas"/>
          <w:b w:val="false"/>
          <w:bCs w:val="false"/>
          <w:i w:val="false"/>
          <w:iCs w:val="false"/>
          <w:color w:val="111827"/>
          <w:sz w:val="19"/>
          <w:szCs w:val="19"/>
        </w:rPr>
        <w:t>documentFileHash</w:t>
      </w:r>
      <w:r>
        <w:rPr>
          <w:rFonts w:eastAsia="Calibri" w:cs="Calibri"/>
          <w:b w:val="false"/>
          <w:bCs w:val="false"/>
          <w:i w:val="false"/>
          <w:iCs w:val="false"/>
          <w:color w:val="111827"/>
          <w:sz w:val="21"/>
          <w:szCs w:val="21"/>
        </w:rPr>
        <w:t xml:space="preserve"> commit bytes PDF; document READY và blob final không được overwrite.</w:t>
      </w:r>
    </w:p>
    <w:p>
      <w:pPr>
        <w:pStyle w:val="Heading2"/>
        <w:spacing w:before="240" w:after="80"/>
        <w:rPr/>
      </w:pPr>
      <w:bookmarkStart w:id="29" w:name="__RefHeading___Toc3296_AgriContract"/>
      <w:bookmarkEnd w:id="29"/>
      <w:r>
        <w:rPr>
          <w:rFonts w:eastAsia="Calibri" w:cs="Calibri" w:ascii="Calibri" w:hAnsi="Calibri"/>
          <w:b/>
          <w:bCs/>
          <w:color w:val="1F2A37"/>
          <w:sz w:val="25"/>
          <w:szCs w:val="25"/>
        </w:rPr>
        <w:t>8.4 Retention/DR</w:t>
      </w:r>
    </w:p>
    <w:p>
      <w:pPr>
        <w:pStyle w:val="Normal"/>
        <w:spacing w:lineRule="auto" w:line="276" w:before="0" w:after="120"/>
        <w:jc w:val="both"/>
        <w:rPr/>
      </w:pPr>
      <w:r>
        <w:rPr>
          <w:rFonts w:eastAsia="Calibri" w:cs="Calibri"/>
          <w:b w:val="false"/>
          <w:bCs w:val="false"/>
          <w:i w:val="false"/>
          <w:iCs w:val="false"/>
          <w:color w:val="111827"/>
          <w:sz w:val="21"/>
          <w:szCs w:val="21"/>
        </w:rPr>
        <w:t>PII/evidence/ledger/audit có retention khác nhau; legal hold override deletion. File xoá hai bước tự lành. DLQ replay giữ original event ID. Restore bank/audit phải qua hai verification pass trước mở money traffic. Cross-border/ND13 là deployment constraint chưa được “giải quyết tự động”.</w:t>
      </w:r>
    </w:p>
    <w:p>
      <w:pPr>
        <w:pStyle w:val="Heading1"/>
        <w:pBdr>
          <w:bottom w:val="single" w:sz="6" w:space="6" w:color="D1D5DB"/>
        </w:pBdr>
        <w:spacing w:before="320" w:after="120"/>
        <w:rPr/>
      </w:pPr>
      <w:bookmarkStart w:id="30" w:name="__RefHeading___Toc3298_AgriContract"/>
      <w:bookmarkEnd w:id="30"/>
      <w:r>
        <w:rPr>
          <w:rFonts w:eastAsia="Calibri" w:cs="Calibri" w:ascii="Calibri" w:hAnsi="Calibri"/>
          <w:b/>
          <w:bCs/>
          <w:color w:val="1F2A37"/>
          <w:sz w:val="30"/>
          <w:szCs w:val="30"/>
        </w:rPr>
        <w:t>9. Deployment và quality attributes</w:t>
      </w:r>
    </w:p>
    <w:p>
      <w:pPr>
        <w:pStyle w:val="Normal"/>
        <w:spacing w:lineRule="auto" w:line="276" w:before="0" w:after="120"/>
        <w:jc w:val="both"/>
        <w:rPr/>
      </w:pPr>
      <w:r>
        <w:rPr>
          <w:rFonts w:eastAsia="Calibri" w:cs="Calibri"/>
          <w:b w:val="false"/>
          <w:bCs w:val="false"/>
          <w:i w:val="false"/>
          <w:iCs w:val="false"/>
          <w:color w:val="111827"/>
          <w:sz w:val="21"/>
          <w:szCs w:val="21"/>
        </w:rPr>
        <w:t>Môi trường mục tiêu dùng container, MySQL per service/schema, RabbitMQ, MinIO và reverse proxy. CI pin image digest, không nhúng secret, protected branch/approval. Observability dùng correlation/causation/trace ID; alert riêng cho money leg failed, reconciliation mismatch, audit verify fail, security lock và DLQ.</w:t>
      </w:r>
    </w:p>
    <w:tbl>
      <w:tblPr>
        <w:tblW w:w="9638" w:type="dxa"/>
        <w:jc w:val="start"/>
        <w:tblInd w:w="0" w:type="dxa"/>
        <w:tblLayout w:type="fixed"/>
        <w:tblCellMar>
          <w:top w:w="60" w:type="dxa"/>
          <w:start w:w="90" w:type="dxa"/>
          <w:bottom w:w="60" w:type="dxa"/>
          <w:end w:w="90" w:type="dxa"/>
        </w:tblCellMar>
      </w:tblPr>
      <w:tblGrid>
        <w:gridCol w:w="2661"/>
        <w:gridCol w:w="3643"/>
        <w:gridCol w:w="3334"/>
      </w:tblGrid>
      <w:tr>
        <w:trPr>
          <w:tblHeader w:val="true"/>
          <w:cantSplit w:val="true"/>
        </w:trPr>
        <w:tc>
          <w:tcPr>
            <w:tcW w:w="266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Quality attribute</w:t>
            </w:r>
          </w:p>
        </w:tc>
        <w:tc>
          <w:tcPr>
            <w:tcW w:w="3643"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Cơ chế</w:t>
            </w:r>
          </w:p>
        </w:tc>
        <w:tc>
          <w:tcPr>
            <w:tcW w:w="3334"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Giới hạn</w:t>
            </w:r>
          </w:p>
        </w:tc>
      </w:tr>
      <w:tr>
        <w:trPr>
          <w:cantSplit w:val="true"/>
        </w:trPr>
        <w:tc>
          <w:tcPr>
            <w:tcW w:w="266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Consistency</w:t>
            </w:r>
          </w:p>
        </w:tc>
        <w:tc>
          <w:tcPr>
            <w:tcW w:w="36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local transaction + outbox + idempotency + reconciliation</w:t>
            </w:r>
          </w:p>
        </w:tc>
        <w:tc>
          <w:tcPr>
            <w:tcW w:w="333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Eventual consistency ngoài terminal money guard</w:t>
            </w:r>
          </w:p>
        </w:tc>
      </w:tr>
      <w:tr>
        <w:trPr>
          <w:cantSplit w:val="true"/>
        </w:trPr>
        <w:tc>
          <w:tcPr>
            <w:tcW w:w="266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Integrity</w:t>
            </w:r>
          </w:p>
        </w:tc>
        <w:tc>
          <w:tcPr>
            <w:tcW w:w="36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append-only ledger/audit, hash chain, source IDs</w:t>
            </w:r>
          </w:p>
        </w:tc>
        <w:tc>
          <w:tcPr>
            <w:tcW w:w="333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Trusted operator/collusion risk vẫn tồn tại</w:t>
            </w:r>
          </w:p>
        </w:tc>
      </w:tr>
      <w:tr>
        <w:trPr>
          <w:cantSplit w:val="true"/>
        </w:trPr>
        <w:tc>
          <w:tcPr>
            <w:tcW w:w="266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Availability</w:t>
            </w:r>
          </w:p>
        </w:tc>
        <w:tc>
          <w:tcPr>
            <w:tcW w:w="36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retry/DLQ/circuit breaker; analytics noncritical</w:t>
            </w:r>
          </w:p>
        </w:tc>
        <w:tc>
          <w:tcPr>
            <w:tcW w:w="333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OTP and eligibility intentionally fail-closed</w:t>
            </w:r>
          </w:p>
        </w:tc>
      </w:tr>
      <w:tr>
        <w:trPr>
          <w:cantSplit w:val="true"/>
        </w:trPr>
        <w:tc>
          <w:tcPr>
            <w:tcW w:w="266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Security</w:t>
            </w:r>
          </w:p>
        </w:tc>
        <w:tc>
          <w:tcPr>
            <w:tcW w:w="36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JWT/service auth, edge policies, maker-checker, verifier signature</w:t>
            </w:r>
          </w:p>
        </w:tc>
        <w:tc>
          <w:tcPr>
            <w:tcW w:w="333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Không full mTLS/Zero Trust production</w:t>
            </w:r>
          </w:p>
        </w:tc>
      </w:tr>
      <w:tr>
        <w:trPr>
          <w:cantSplit w:val="true"/>
        </w:trPr>
        <w:tc>
          <w:tcPr>
            <w:tcW w:w="266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Recoverability</w:t>
            </w:r>
          </w:p>
        </w:tc>
        <w:tc>
          <w:tcPr>
            <w:tcW w:w="36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backups, replay, two-pass verify</w:t>
            </w:r>
          </w:p>
        </w:tc>
        <w:tc>
          <w:tcPr>
            <w:tcW w:w="333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RTO/RPO production phải benchmark</w:t>
            </w:r>
          </w:p>
        </w:tc>
      </w:tr>
      <w:tr>
        <w:trPr>
          <w:cantSplit w:val="true"/>
        </w:trPr>
        <w:tc>
          <w:tcPr>
            <w:tcW w:w="266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Auditability</w:t>
            </w:r>
          </w:p>
        </w:tc>
        <w:tc>
          <w:tcPr>
            <w:tcW w:w="36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immutable facts, evidence export, read audit</w:t>
            </w:r>
          </w:p>
        </w:tc>
        <w:tc>
          <w:tcPr>
            <w:tcW w:w="333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Chất lượng source evidence vẫn cần con người</w:t>
            </w:r>
          </w:p>
        </w:tc>
      </w:tr>
    </w:tbl>
    <w:p>
      <w:pPr>
        <w:pStyle w:val="Heading1"/>
        <w:pBdr>
          <w:bottom w:val="single" w:sz="6" w:space="6" w:color="D1D5DB"/>
        </w:pBdr>
        <w:spacing w:before="320" w:after="120"/>
        <w:rPr/>
      </w:pPr>
      <w:bookmarkStart w:id="31" w:name="__RefHeading___Toc3300_AgriContract"/>
      <w:bookmarkEnd w:id="31"/>
      <w:r>
        <w:rPr>
          <w:rFonts w:eastAsia="Calibri" w:cs="Calibri" w:ascii="Calibri" w:hAnsi="Calibri"/>
          <w:b/>
          <w:bCs/>
          <w:color w:val="1F2A37"/>
          <w:sz w:val="30"/>
          <w:szCs w:val="30"/>
        </w:rPr>
        <w:t>10. API surface overview</w:t>
      </w:r>
    </w:p>
    <w:p>
      <w:pPr>
        <w:pStyle w:val="Normal"/>
        <w:spacing w:lineRule="auto" w:line="276" w:before="0" w:after="120"/>
        <w:jc w:val="both"/>
        <w:rPr/>
      </w:pPr>
      <w:r>
        <w:rPr>
          <w:rFonts w:eastAsia="Calibri" w:cs="Calibri"/>
          <w:b w:val="false"/>
          <w:bCs w:val="false"/>
          <w:i w:val="false"/>
          <w:iCs w:val="false"/>
          <w:color w:val="111827"/>
          <w:sz w:val="21"/>
          <w:szCs w:val="21"/>
        </w:rPr>
        <w:t xml:space="preserve">OpenAPI frozen có </w:t>
      </w:r>
      <w:r>
        <w:rPr>
          <w:rFonts w:eastAsia="Calibri" w:cs="Calibri"/>
          <w:b/>
          <w:bCs/>
          <w:i w:val="false"/>
          <w:iCs w:val="false"/>
          <w:color w:val="111827"/>
          <w:sz w:val="21"/>
          <w:szCs w:val="21"/>
        </w:rPr>
        <w:t>46 paths / 47 operations / 62 schemas</w:t>
      </w:r>
      <w:r>
        <w:rPr>
          <w:rFonts w:eastAsia="Calibri" w:cs="Calibri"/>
          <w:b w:val="false"/>
          <w:bCs w:val="false"/>
          <w:i w:val="false"/>
          <w:iCs w:val="false"/>
          <w:color w:val="111827"/>
          <w:sz w:val="21"/>
          <w:szCs w:val="21"/>
        </w:rPr>
        <w:t xml:space="preserve">. Supplementary API có </w:t>
      </w:r>
      <w:r>
        <w:rPr>
          <w:rFonts w:eastAsia="Calibri" w:cs="Calibri"/>
          <w:b/>
          <w:bCs/>
          <w:i w:val="false"/>
          <w:iCs w:val="false"/>
          <w:color w:val="111827"/>
          <w:sz w:val="21"/>
          <w:szCs w:val="21"/>
        </w:rPr>
        <w:t>16 paths / 18 operations / 15 schemas</w:t>
      </w:r>
      <w:r>
        <w:rPr>
          <w:rFonts w:eastAsia="Calibri" w:cs="Calibri"/>
          <w:b w:val="false"/>
          <w:bCs w:val="false"/>
          <w:i w:val="false"/>
          <w:iCs w:val="false"/>
          <w:color w:val="111827"/>
          <w:sz w:val="21"/>
          <w:szCs w:val="21"/>
        </w:rPr>
        <w:t xml:space="preserve">. Bảng dưới trình bày ownership-level catalog, request schema và auth/role; JSON error dùng </w:t>
      </w:r>
      <w:r>
        <w:rPr>
          <w:rFonts w:eastAsia="Consolas" w:cs="Consolas" w:ascii="Consolas" w:hAnsi="Consolas"/>
          <w:b w:val="false"/>
          <w:bCs w:val="false"/>
          <w:i w:val="false"/>
          <w:iCs w:val="false"/>
          <w:color w:val="111827"/>
          <w:sz w:val="19"/>
          <w:szCs w:val="19"/>
        </w:rPr>
        <w:t>ErrorEnvelope</w:t>
      </w:r>
      <w:r>
        <w:rPr>
          <w:rFonts w:eastAsia="Calibri" w:cs="Calibri"/>
          <w:b w:val="false"/>
          <w:bCs w:val="false"/>
          <w:i w:val="false"/>
          <w:iCs w:val="false"/>
          <w:color w:val="111827"/>
          <w:sz w:val="21"/>
          <w:szCs w:val="21"/>
        </w:rPr>
        <w:t xml:space="preserve"> gồm </w:t>
      </w:r>
      <w:r>
        <w:rPr>
          <w:rFonts w:eastAsia="Consolas" w:cs="Consolas" w:ascii="Consolas" w:hAnsi="Consolas"/>
          <w:b w:val="false"/>
          <w:bCs w:val="false"/>
          <w:i w:val="false"/>
          <w:iCs w:val="false"/>
          <w:color w:val="111827"/>
          <w:sz w:val="19"/>
          <w:szCs w:val="19"/>
        </w:rPr>
        <w:t>timestamp</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status</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error</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code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message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path</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traceId</w:t>
      </w:r>
      <w:r>
        <w:rPr>
          <w:rFonts w:eastAsia="Calibri" w:cs="Calibri"/>
          <w:b w:val="false"/>
          <w:bCs w:val="false"/>
          <w:i w:val="false"/>
          <w:iCs w:val="false"/>
          <w:color w:val="111827"/>
          <w:sz w:val="21"/>
          <w:szCs w:val="21"/>
        </w:rPr>
        <w:t xml:space="preserve">. Endpoint không khai báo security riêng kế thừa bearer JWT; </w:t>
      </w:r>
      <w:r>
        <w:rPr>
          <w:rFonts w:eastAsia="Consolas" w:cs="Consolas" w:ascii="Consolas" w:hAnsi="Consolas"/>
          <w:b w:val="false"/>
          <w:bCs w:val="false"/>
          <w:i w:val="false"/>
          <w:iCs w:val="false"/>
          <w:color w:val="111827"/>
          <w:sz w:val="19"/>
          <w:szCs w:val="19"/>
        </w:rPr>
        <w:t>/internal/**</w:t>
      </w:r>
      <w:r>
        <w:rPr>
          <w:rFonts w:eastAsia="Calibri" w:cs="Calibri"/>
          <w:b w:val="false"/>
          <w:bCs w:val="false"/>
          <w:i w:val="false"/>
          <w:iCs w:val="false"/>
          <w:color w:val="111827"/>
          <w:sz w:val="21"/>
          <w:szCs w:val="21"/>
        </w:rPr>
        <w:t xml:space="preserve"> dùng </w:t>
      </w:r>
      <w:r>
        <w:rPr>
          <w:rFonts w:eastAsia="Consolas" w:cs="Consolas" w:ascii="Consolas" w:hAnsi="Consolas"/>
          <w:b w:val="false"/>
          <w:bCs w:val="false"/>
          <w:i w:val="false"/>
          <w:iCs w:val="false"/>
          <w:color w:val="111827"/>
          <w:sz w:val="19"/>
          <w:szCs w:val="19"/>
        </w:rPr>
        <w:t>serviceAuth</w:t>
      </w:r>
      <w:r>
        <w:rPr>
          <w:rFonts w:eastAsia="Calibri" w:cs="Calibri"/>
          <w:b w:val="false"/>
          <w:bCs w:val="false"/>
          <w:i w:val="false"/>
          <w:iCs w:val="false"/>
          <w:color w:val="111827"/>
          <w:sz w:val="21"/>
          <w:szCs w:val="21"/>
        </w:rPr>
        <w:t xml:space="preserve">, audit hash dùng </w:t>
      </w:r>
      <w:r>
        <w:rPr>
          <w:rFonts w:eastAsia="Consolas" w:cs="Consolas" w:ascii="Consolas" w:hAnsi="Consolas"/>
          <w:b w:val="false"/>
          <w:bCs w:val="false"/>
          <w:i w:val="false"/>
          <w:iCs w:val="false"/>
          <w:color w:val="111827"/>
          <w:sz w:val="19"/>
          <w:szCs w:val="19"/>
        </w:rPr>
        <w:t>X-Api-Key</w:t>
      </w:r>
      <w:r>
        <w:rPr>
          <w:rFonts w:eastAsia="Calibri" w:cs="Calibri"/>
          <w:b w:val="false"/>
          <w:bCs w:val="false"/>
          <w:i w:val="false"/>
          <w:iCs w:val="false"/>
          <w:color w:val="111827"/>
          <w:sz w:val="21"/>
          <w:szCs w:val="21"/>
        </w:rPr>
        <w:t>, emergency lock/unlock chỉ nhận signed request của External Verifier.</w:t>
      </w:r>
    </w:p>
    <w:tbl>
      <w:tblPr>
        <w:tblW w:w="9638" w:type="dxa"/>
        <w:jc w:val="start"/>
        <w:tblInd w:w="0" w:type="dxa"/>
        <w:tblLayout w:type="fixed"/>
        <w:tblCellMar>
          <w:top w:w="60" w:type="dxa"/>
          <w:start w:w="90" w:type="dxa"/>
          <w:bottom w:w="60" w:type="dxa"/>
          <w:end w:w="90" w:type="dxa"/>
        </w:tblCellMar>
      </w:tblPr>
      <w:tblGrid>
        <w:gridCol w:w="1206"/>
        <w:gridCol w:w="2074"/>
        <w:gridCol w:w="1502"/>
        <w:gridCol w:w="1673"/>
        <w:gridCol w:w="1662"/>
        <w:gridCol w:w="1521"/>
      </w:tblGrid>
      <w:tr>
        <w:trPr>
          <w:tblHeader w:val="true"/>
          <w:cantSplit w:val="true"/>
        </w:trPr>
        <w:tc>
          <w:tcPr>
            <w:tcW w:w="1206"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6"/>
                <w:szCs w:val="16"/>
              </w:rPr>
              <w:t>Method</w:t>
            </w:r>
          </w:p>
        </w:tc>
        <w:tc>
          <w:tcPr>
            <w:tcW w:w="2074"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6"/>
                <w:szCs w:val="16"/>
              </w:rPr>
              <w:t>Path</w:t>
            </w:r>
          </w:p>
        </w:tc>
        <w:tc>
          <w:tcPr>
            <w:tcW w:w="1502"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6"/>
                <w:szCs w:val="16"/>
              </w:rPr>
              <w:t>Owner</w:t>
            </w:r>
          </w:p>
        </w:tc>
        <w:tc>
          <w:tcPr>
            <w:tcW w:w="1673"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6"/>
                <w:szCs w:val="16"/>
              </w:rPr>
              <w:t>Operation</w:t>
            </w:r>
          </w:p>
        </w:tc>
        <w:tc>
          <w:tcPr>
            <w:tcW w:w="1662"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6"/>
                <w:szCs w:val="16"/>
              </w:rPr>
              <w:t>Request</w:t>
            </w:r>
          </w:p>
        </w:tc>
        <w:tc>
          <w:tcPr>
            <w:tcW w:w="152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6"/>
                <w:szCs w:val="16"/>
              </w:rPr>
              <w:t>Auth/role</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w:t>
            </w:r>
          </w:p>
        </w:tc>
        <w:tc>
          <w:tcPr>
            <w:tcW w:w="150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createContract</w:t>
            </w:r>
          </w:p>
        </w:tc>
        <w:tc>
          <w:tcPr>
            <w:tcW w:w="16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CreateContractRequest</w:t>
            </w:r>
          </w:p>
        </w:tc>
        <w:tc>
          <w:tcPr>
            <w:tcW w:w="15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207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w:t>
            </w:r>
          </w:p>
        </w:tc>
        <w:tc>
          <w:tcPr>
            <w:tcW w:w="150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listContracts</w:t>
            </w:r>
          </w:p>
        </w:tc>
        <w:tc>
          <w:tcPr>
            <w:tcW w:w="166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w:t>
            </w:r>
          </w:p>
        </w:tc>
        <w:tc>
          <w:tcPr>
            <w:tcW w:w="15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JWT</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20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w:t>
            </w:r>
          </w:p>
        </w:tc>
        <w:tc>
          <w:tcPr>
            <w:tcW w:w="150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getContract</w:t>
            </w:r>
          </w:p>
        </w:tc>
        <w:tc>
          <w:tcPr>
            <w:tcW w:w="16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w:t>
            </w:r>
          </w:p>
        </w:tc>
        <w:tc>
          <w:tcPr>
            <w:tcW w:w="15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JWT</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207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/api/v1/contracts/{contractId}/document-preview</w:t>
            </w:r>
          </w:p>
        </w:tc>
        <w:tc>
          <w:tcPr>
            <w:tcW w:w="150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previewContractDocument</w:t>
            </w:r>
          </w:p>
        </w:tc>
        <w:tc>
          <w:tcPr>
            <w:tcW w:w="166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w:t>
            </w:r>
          </w:p>
        </w:tc>
        <w:tc>
          <w:tcPr>
            <w:tcW w:w="15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20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/api/v1/contracts/{contractId}/documents</w:t>
            </w:r>
          </w:p>
        </w:tc>
        <w:tc>
          <w:tcPr>
            <w:tcW w:w="150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listContractDocuments</w:t>
            </w:r>
          </w:p>
        </w:tc>
        <w:tc>
          <w:tcPr>
            <w:tcW w:w="16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w:t>
            </w:r>
          </w:p>
        </w:tc>
        <w:tc>
          <w:tcPr>
            <w:tcW w:w="15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207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/api/v1/contracts/{contractId}/documents/{documentId}</w:t>
            </w:r>
          </w:p>
        </w:tc>
        <w:tc>
          <w:tcPr>
            <w:tcW w:w="150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getContractDocument</w:t>
            </w:r>
          </w:p>
        </w:tc>
        <w:tc>
          <w:tcPr>
            <w:tcW w:w="166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w:t>
            </w:r>
          </w:p>
        </w:tc>
        <w:tc>
          <w:tcPr>
            <w:tcW w:w="15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PATCH</w:t>
            </w:r>
          </w:p>
        </w:tc>
        <w:tc>
          <w:tcPr>
            <w:tcW w:w="20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/api/v1/contracts/{contractId}/terms</w:t>
            </w:r>
          </w:p>
        </w:tc>
        <w:tc>
          <w:tcPr>
            <w:tcW w:w="150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updateContractTerms</w:t>
            </w:r>
          </w:p>
        </w:tc>
        <w:tc>
          <w:tcPr>
            <w:tcW w:w="16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ContractTermsRequest</w:t>
            </w:r>
          </w:p>
        </w:tc>
        <w:tc>
          <w:tcPr>
            <w:tcW w:w="15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/api/v1/contracts/{contractId}/sign/initiate</w:t>
            </w:r>
          </w:p>
        </w:tc>
        <w:tc>
          <w:tcPr>
            <w:tcW w:w="150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initiateSign</w:t>
            </w:r>
          </w:p>
        </w:tc>
        <w:tc>
          <w:tcPr>
            <w:tcW w:w="166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InitiateSignRequest</w:t>
            </w:r>
          </w:p>
        </w:tc>
        <w:tc>
          <w:tcPr>
            <w:tcW w:w="15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/api/v1/contracts/{contractId}/sign/verify</w:t>
            </w:r>
          </w:p>
        </w:tc>
        <w:tc>
          <w:tcPr>
            <w:tcW w:w="150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verifyOtpAndSign</w:t>
            </w:r>
          </w:p>
        </w:tc>
        <w:tc>
          <w:tcPr>
            <w:tcW w:w="16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VerifyOtpAndSignRequest</w:t>
            </w:r>
          </w:p>
        </w:tc>
        <w:tc>
          <w:tcPr>
            <w:tcW w:w="15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/api/v1/contracts/{contractId}/withdraw</w:t>
            </w:r>
          </w:p>
        </w:tc>
        <w:tc>
          <w:tcPr>
            <w:tcW w:w="150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withdrawOffer</w:t>
            </w:r>
          </w:p>
        </w:tc>
        <w:tc>
          <w:tcPr>
            <w:tcW w:w="166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w:t>
            </w:r>
          </w:p>
        </w:tc>
        <w:tc>
          <w:tcPr>
            <w:tcW w:w="15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/api/v1/contracts/{contractId}/termination/mutual/propose</w:t>
            </w:r>
          </w:p>
        </w:tc>
        <w:tc>
          <w:tcPr>
            <w:tcW w:w="150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proposeMutualTermination</w:t>
            </w:r>
          </w:p>
        </w:tc>
        <w:tc>
          <w:tcPr>
            <w:tcW w:w="16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w:t>
            </w:r>
          </w:p>
        </w:tc>
        <w:tc>
          <w:tcPr>
            <w:tcW w:w="15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/api/v1/contracts/{contractId}/termination/mutual/confirm</w:t>
            </w:r>
          </w:p>
        </w:tc>
        <w:tc>
          <w:tcPr>
            <w:tcW w:w="150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confirmMutualTermination</w:t>
            </w:r>
          </w:p>
        </w:tc>
        <w:tc>
          <w:tcPr>
            <w:tcW w:w="166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w:t>
            </w:r>
          </w:p>
        </w:tc>
        <w:tc>
          <w:tcPr>
            <w:tcW w:w="15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/api/v1/contracts/{contractId}/replacement/propose</w:t>
            </w:r>
          </w:p>
        </w:tc>
        <w:tc>
          <w:tcPr>
            <w:tcW w:w="150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proposeMutualReplacement</w:t>
            </w:r>
          </w:p>
        </w:tc>
        <w:tc>
          <w:tcPr>
            <w:tcW w:w="16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ReplacementProposalRequest</w:t>
            </w:r>
          </w:p>
        </w:tc>
        <w:tc>
          <w:tcPr>
            <w:tcW w:w="15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/api/v1/contracts/{contractId}/replacement/confirm</w:t>
            </w:r>
          </w:p>
        </w:tc>
        <w:tc>
          <w:tcPr>
            <w:tcW w:w="150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confirmMutualReplacement</w:t>
            </w:r>
          </w:p>
        </w:tc>
        <w:tc>
          <w:tcPr>
            <w:tcW w:w="166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w:t>
            </w:r>
          </w:p>
        </w:tc>
        <w:tc>
          <w:tcPr>
            <w:tcW w:w="15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/api/v1/contracts/{contractId}/breach-cases</w:t>
            </w:r>
          </w:p>
        </w:tc>
        <w:tc>
          <w:tcPr>
            <w:tcW w:w="150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reportBreachCase</w:t>
            </w:r>
          </w:p>
        </w:tc>
        <w:tc>
          <w:tcPr>
            <w:tcW w:w="16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BreachCaseReportRequest</w:t>
            </w:r>
          </w:p>
        </w:tc>
        <w:tc>
          <w:tcPr>
            <w:tcW w:w="15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 SYSTEM</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/api/v1/contracts/{contractId}/breach-cases/{breachCaseId}/review</w:t>
            </w:r>
          </w:p>
        </w:tc>
        <w:tc>
          <w:tcPr>
            <w:tcW w:w="150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reviewBreachCase</w:t>
            </w:r>
          </w:p>
        </w:tc>
        <w:tc>
          <w:tcPr>
            <w:tcW w:w="166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w:t>
            </w:r>
          </w:p>
        </w:tc>
        <w:tc>
          <w:tcPr>
            <w:tcW w:w="15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ADMIN, INSPECTOR</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/api/v1/contracts/{contractId}/breach-cases/{breachCaseId}/resolve</w:t>
            </w:r>
          </w:p>
        </w:tc>
        <w:tc>
          <w:tcPr>
            <w:tcW w:w="150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resolveBreachCase</w:t>
            </w:r>
          </w:p>
        </w:tc>
        <w:tc>
          <w:tcPr>
            <w:tcW w:w="16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BreachCaseResolutionRequest</w:t>
            </w:r>
          </w:p>
        </w:tc>
        <w:tc>
          <w:tcPr>
            <w:tcW w:w="15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ADMIN, INSPECTOR</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/api/v1/contracts/{contractId}/termination/execute</w:t>
            </w:r>
          </w:p>
        </w:tc>
        <w:tc>
          <w:tcPr>
            <w:tcW w:w="150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executeTermination</w:t>
            </w:r>
          </w:p>
        </w:tc>
        <w:tc>
          <w:tcPr>
            <w:tcW w:w="166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TerminationExecuteRequest</w:t>
            </w:r>
          </w:p>
        </w:tc>
        <w:tc>
          <w:tcPr>
            <w:tcW w:w="15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 ADMIN</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/api/v1/contracts/{contractId}/activation/retry-deposit-lock</w:t>
            </w:r>
          </w:p>
        </w:tc>
        <w:tc>
          <w:tcPr>
            <w:tcW w:w="150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retryDepositLock</w:t>
            </w:r>
          </w:p>
        </w:tc>
        <w:tc>
          <w:tcPr>
            <w:tcW w:w="16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w:t>
            </w:r>
          </w:p>
        </w:tc>
        <w:tc>
          <w:tcPr>
            <w:tcW w:w="15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ADMIN</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/api/v1/contracts/{contractId}/activation/mark-failed</w:t>
            </w:r>
          </w:p>
        </w:tc>
        <w:tc>
          <w:tcPr>
            <w:tcW w:w="150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markActivationFailed</w:t>
            </w:r>
          </w:p>
        </w:tc>
        <w:tc>
          <w:tcPr>
            <w:tcW w:w="166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w:t>
            </w:r>
          </w:p>
        </w:tc>
        <w:tc>
          <w:tcPr>
            <w:tcW w:w="15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ADMIN</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/api/v1/contracts/{contractId}/milestones/{milestoneId}/weigh</w:t>
            </w:r>
          </w:p>
        </w:tc>
        <w:tc>
          <w:tcPr>
            <w:tcW w:w="150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recordSellerWeighed</w:t>
            </w:r>
          </w:p>
        </w:tc>
        <w:tc>
          <w:tcPr>
            <w:tcW w:w="16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SellerWeighedRequest</w:t>
            </w:r>
          </w:p>
        </w:tc>
        <w:tc>
          <w:tcPr>
            <w:tcW w:w="15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SELLER</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/api/v1/contracts/{contractId}/milestones/{milestoneId}/confirm</w:t>
            </w:r>
          </w:p>
        </w:tc>
        <w:tc>
          <w:tcPr>
            <w:tcW w:w="150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confirmMilestoneClean</w:t>
            </w:r>
          </w:p>
        </w:tc>
        <w:tc>
          <w:tcPr>
            <w:tcW w:w="166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BuyerReceivedRequest</w:t>
            </w:r>
          </w:p>
        </w:tc>
        <w:tc>
          <w:tcPr>
            <w:tcW w:w="15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/api/v1/contracts/{contractId}/milestones/{milestoneId}/flag</w:t>
            </w:r>
          </w:p>
        </w:tc>
        <w:tc>
          <w:tcPr>
            <w:tcW w:w="150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flagMilestoneIssue</w:t>
            </w:r>
          </w:p>
        </w:tc>
        <w:tc>
          <w:tcPr>
            <w:tcW w:w="16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BuyerReceivedRequest</w:t>
            </w:r>
          </w:p>
        </w:tc>
        <w:tc>
          <w:tcPr>
            <w:tcW w:w="15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/api/v1/contracts/{contractId}/milestones/{milestoneId}/respond</w:t>
            </w:r>
          </w:p>
        </w:tc>
        <w:tc>
          <w:tcPr>
            <w:tcW w:w="150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respondToMilestoneFlag</w:t>
            </w:r>
          </w:p>
        </w:tc>
        <w:tc>
          <w:tcPr>
            <w:tcW w:w="166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ConsentInput</w:t>
            </w:r>
          </w:p>
        </w:tc>
        <w:tc>
          <w:tcPr>
            <w:tcW w:w="15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SELLER</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/api/v1/contracts/{contractId}/milestones/{milestoneId}/force-majeure</w:t>
            </w:r>
          </w:p>
        </w:tc>
        <w:tc>
          <w:tcPr>
            <w:tcW w:w="150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claimForceMajeure</w:t>
            </w:r>
          </w:p>
        </w:tc>
        <w:tc>
          <w:tcPr>
            <w:tcW w:w="16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ForceMajeureClaimRequest</w:t>
            </w:r>
          </w:p>
        </w:tc>
        <w:tc>
          <w:tcPr>
            <w:tcW w:w="15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SELLER</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/api/v1/contracts/{contractId}/milestones/{milestoneId}/force-majeure/resolve</w:t>
            </w:r>
          </w:p>
        </w:tc>
        <w:tc>
          <w:tcPr>
            <w:tcW w:w="150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resolveForceMajeure</w:t>
            </w:r>
          </w:p>
        </w:tc>
        <w:tc>
          <w:tcPr>
            <w:tcW w:w="166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ForceMajeureResolveRequest</w:t>
            </w:r>
          </w:p>
        </w:tc>
        <w:tc>
          <w:tcPr>
            <w:tcW w:w="15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ADMIN</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/api/v1/contracts/{contractId}/milestones/{milestoneId}/funding/retry</w:t>
            </w:r>
          </w:p>
        </w:tc>
        <w:tc>
          <w:tcPr>
            <w:tcW w:w="150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escrow-service</w:t>
            </w:r>
          </w:p>
        </w:tc>
        <w:tc>
          <w:tcPr>
            <w:tcW w:w="16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retryMilestoneFunding</w:t>
            </w:r>
          </w:p>
        </w:tc>
        <w:tc>
          <w:tcPr>
            <w:tcW w:w="16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w:t>
            </w:r>
          </w:p>
        </w:tc>
        <w:tc>
          <w:tcPr>
            <w:tcW w:w="15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ADMIN</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/api/v1/contracts/{contractId}/milestones/{milestoneId}/price-adjustments/propose</w:t>
            </w:r>
          </w:p>
        </w:tc>
        <w:tc>
          <w:tcPr>
            <w:tcW w:w="150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proposeMilestonePriceAdjustment</w:t>
            </w:r>
          </w:p>
        </w:tc>
        <w:tc>
          <w:tcPr>
            <w:tcW w:w="166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PriceAdjustmentProposalRequest</w:t>
            </w:r>
          </w:p>
        </w:tc>
        <w:tc>
          <w:tcPr>
            <w:tcW w:w="15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/api/v1/contracts/{contractId}/milestones/{milestoneId}/price-adjustments/{proposalId}/accept</w:t>
            </w:r>
          </w:p>
        </w:tc>
        <w:tc>
          <w:tcPr>
            <w:tcW w:w="150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6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acceptMilestonePriceAdjustment</w:t>
            </w:r>
          </w:p>
        </w:tc>
        <w:tc>
          <w:tcPr>
            <w:tcW w:w="16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ConsentInput</w:t>
            </w:r>
          </w:p>
        </w:tc>
        <w:tc>
          <w:tcPr>
            <w:tcW w:w="15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/api/v1/users/register</w:t>
            </w:r>
          </w:p>
        </w:tc>
        <w:tc>
          <w:tcPr>
            <w:tcW w:w="150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user-service</w:t>
            </w:r>
          </w:p>
        </w:tc>
        <w:tc>
          <w:tcPr>
            <w:tcW w:w="16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registerUser</w:t>
            </w:r>
          </w:p>
        </w:tc>
        <w:tc>
          <w:tcPr>
            <w:tcW w:w="166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w:t>
            </w:r>
          </w:p>
        </w:tc>
        <w:tc>
          <w:tcPr>
            <w:tcW w:w="15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JWT</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20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/api/v1/users/me</w:t>
            </w:r>
          </w:p>
        </w:tc>
        <w:tc>
          <w:tcPr>
            <w:tcW w:w="150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user-service</w:t>
            </w:r>
          </w:p>
        </w:tc>
        <w:tc>
          <w:tcPr>
            <w:tcW w:w="16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getMyProfile</w:t>
            </w:r>
          </w:p>
        </w:tc>
        <w:tc>
          <w:tcPr>
            <w:tcW w:w="16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w:t>
            </w:r>
          </w:p>
        </w:tc>
        <w:tc>
          <w:tcPr>
            <w:tcW w:w="15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JWT</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207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/api/v1/users/{userId}</w:t>
            </w:r>
          </w:p>
        </w:tc>
        <w:tc>
          <w:tcPr>
            <w:tcW w:w="150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user-service</w:t>
            </w:r>
          </w:p>
        </w:tc>
        <w:tc>
          <w:tcPr>
            <w:tcW w:w="16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getPublicUser</w:t>
            </w:r>
          </w:p>
        </w:tc>
        <w:tc>
          <w:tcPr>
            <w:tcW w:w="166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w:t>
            </w:r>
          </w:p>
        </w:tc>
        <w:tc>
          <w:tcPr>
            <w:tcW w:w="15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JWT</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20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/api/v1/reputation/{userId}/public-summary</w:t>
            </w:r>
          </w:p>
        </w:tc>
        <w:tc>
          <w:tcPr>
            <w:tcW w:w="150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reputation-service</w:t>
            </w:r>
          </w:p>
        </w:tc>
        <w:tc>
          <w:tcPr>
            <w:tcW w:w="16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getPublicReputationSummary</w:t>
            </w:r>
          </w:p>
        </w:tc>
        <w:tc>
          <w:tcPr>
            <w:tcW w:w="16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w:t>
            </w:r>
          </w:p>
        </w:tc>
        <w:tc>
          <w:tcPr>
            <w:tcW w:w="15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JWT</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/api/v1/admin/reputation/actions/propose</w:t>
            </w:r>
          </w:p>
        </w:tc>
        <w:tc>
          <w:tcPr>
            <w:tcW w:w="150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reputation-service</w:t>
            </w:r>
          </w:p>
        </w:tc>
        <w:tc>
          <w:tcPr>
            <w:tcW w:w="16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proposeReputationAction</w:t>
            </w:r>
          </w:p>
        </w:tc>
        <w:tc>
          <w:tcPr>
            <w:tcW w:w="166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ReputationActionProposalRequest</w:t>
            </w:r>
          </w:p>
        </w:tc>
        <w:tc>
          <w:tcPr>
            <w:tcW w:w="15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ADMIN, OPERATOR</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/api/v1/admin/reputation/actions/{actionId}/approve</w:t>
            </w:r>
          </w:p>
        </w:tc>
        <w:tc>
          <w:tcPr>
            <w:tcW w:w="150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reputation-service</w:t>
            </w:r>
          </w:p>
        </w:tc>
        <w:tc>
          <w:tcPr>
            <w:tcW w:w="16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approveReputationAction</w:t>
            </w:r>
          </w:p>
        </w:tc>
        <w:tc>
          <w:tcPr>
            <w:tcW w:w="16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w:t>
            </w:r>
          </w:p>
        </w:tc>
        <w:tc>
          <w:tcPr>
            <w:tcW w:w="15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ADMIN</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/api/v1/admin/reputation/actions/{actionId}/reject</w:t>
            </w:r>
          </w:p>
        </w:tc>
        <w:tc>
          <w:tcPr>
            <w:tcW w:w="150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reputation-service</w:t>
            </w:r>
          </w:p>
        </w:tc>
        <w:tc>
          <w:tcPr>
            <w:tcW w:w="16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rejectReputationAction</w:t>
            </w:r>
          </w:p>
        </w:tc>
        <w:tc>
          <w:tcPr>
            <w:tcW w:w="166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w:t>
            </w:r>
          </w:p>
        </w:tc>
        <w:tc>
          <w:tcPr>
            <w:tcW w:w="15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ADMIN</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20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/api/v1/admin/users</w:t>
            </w:r>
          </w:p>
        </w:tc>
        <w:tc>
          <w:tcPr>
            <w:tcW w:w="150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user-service</w:t>
            </w:r>
          </w:p>
        </w:tc>
        <w:tc>
          <w:tcPr>
            <w:tcW w:w="16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listPendingUsers</w:t>
            </w:r>
          </w:p>
        </w:tc>
        <w:tc>
          <w:tcPr>
            <w:tcW w:w="16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w:t>
            </w:r>
          </w:p>
        </w:tc>
        <w:tc>
          <w:tcPr>
            <w:tcW w:w="15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JWT</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/api/v1/admin/users/{userId}/verify</w:t>
            </w:r>
          </w:p>
        </w:tc>
        <w:tc>
          <w:tcPr>
            <w:tcW w:w="150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user-service</w:t>
            </w:r>
          </w:p>
        </w:tc>
        <w:tc>
          <w:tcPr>
            <w:tcW w:w="16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verifyUser</w:t>
            </w:r>
          </w:p>
        </w:tc>
        <w:tc>
          <w:tcPr>
            <w:tcW w:w="166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VerifyUserRequest</w:t>
            </w:r>
          </w:p>
        </w:tc>
        <w:tc>
          <w:tcPr>
            <w:tcW w:w="15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JWT</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/api/v1/admin/users/{userId}/reject</w:t>
            </w:r>
          </w:p>
        </w:tc>
        <w:tc>
          <w:tcPr>
            <w:tcW w:w="150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user-service</w:t>
            </w:r>
          </w:p>
        </w:tc>
        <w:tc>
          <w:tcPr>
            <w:tcW w:w="16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rejectUser</w:t>
            </w:r>
          </w:p>
        </w:tc>
        <w:tc>
          <w:tcPr>
            <w:tcW w:w="16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RejectUserRequest</w:t>
            </w:r>
          </w:p>
        </w:tc>
        <w:tc>
          <w:tcPr>
            <w:tcW w:w="15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JWT</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207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/internal/v1/users/{userId}</w:t>
            </w:r>
          </w:p>
        </w:tc>
        <w:tc>
          <w:tcPr>
            <w:tcW w:w="150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user-service</w:t>
            </w:r>
          </w:p>
        </w:tc>
        <w:tc>
          <w:tcPr>
            <w:tcW w:w="16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getInternalUserInfo</w:t>
            </w:r>
          </w:p>
        </w:tc>
        <w:tc>
          <w:tcPr>
            <w:tcW w:w="166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w:t>
            </w:r>
          </w:p>
        </w:tc>
        <w:tc>
          <w:tcPr>
            <w:tcW w:w="15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serviceAuth</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/internal/v1/notifications/otp-email</w:t>
            </w:r>
          </w:p>
        </w:tc>
        <w:tc>
          <w:tcPr>
            <w:tcW w:w="150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notification-service</w:t>
            </w:r>
          </w:p>
        </w:tc>
        <w:tc>
          <w:tcPr>
            <w:tcW w:w="16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sendOtpEmail</w:t>
            </w:r>
          </w:p>
        </w:tc>
        <w:tc>
          <w:tcPr>
            <w:tcW w:w="16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OtpEmailRequest</w:t>
            </w:r>
          </w:p>
        </w:tc>
        <w:tc>
          <w:tcPr>
            <w:tcW w:w="15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serviceAuth</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207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/internal/v1/audit/records</w:t>
            </w:r>
          </w:p>
        </w:tc>
        <w:tc>
          <w:tcPr>
            <w:tcW w:w="150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audit-service</w:t>
            </w:r>
          </w:p>
        </w:tc>
        <w:tc>
          <w:tcPr>
            <w:tcW w:w="16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getAuditRecordsForReconciliation</w:t>
            </w:r>
          </w:p>
        </w:tc>
        <w:tc>
          <w:tcPr>
            <w:tcW w:w="166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w:t>
            </w:r>
          </w:p>
        </w:tc>
        <w:tc>
          <w:tcPr>
            <w:tcW w:w="15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serviceAuth</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20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/api/v1/security/audit-hash</w:t>
            </w:r>
          </w:p>
        </w:tc>
        <w:tc>
          <w:tcPr>
            <w:tcW w:w="150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audit-service</w:t>
            </w:r>
          </w:p>
        </w:tc>
        <w:tc>
          <w:tcPr>
            <w:tcW w:w="16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getAuditHash</w:t>
            </w:r>
          </w:p>
        </w:tc>
        <w:tc>
          <w:tcPr>
            <w:tcW w:w="16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w:t>
            </w:r>
          </w:p>
        </w:tc>
        <w:tc>
          <w:tcPr>
            <w:tcW w:w="15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X-Api-Key</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/api/v1/security/emergency-lock</w:t>
            </w:r>
          </w:p>
        </w:tc>
        <w:tc>
          <w:tcPr>
            <w:tcW w:w="150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bank-service</w:t>
            </w:r>
          </w:p>
        </w:tc>
        <w:tc>
          <w:tcPr>
            <w:tcW w:w="16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emergencyLock</w:t>
            </w:r>
          </w:p>
        </w:tc>
        <w:tc>
          <w:tcPr>
            <w:tcW w:w="166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ExternalVerifierRequest</w:t>
            </w:r>
          </w:p>
        </w:tc>
        <w:tc>
          <w:tcPr>
            <w:tcW w:w="15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External Verifier</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20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/api/v1/security/emergency-unlock</w:t>
            </w:r>
          </w:p>
        </w:tc>
        <w:tc>
          <w:tcPr>
            <w:tcW w:w="150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bank-service</w:t>
            </w:r>
          </w:p>
        </w:tc>
        <w:tc>
          <w:tcPr>
            <w:tcW w:w="16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emergencyUnlock</w:t>
            </w:r>
          </w:p>
        </w:tc>
        <w:tc>
          <w:tcPr>
            <w:tcW w:w="16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ExternalVerifierRequest</w:t>
            </w:r>
          </w:p>
        </w:tc>
        <w:tc>
          <w:tcPr>
            <w:tcW w:w="15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External Verifier</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207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/api/v1/escrows/statements</w:t>
            </w:r>
          </w:p>
        </w:tc>
        <w:tc>
          <w:tcPr>
            <w:tcW w:w="150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escrow-service</w:t>
            </w:r>
          </w:p>
        </w:tc>
        <w:tc>
          <w:tcPr>
            <w:tcW w:w="16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exportEscrowStatement</w:t>
            </w:r>
          </w:p>
        </w:tc>
        <w:tc>
          <w:tcPr>
            <w:tcW w:w="166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w:t>
            </w:r>
          </w:p>
        </w:tc>
        <w:tc>
          <w:tcPr>
            <w:tcW w:w="15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JWT</w:t>
            </w:r>
          </w:p>
        </w:tc>
      </w:tr>
      <w:tr>
        <w:trPr>
          <w:cantSplit w:val="true"/>
        </w:trPr>
        <w:tc>
          <w:tcPr>
            <w:tcW w:w="120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20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/internal/v1/bank/ledger</w:t>
            </w:r>
          </w:p>
        </w:tc>
        <w:tc>
          <w:tcPr>
            <w:tcW w:w="150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bank-service</w:t>
            </w:r>
          </w:p>
        </w:tc>
        <w:tc>
          <w:tcPr>
            <w:tcW w:w="16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getInternalLedgerEntries</w:t>
            </w:r>
          </w:p>
        </w:tc>
        <w:tc>
          <w:tcPr>
            <w:tcW w:w="16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w:t>
            </w:r>
          </w:p>
        </w:tc>
        <w:tc>
          <w:tcPr>
            <w:tcW w:w="15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serviceAuth</w:t>
            </w:r>
          </w:p>
        </w:tc>
      </w:tr>
    </w:tbl>
    <w:p>
      <w:pPr>
        <w:pStyle w:val="Heading1"/>
        <w:pBdr>
          <w:bottom w:val="single" w:sz="6" w:space="6" w:color="D1D5DB"/>
        </w:pBdr>
        <w:spacing w:before="320" w:after="120"/>
        <w:rPr/>
      </w:pPr>
      <w:bookmarkStart w:id="32" w:name="__RefHeading___Toc3302_AgriContract"/>
      <w:bookmarkEnd w:id="32"/>
      <w:r>
        <w:rPr>
          <w:rFonts w:eastAsia="Calibri" w:cs="Calibri" w:ascii="Calibri" w:hAnsi="Calibri"/>
          <w:b/>
          <w:bCs/>
          <w:color w:val="1F2A37"/>
          <w:sz w:val="30"/>
          <w:szCs w:val="30"/>
        </w:rPr>
        <w:t>10.1 Frozen design synchronization addendum</w:t>
      </w:r>
    </w:p>
    <w:p>
      <w:pPr>
        <w:pStyle w:val="Heading2"/>
        <w:spacing w:before="240" w:after="80"/>
        <w:rPr/>
      </w:pPr>
      <w:bookmarkStart w:id="33" w:name="__RefHeading___Toc3304_AgriContract"/>
      <w:bookmarkEnd w:id="33"/>
      <w:r>
        <w:rPr>
          <w:rFonts w:eastAsia="Calibri" w:cs="Calibri" w:ascii="Calibri" w:hAnsi="Calibri"/>
          <w:b/>
          <w:bCs/>
          <w:color w:val="1F2A37"/>
          <w:sz w:val="25"/>
          <w:szCs w:val="25"/>
        </w:rPr>
        <w:t>Signature, lifecycle và OTP</w:t>
      </w:r>
    </w:p>
    <w:p>
      <w:pPr>
        <w:pStyle w:val="Normal"/>
        <w:spacing w:lineRule="auto" w:line="276" w:before="0" w:after="120"/>
        <w:jc w:val="both"/>
        <w:rPr/>
      </w:pPr>
      <w:r>
        <w:rPr>
          <w:rFonts w:eastAsia="Calibri" w:cs="Calibri"/>
          <w:b w:val="false"/>
          <w:bCs w:val="false"/>
          <w:i w:val="false"/>
          <w:iCs w:val="false"/>
          <w:color w:val="111827"/>
          <w:sz w:val="21"/>
          <w:szCs w:val="21"/>
        </w:rPr>
        <w:t xml:space="preserve">Terms chỉ hợp lệ để sửa trước bất kỳ chữ ký nào. Chữ ký đầu tiên làm đóng băng toàn bộ terms và </w:t>
      </w:r>
      <w:r>
        <w:rPr>
          <w:rFonts w:eastAsia="Consolas" w:cs="Consolas" w:ascii="Consolas" w:hAnsi="Consolas"/>
          <w:b w:val="false"/>
          <w:bCs w:val="false"/>
          <w:i w:val="false"/>
          <w:iCs w:val="false"/>
          <w:color w:val="111827"/>
          <w:sz w:val="19"/>
          <w:szCs w:val="19"/>
        </w:rPr>
        <w:t>signedContentHash</w:t>
      </w:r>
      <w:r>
        <w:rPr>
          <w:rFonts w:eastAsia="Calibri" w:cs="Calibri"/>
          <w:b w:val="false"/>
          <w:bCs w:val="false"/>
          <w:i w:val="false"/>
          <w:iCs w:val="false"/>
          <w:color w:val="111827"/>
          <w:sz w:val="21"/>
          <w:szCs w:val="21"/>
        </w:rPr>
        <w:t xml:space="preserve">; chữ ký thứ hai bắt buộc dùng đúng hash đó. Không có </w:t>
      </w:r>
      <w:r>
        <w:rPr>
          <w:rFonts w:eastAsia="Consolas" w:cs="Consolas" w:ascii="Consolas" w:hAnsi="Consolas"/>
          <w:b w:val="false"/>
          <w:bCs w:val="false"/>
          <w:i w:val="false"/>
          <w:iCs w:val="false"/>
          <w:color w:val="111827"/>
          <w:sz w:val="19"/>
          <w:szCs w:val="19"/>
        </w:rPr>
        <w:t>PATCH /terms</w:t>
      </w:r>
      <w:r>
        <w:rPr>
          <w:rFonts w:eastAsia="Calibri" w:cs="Calibri"/>
          <w:b w:val="false"/>
          <w:bCs w:val="false"/>
          <w:i w:val="false"/>
          <w:iCs w:val="false"/>
          <w:color w:val="111827"/>
          <w:sz w:val="21"/>
          <w:szCs w:val="21"/>
        </w:rPr>
        <w:t xml:space="preserve"> sau chữ ký đầu tiên. Normal completion phát </w:t>
      </w:r>
      <w:r>
        <w:rPr>
          <w:rFonts w:eastAsia="Consolas" w:cs="Consolas" w:ascii="Consolas" w:hAnsi="Consolas"/>
          <w:b w:val="false"/>
          <w:bCs w:val="false"/>
          <w:i w:val="false"/>
          <w:iCs w:val="false"/>
          <w:color w:val="111827"/>
          <w:sz w:val="19"/>
          <w:szCs w:val="19"/>
        </w:rPr>
        <w:t>milestone.settled</w:t>
      </w:r>
      <w:r>
        <w:rPr>
          <w:rFonts w:eastAsia="Calibri" w:cs="Calibri"/>
          <w:b w:val="false"/>
          <w:bCs w:val="false"/>
          <w:i w:val="false"/>
          <w:iCs w:val="false"/>
          <w:color w:val="111827"/>
          <w:sz w:val="21"/>
          <w:szCs w:val="21"/>
        </w:rPr>
        <w:t xml:space="preserve"> cho milestone cuối và dùng </w:t>
      </w:r>
      <w:r>
        <w:rPr>
          <w:rFonts w:eastAsia="Consolas" w:cs="Consolas" w:ascii="Consolas" w:hAnsi="Consolas"/>
          <w:b w:val="false"/>
          <w:bCs w:val="false"/>
          <w:i w:val="false"/>
          <w:iCs w:val="false"/>
          <w:color w:val="111827"/>
          <w:sz w:val="19"/>
          <w:szCs w:val="19"/>
        </w:rPr>
        <w:t>remedy.finalized</w:t>
      </w:r>
      <w:r>
        <w:rPr>
          <w:rFonts w:eastAsia="Calibri" w:cs="Calibri"/>
          <w:b w:val="false"/>
          <w:bCs w:val="false"/>
          <w:i w:val="false"/>
          <w:iCs w:val="false"/>
          <w:color w:val="111827"/>
          <w:sz w:val="21"/>
          <w:szCs w:val="21"/>
        </w:rPr>
        <w:t xml:space="preserve"> chỉ để trả cọc cấp contract; hai event không cùng làm money consequence cho một quality resolution.</w:t>
      </w:r>
    </w:p>
    <w:p>
      <w:pPr>
        <w:pStyle w:val="Normal"/>
        <w:spacing w:lineRule="auto" w:line="276" w:before="0" w:after="120"/>
        <w:jc w:val="both"/>
        <w:rPr/>
      </w:pPr>
      <w:r>
        <w:rPr>
          <w:rFonts w:eastAsia="Calibri" w:cs="Calibri"/>
          <w:b w:val="false"/>
          <w:bCs w:val="false"/>
          <w:i w:val="false"/>
          <w:iCs w:val="false"/>
          <w:color w:val="111827"/>
          <w:sz w:val="21"/>
          <w:szCs w:val="21"/>
        </w:rPr>
        <w:t xml:space="preserve">OTP được binding theo tuple </w:t>
      </w:r>
      <w:r>
        <w:rPr>
          <w:rFonts w:eastAsia="Consolas" w:cs="Consolas" w:ascii="Consolas" w:hAnsi="Consolas"/>
          <w:b w:val="false"/>
          <w:bCs w:val="false"/>
          <w:i w:val="false"/>
          <w:iCs w:val="false"/>
          <w:color w:val="111827"/>
          <w:sz w:val="19"/>
          <w:szCs w:val="19"/>
        </w:rPr>
        <w:t>(signerUserId, contractId, signedContentHash)</w:t>
      </w:r>
      <w:r>
        <w:rPr>
          <w:rFonts w:eastAsia="Calibri" w:cs="Calibri"/>
          <w:b w:val="false"/>
          <w:bCs w:val="false"/>
          <w:i w:val="false"/>
          <w:iCs w:val="false"/>
          <w:color w:val="111827"/>
          <w:sz w:val="21"/>
          <w:szCs w:val="21"/>
        </w:rPr>
        <w:t xml:space="preserve">. Không có khái niệm “latest OTP” xuyên user hoặc xuyên contract; trong cùng tuple chỉ challenge mới nhất còn hạn mới verify, còn challenge cũ bị vô hiệu khi resend. Matrix item tương ứng là </w:t>
      </w:r>
      <w:r>
        <w:rPr>
          <w:rFonts w:eastAsia="Consolas" w:cs="Consolas" w:ascii="Consolas" w:hAnsi="Consolas"/>
          <w:b w:val="false"/>
          <w:bCs w:val="false"/>
          <w:i w:val="false"/>
          <w:iCs w:val="false"/>
          <w:color w:val="111827"/>
          <w:sz w:val="19"/>
          <w:szCs w:val="19"/>
        </w:rPr>
        <w:t>21g</w:t>
      </w:r>
      <w:r>
        <w:rPr>
          <w:rFonts w:eastAsia="Calibri" w:cs="Calibri"/>
          <w:b w:val="false"/>
          <w:bCs w:val="false"/>
          <w:i w:val="false"/>
          <w:iCs w:val="false"/>
          <w:color w:val="111827"/>
          <w:sz w:val="21"/>
          <w:szCs w:val="21"/>
        </w:rPr>
        <w:t>.</w:t>
      </w:r>
    </w:p>
    <w:p>
      <w:pPr>
        <w:pStyle w:val="Normal"/>
        <w:spacing w:lineRule="auto" w:line="276" w:before="0" w:after="120"/>
        <w:jc w:val="both"/>
        <w:rPr/>
      </w:pPr>
      <w:r>
        <w:rPr>
          <w:rFonts w:eastAsia="Calibri" w:cs="Calibri"/>
          <w:b w:val="false"/>
          <w:bCs w:val="false"/>
          <w:i w:val="false"/>
          <w:iCs w:val="false"/>
          <w:color w:val="111827"/>
          <w:sz w:val="21"/>
          <w:szCs w:val="21"/>
        </w:rPr>
        <w:t xml:space="preserve">Trước khi tạo challenge, server kiểm tra checkbox statement đang active, session step-up và </w:t>
      </w:r>
      <w:r>
        <w:rPr>
          <w:rFonts w:eastAsia="Consolas" w:cs="Consolas" w:ascii="Consolas" w:hAnsi="Consolas"/>
          <w:b w:val="false"/>
          <w:bCs w:val="false"/>
          <w:i w:val="false"/>
          <w:iCs w:val="false"/>
          <w:color w:val="111827"/>
          <w:sz w:val="19"/>
          <w:szCs w:val="19"/>
        </w:rPr>
        <w:t>presentedContentHash</w:t>
      </w:r>
      <w:r>
        <w:rPr>
          <w:rFonts w:eastAsia="Calibri" w:cs="Calibri"/>
          <w:b w:val="false"/>
          <w:bCs w:val="false"/>
          <w:i w:val="false"/>
          <w:iCs w:val="false"/>
          <w:color w:val="111827"/>
          <w:sz w:val="21"/>
          <w:szCs w:val="21"/>
        </w:rPr>
        <w:t xml:space="preserve">, rồi ghi </w:t>
      </w:r>
      <w:r>
        <w:rPr>
          <w:rFonts w:eastAsia="Consolas" w:cs="Consolas" w:ascii="Consolas" w:hAnsi="Consolas"/>
          <w:b w:val="false"/>
          <w:bCs w:val="false"/>
          <w:i w:val="false"/>
          <w:iCs w:val="false"/>
          <w:color w:val="111827"/>
          <w:sz w:val="19"/>
          <w:szCs w:val="19"/>
        </w:rPr>
        <w:t>ConsentEvidence</w:t>
      </w:r>
      <w:r>
        <w:rPr>
          <w:rFonts w:eastAsia="Calibri" w:cs="Calibri"/>
          <w:b w:val="false"/>
          <w:bCs w:val="false"/>
          <w:i w:val="false"/>
          <w:iCs w:val="false"/>
          <w:color w:val="111827"/>
          <w:sz w:val="21"/>
          <w:szCs w:val="21"/>
        </w:rPr>
        <w:t xml:space="preserve"> append-only. Template profile </w:t>
      </w:r>
      <w:r>
        <w:rPr>
          <w:rFonts w:eastAsia="Consolas" w:cs="Consolas" w:ascii="Consolas" w:hAnsi="Consolas"/>
          <w:b w:val="false"/>
          <w:bCs w:val="false"/>
          <w:i w:val="false"/>
          <w:iCs w:val="false"/>
          <w:color w:val="111827"/>
          <w:sz w:val="19"/>
          <w:szCs w:val="19"/>
        </w:rPr>
        <w:t>VN_COFFEE_B2B</w:t>
      </w:r>
      <w:r>
        <w:rPr>
          <w:rFonts w:eastAsia="Calibri" w:cs="Calibri"/>
          <w:b w:val="false"/>
          <w:bCs w:val="false"/>
          <w:i w:val="false"/>
          <w:iCs w:val="false"/>
          <w:color w:val="111827"/>
          <w:sz w:val="21"/>
          <w:szCs w:val="21"/>
        </w:rPr>
        <w:t xml:space="preserve"> và coffee quality profile version nằm trong </w:t>
      </w:r>
      <w:r>
        <w:rPr>
          <w:rFonts w:eastAsia="Consolas" w:cs="Consolas" w:ascii="Consolas" w:hAnsi="Consolas"/>
          <w:b w:val="false"/>
          <w:bCs w:val="false"/>
          <w:i w:val="false"/>
          <w:iCs w:val="false"/>
          <w:color w:val="111827"/>
          <w:sz w:val="19"/>
          <w:szCs w:val="19"/>
        </w:rPr>
        <w:t>ContractTermsSnapshot</w:t>
      </w:r>
      <w:r>
        <w:rPr>
          <w:rFonts w:eastAsia="Calibri" w:cs="Calibri"/>
          <w:b w:val="false"/>
          <w:bCs w:val="false"/>
          <w:i w:val="false"/>
          <w:iCs w:val="false"/>
          <w:color w:val="111827"/>
          <w:sz w:val="21"/>
          <w:szCs w:val="21"/>
        </w:rPr>
        <w:t xml:space="preserve">; đổi template/profile làm đổi </w:t>
      </w:r>
      <w:r>
        <w:rPr>
          <w:rFonts w:eastAsia="Consolas" w:cs="Consolas" w:ascii="Consolas" w:hAnsi="Consolas"/>
          <w:b w:val="false"/>
          <w:bCs w:val="false"/>
          <w:i w:val="false"/>
          <w:iCs w:val="false"/>
          <w:color w:val="111827"/>
          <w:sz w:val="19"/>
          <w:szCs w:val="19"/>
        </w:rPr>
        <w:t>signedContentHash</w:t>
      </w:r>
      <w:r>
        <w:rPr>
          <w:rFonts w:eastAsia="Calibri" w:cs="Calibri"/>
          <w:b w:val="false"/>
          <w:bCs w:val="false"/>
          <w:i w:val="false"/>
          <w:iCs w:val="false"/>
          <w:color w:val="111827"/>
          <w:sz w:val="21"/>
          <w:szCs w:val="21"/>
        </w:rPr>
        <w:t xml:space="preserve">. Sau chữ ký thứ hai, final PDF đi qua </w:t>
      </w:r>
      <w:r>
        <w:rPr>
          <w:rFonts w:eastAsia="Consolas" w:cs="Consolas" w:ascii="Consolas" w:hAnsi="Consolas"/>
          <w:b w:val="false"/>
          <w:bCs w:val="false"/>
          <w:i w:val="false"/>
          <w:iCs w:val="false"/>
          <w:color w:val="111827"/>
          <w:sz w:val="19"/>
          <w:szCs w:val="19"/>
        </w:rPr>
        <w:t>PENDING -&gt; READY | FAILED</w:t>
      </w:r>
      <w:r>
        <w:rPr>
          <w:rFonts w:eastAsia="Calibri" w:cs="Calibri"/>
          <w:b w:val="false"/>
          <w:bCs w:val="false"/>
          <w:i w:val="false"/>
          <w:iCs w:val="false"/>
          <w:color w:val="111827"/>
          <w:sz w:val="21"/>
          <w:szCs w:val="21"/>
        </w:rPr>
        <w:t xml:space="preserve"> bất đồng bộ; lỗi render không rollback chữ ký. Preview luôn mang watermark </w:t>
      </w:r>
      <w:r>
        <w:rPr>
          <w:rFonts w:eastAsia="Consolas" w:cs="Consolas" w:ascii="Consolas" w:hAnsi="Consolas"/>
          <w:b w:val="false"/>
          <w:bCs w:val="false"/>
          <w:i w:val="false"/>
          <w:iCs w:val="false"/>
          <w:color w:val="111827"/>
          <w:sz w:val="19"/>
          <w:szCs w:val="19"/>
        </w:rPr>
        <w:t>CHƯA CÓ HIỆU LỰC</w:t>
      </w:r>
      <w:r>
        <w:rPr>
          <w:rFonts w:eastAsia="Calibri" w:cs="Calibri"/>
          <w:b w:val="false"/>
          <w:bCs w:val="false"/>
          <w:i w:val="false"/>
          <w:iCs w:val="false"/>
          <w:color w:val="111827"/>
          <w:sz w:val="21"/>
          <w:szCs w:val="21"/>
        </w:rPr>
        <w:t xml:space="preserve">; final READY được kiểm chứng bằng cả </w:t>
      </w:r>
      <w:r>
        <w:rPr>
          <w:rFonts w:eastAsia="Consolas" w:cs="Consolas" w:ascii="Consolas" w:hAnsi="Consolas"/>
          <w:b w:val="false"/>
          <w:bCs w:val="false"/>
          <w:i w:val="false"/>
          <w:iCs w:val="false"/>
          <w:color w:val="111827"/>
          <w:sz w:val="19"/>
          <w:szCs w:val="19"/>
        </w:rPr>
        <w:t>sourceContentHash</w:t>
      </w:r>
      <w:r>
        <w:rPr>
          <w:rFonts w:eastAsia="Calibri" w:cs="Calibri"/>
          <w:b w:val="false"/>
          <w:bCs w:val="false"/>
          <w:i w:val="false"/>
          <w:iCs w:val="false"/>
          <w:color w:val="111827"/>
          <w:sz w:val="21"/>
          <w:szCs w:val="21"/>
        </w:rPr>
        <w:t xml:space="preserve"> và </w:t>
      </w:r>
      <w:r>
        <w:rPr>
          <w:rFonts w:eastAsia="Consolas" w:cs="Consolas" w:ascii="Consolas" w:hAnsi="Consolas"/>
          <w:b w:val="false"/>
          <w:bCs w:val="false"/>
          <w:i w:val="false"/>
          <w:iCs w:val="false"/>
          <w:color w:val="111827"/>
          <w:sz w:val="19"/>
          <w:szCs w:val="19"/>
        </w:rPr>
        <w:t>documentFileHash</w:t>
      </w:r>
      <w:r>
        <w:rPr>
          <w:rFonts w:eastAsia="Calibri" w:cs="Calibri"/>
          <w:b w:val="false"/>
          <w:bCs w:val="false"/>
          <w:i w:val="false"/>
          <w:iCs w:val="false"/>
          <w:color w:val="111827"/>
          <w:sz w:val="21"/>
          <w:szCs w:val="21"/>
        </w:rPr>
        <w:t>.</w:t>
      </w:r>
    </w:p>
    <w:p>
      <w:pPr>
        <w:pStyle w:val="Heading2"/>
        <w:spacing w:before="240" w:after="80"/>
        <w:rPr/>
      </w:pPr>
      <w:bookmarkStart w:id="34" w:name="__RefHeading___Toc3306_AgriContract"/>
      <w:bookmarkEnd w:id="34"/>
      <w:r>
        <w:rPr>
          <w:rFonts w:eastAsia="Calibri" w:cs="Calibri" w:ascii="Calibri" w:hAnsi="Calibri"/>
          <w:b/>
          <w:bCs/>
          <w:color w:val="1F2A37"/>
          <w:sz w:val="25"/>
          <w:szCs w:val="25"/>
        </w:rPr>
        <w:t>Inventory, reservation và concurrency</w:t>
      </w:r>
    </w:p>
    <w:p>
      <w:pPr>
        <w:pStyle w:val="Normal"/>
        <w:spacing w:lineRule="auto" w:line="276" w:before="0" w:after="120"/>
        <w:jc w:val="both"/>
        <w:rPr/>
      </w:pPr>
      <w:r>
        <w:rPr>
          <w:rFonts w:eastAsia="Calibri" w:cs="Calibri"/>
          <w:b w:val="false"/>
          <w:bCs w:val="false"/>
          <w:i w:val="false"/>
          <w:iCs w:val="false"/>
          <w:color w:val="111827"/>
          <w:sz w:val="21"/>
          <w:szCs w:val="21"/>
        </w:rPr>
        <w:t xml:space="preserve">Product-service là owner duy nhất của </w:t>
      </w:r>
      <w:r>
        <w:rPr>
          <w:rFonts w:eastAsia="Consolas" w:cs="Consolas" w:ascii="Consolas" w:hAnsi="Consolas"/>
          <w:b w:val="false"/>
          <w:bCs w:val="false"/>
          <w:i w:val="false"/>
          <w:iCs w:val="false"/>
          <w:color w:val="111827"/>
          <w:sz w:val="19"/>
          <w:szCs w:val="19"/>
        </w:rPr>
        <w:t>minOrderQuantity</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quantityAvailable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reservedQuantity</w:t>
      </w:r>
      <w:r>
        <w:rPr>
          <w:rFonts w:eastAsia="Calibri" w:cs="Calibri"/>
          <w:b w:val="false"/>
          <w:bCs w:val="false"/>
          <w:i w:val="false"/>
          <w:iCs w:val="false"/>
          <w:color w:val="111827"/>
          <w:sz w:val="21"/>
          <w:szCs w:val="21"/>
        </w:rPr>
        <w:t xml:space="preserve">, listing và reservation. Listing lifecycle là </w:t>
      </w:r>
      <w:r>
        <w:rPr>
          <w:rFonts w:eastAsia="Consolas" w:cs="Consolas" w:ascii="Consolas" w:hAnsi="Consolas"/>
          <w:b w:val="false"/>
          <w:bCs w:val="false"/>
          <w:i w:val="false"/>
          <w:iCs w:val="false"/>
          <w:color w:val="111827"/>
          <w:sz w:val="19"/>
          <w:szCs w:val="19"/>
        </w:rPr>
        <w:t>AVAILABLE -&gt; PARTIALLY_COMMITTED -&gt; CLOSED</w:t>
      </w:r>
      <w:r>
        <w:rPr>
          <w:rFonts w:eastAsia="Calibri" w:cs="Calibri"/>
          <w:b w:val="false"/>
          <w:bCs w:val="false"/>
          <w:i w:val="false"/>
          <w:iCs w:val="false"/>
          <w:color w:val="111827"/>
          <w:sz w:val="21"/>
          <w:szCs w:val="21"/>
        </w:rPr>
        <w:t xml:space="preserve"> (vẫn giữ </w:t>
      </w:r>
      <w:r>
        <w:rPr>
          <w:rFonts w:eastAsia="Consolas" w:cs="Consolas" w:ascii="Consolas" w:hAnsi="Consolas"/>
          <w:b w:val="false"/>
          <w:bCs w:val="false"/>
          <w:i w:val="false"/>
          <w:iCs w:val="false"/>
          <w:color w:val="111827"/>
          <w:sz w:val="19"/>
          <w:szCs w:val="19"/>
        </w:rPr>
        <w:t>PAUSED</w:t>
      </w:r>
      <w:r>
        <w:rPr>
          <w:rFonts w:eastAsia="Calibri" w:cs="Calibri"/>
          <w:b w:val="false"/>
          <w:bCs w:val="false"/>
          <w:i w:val="false"/>
          <w:iCs w:val="false"/>
          <w:color w:val="111827"/>
          <w:sz w:val="21"/>
          <w:szCs w:val="21"/>
        </w:rPr>
        <w:t xml:space="preserve">); reservation lifecycle là </w:t>
      </w:r>
      <w:r>
        <w:rPr>
          <w:rFonts w:eastAsia="Consolas" w:cs="Consolas" w:ascii="Consolas" w:hAnsi="Consolas"/>
          <w:b w:val="false"/>
          <w:bCs w:val="false"/>
          <w:i w:val="false"/>
          <w:iCs w:val="false"/>
          <w:color w:val="111827"/>
          <w:sz w:val="19"/>
          <w:szCs w:val="19"/>
        </w:rPr>
        <w:t>RESERVED -&gt; SIGNED_RELEASABLE -&gt; COMMITTED | RELEASED</w:t>
      </w:r>
      <w:r>
        <w:rPr>
          <w:rFonts w:eastAsia="Calibri" w:cs="Calibri"/>
          <w:b w:val="false"/>
          <w:bCs w:val="false"/>
          <w:i w:val="false"/>
          <w:iCs w:val="false"/>
          <w:color w:val="111827"/>
          <w:sz w:val="21"/>
          <w:szCs w:val="21"/>
        </w:rPr>
        <w:t xml:space="preserve">. Reserve qua synchronous internal product-service API trước khi persist </w:t>
      </w:r>
      <w:r>
        <w:rPr>
          <w:rFonts w:eastAsia="Consolas" w:cs="Consolas" w:ascii="Consolas" w:hAnsi="Consolas"/>
          <w:b w:val="false"/>
          <w:bCs w:val="false"/>
          <w:i w:val="false"/>
          <w:iCs w:val="false"/>
          <w:color w:val="111827"/>
          <w:sz w:val="19"/>
          <w:szCs w:val="19"/>
        </w:rPr>
        <w:t>OFFERED</w:t>
      </w:r>
      <w:r>
        <w:rPr>
          <w:rFonts w:eastAsia="Calibri" w:cs="Calibri"/>
          <w:b w:val="false"/>
          <w:bCs w:val="false"/>
          <w:i w:val="false"/>
          <w:iCs w:val="false"/>
          <w:color w:val="111827"/>
          <w:sz w:val="21"/>
          <w:szCs w:val="21"/>
        </w:rPr>
        <w:t xml:space="preserve">; persistence failure phải compensation-release idempotent. </w:t>
      </w:r>
      <w:r>
        <w:rPr>
          <w:rFonts w:eastAsia="Consolas" w:cs="Consolas" w:ascii="Consolas" w:hAnsi="Consolas"/>
          <w:b w:val="false"/>
          <w:bCs w:val="false"/>
          <w:i w:val="false"/>
          <w:iCs w:val="false"/>
          <w:color w:val="111827"/>
          <w:sz w:val="19"/>
          <w:szCs w:val="19"/>
        </w:rPr>
        <w:t>contract.activated</w:t>
      </w:r>
      <w:r>
        <w:rPr>
          <w:rFonts w:eastAsia="Calibri" w:cs="Calibri"/>
          <w:b w:val="false"/>
          <w:bCs w:val="false"/>
          <w:i w:val="false"/>
          <w:iCs w:val="false"/>
          <w:color w:val="111827"/>
          <w:sz w:val="21"/>
          <w:szCs w:val="21"/>
        </w:rPr>
        <w:t xml:space="preserve"> mới commit inventory; </w:t>
      </w:r>
      <w:r>
        <w:rPr>
          <w:rFonts w:eastAsia="Consolas" w:cs="Consolas" w:ascii="Consolas" w:hAnsi="Consolas"/>
          <w:b w:val="false"/>
          <w:bCs w:val="false"/>
          <w:i w:val="false"/>
          <w:iCs w:val="false"/>
          <w:color w:val="111827"/>
          <w:sz w:val="19"/>
          <w:szCs w:val="19"/>
        </w:rPr>
        <w:t>requestedQuantity = SUM(committedQuantity)</w:t>
      </w:r>
      <w:r>
        <w:rPr>
          <w:rFonts w:eastAsia="Calibri" w:cs="Calibri"/>
          <w:b w:val="false"/>
          <w:bCs w:val="false"/>
          <w:i w:val="false"/>
          <w:iCs w:val="false"/>
          <w:color w:val="111827"/>
          <w:sz w:val="21"/>
          <w:szCs w:val="21"/>
        </w:rPr>
        <w:t xml:space="preserve"> và F18 fail closed nếu tổng không bằng </w:t>
      </w:r>
      <w:r>
        <w:rPr>
          <w:rFonts w:eastAsia="Consolas" w:cs="Consolas" w:ascii="Consolas" w:hAnsi="Consolas"/>
          <w:b w:val="false"/>
          <w:bCs w:val="false"/>
          <w:i w:val="false"/>
          <w:iCs w:val="false"/>
          <w:color w:val="111827"/>
          <w:sz w:val="19"/>
          <w:szCs w:val="19"/>
        </w:rPr>
        <w:t>reservedQuantity</w:t>
      </w:r>
      <w:r>
        <w:rPr>
          <w:rFonts w:eastAsia="Calibri" w:cs="Calibri"/>
          <w:b w:val="false"/>
          <w:bCs w:val="false"/>
          <w:i w:val="false"/>
          <w:iCs w:val="false"/>
          <w:color w:val="111827"/>
          <w:sz w:val="21"/>
          <w:szCs w:val="21"/>
        </w:rPr>
        <w:t>.</w:t>
      </w:r>
    </w:p>
    <w:p>
      <w:pPr>
        <w:pStyle w:val="Normal"/>
        <w:spacing w:lineRule="auto" w:line="276" w:before="0" w:after="120"/>
        <w:jc w:val="both"/>
        <w:rPr/>
      </w:pPr>
      <w:r>
        <w:rPr>
          <w:rFonts w:eastAsia="Calibri" w:cs="Calibri"/>
          <w:b w:val="false"/>
          <w:bCs w:val="false"/>
          <w:i w:val="false"/>
          <w:iCs w:val="false"/>
          <w:color w:val="111827"/>
          <w:sz w:val="21"/>
          <w:szCs w:val="21"/>
        </w:rPr>
        <w:t xml:space="preserve">Listing response expose opaque </w:t>
      </w:r>
      <w:r>
        <w:rPr>
          <w:rFonts w:eastAsia="Consolas" w:cs="Consolas" w:ascii="Consolas" w:hAnsi="Consolas"/>
          <w:b w:val="false"/>
          <w:bCs w:val="false"/>
          <w:i w:val="false"/>
          <w:iCs w:val="false"/>
          <w:color w:val="111827"/>
          <w:sz w:val="19"/>
          <w:szCs w:val="19"/>
        </w:rPr>
        <w:t>listingVersionToken</w:t>
      </w:r>
      <w:r>
        <w:rPr>
          <w:rFonts w:eastAsia="Calibri" w:cs="Calibri"/>
          <w:b w:val="false"/>
          <w:bCs w:val="false"/>
          <w:i w:val="false"/>
          <w:iCs w:val="false"/>
          <w:color w:val="111827"/>
          <w:sz w:val="21"/>
          <w:szCs w:val="21"/>
        </w:rPr>
        <w:t xml:space="preserve">, tạo từ canonical UTC </w:t>
      </w:r>
      <w:r>
        <w:rPr>
          <w:rFonts w:eastAsia="Consolas" w:cs="Consolas" w:ascii="Consolas" w:hAnsi="Consolas"/>
          <w:b w:val="false"/>
          <w:bCs w:val="false"/>
          <w:i w:val="false"/>
          <w:iCs w:val="false"/>
          <w:color w:val="111827"/>
          <w:sz w:val="19"/>
          <w:szCs w:val="19"/>
        </w:rPr>
        <w:t>Listing.updatedAt</w:t>
      </w:r>
      <w:r>
        <w:rPr>
          <w:rFonts w:eastAsia="Calibri" w:cs="Calibri"/>
          <w:b w:val="false"/>
          <w:bCs w:val="false"/>
          <w:i w:val="false"/>
          <w:iCs w:val="false"/>
          <w:color w:val="111827"/>
          <w:sz w:val="21"/>
          <w:szCs w:val="21"/>
        </w:rPr>
        <w:t xml:space="preserve">. Stale token trả </w:t>
      </w:r>
      <w:r>
        <w:rPr>
          <w:rFonts w:eastAsia="Consolas" w:cs="Consolas" w:ascii="Consolas" w:hAnsi="Consolas"/>
          <w:b w:val="false"/>
          <w:bCs w:val="false"/>
          <w:i w:val="false"/>
          <w:iCs w:val="false"/>
          <w:color w:val="111827"/>
          <w:sz w:val="19"/>
          <w:szCs w:val="19"/>
        </w:rPr>
        <w:t>LISTING_VERSION_MISMATCH</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VERSION_MISMATCH</w:t>
      </w:r>
      <w:r>
        <w:rPr>
          <w:rFonts w:eastAsia="Calibri" w:cs="Calibri"/>
          <w:b w:val="false"/>
          <w:bCs w:val="false"/>
          <w:i w:val="false"/>
          <w:iCs w:val="false"/>
          <w:color w:val="111827"/>
          <w:sz w:val="21"/>
          <w:szCs w:val="21"/>
        </w:rPr>
        <w:t xml:space="preserve">, reload/retry); thiếu tồn, dưới </w:t>
      </w:r>
      <w:r>
        <w:rPr>
          <w:rFonts w:eastAsia="Consolas" w:cs="Consolas" w:ascii="Consolas" w:hAnsi="Consolas"/>
          <w:b w:val="false"/>
          <w:bCs w:val="false"/>
          <w:i w:val="false"/>
          <w:iCs w:val="false"/>
          <w:color w:val="111827"/>
          <w:sz w:val="19"/>
          <w:szCs w:val="19"/>
        </w:rPr>
        <w:t>minOrderQuantity</w:t>
      </w:r>
      <w:r>
        <w:rPr>
          <w:rFonts w:eastAsia="Calibri" w:cs="Calibri"/>
          <w:b w:val="false"/>
          <w:bCs w:val="false"/>
          <w:i w:val="false"/>
          <w:iCs w:val="false"/>
          <w:color w:val="111827"/>
          <w:sz w:val="21"/>
          <w:szCs w:val="21"/>
        </w:rPr>
        <w:t xml:space="preserve">, legacy </w:t>
      </w:r>
      <w:r>
        <w:rPr>
          <w:rFonts w:eastAsia="Consolas" w:cs="Consolas" w:ascii="Consolas" w:hAnsi="Consolas"/>
          <w:b w:val="false"/>
          <w:bCs w:val="false"/>
          <w:i w:val="false"/>
          <w:iCs w:val="false"/>
          <w:color w:val="111827"/>
          <w:sz w:val="19"/>
          <w:szCs w:val="19"/>
        </w:rPr>
        <w:t>quantityAvailable = null</w:t>
      </w:r>
      <w:r>
        <w:rPr>
          <w:rFonts w:eastAsia="Calibri" w:cs="Calibri"/>
          <w:b w:val="false"/>
          <w:bCs w:val="false"/>
          <w:i w:val="false"/>
          <w:iCs w:val="false"/>
          <w:color w:val="111827"/>
          <w:sz w:val="21"/>
          <w:szCs w:val="21"/>
        </w:rPr>
        <w:t xml:space="preserve"> hoặc state conflict trả </w:t>
      </w:r>
      <w:r>
        <w:rPr>
          <w:rFonts w:eastAsia="Consolas" w:cs="Consolas" w:ascii="Consolas" w:hAnsi="Consolas"/>
          <w:b w:val="false"/>
          <w:bCs w:val="false"/>
          <w:i w:val="false"/>
          <w:iCs w:val="false"/>
          <w:color w:val="111827"/>
          <w:sz w:val="19"/>
          <w:szCs w:val="19"/>
        </w:rPr>
        <w:t>INSUFFICIENT_LISTING_QUANTITY</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STATE_CONFLICT</w:t>
      </w:r>
      <w:r>
        <w:rPr>
          <w:rFonts w:eastAsia="Calibri" w:cs="Calibri"/>
          <w:b w:val="false"/>
          <w:bCs w:val="false"/>
          <w:i w:val="false"/>
          <w:iCs w:val="false"/>
          <w:color w:val="111827"/>
          <w:sz w:val="21"/>
          <w:szCs w:val="21"/>
        </w:rPr>
        <w:t>, refresh, không blind retry). Reservation replay không decrement/restore lần hai.</w:t>
      </w:r>
    </w:p>
    <w:p>
      <w:pPr>
        <w:pStyle w:val="Normal"/>
        <w:spacing w:lineRule="auto" w:line="276" w:before="0" w:after="120"/>
        <w:jc w:val="both"/>
        <w:rPr/>
      </w:pPr>
      <w:r>
        <w:rPr>
          <w:rFonts w:eastAsia="Consolas" w:cs="Consolas" w:ascii="Consolas" w:hAnsi="Consolas"/>
          <w:b w:val="false"/>
          <w:bCs w:val="false"/>
          <w:i w:val="false"/>
          <w:iCs w:val="false"/>
          <w:color w:val="111827"/>
          <w:sz w:val="19"/>
          <w:szCs w:val="19"/>
        </w:rPr>
        <w:t>OrphanReservationReaperJob</w:t>
      </w:r>
      <w:r>
        <w:rPr>
          <w:rFonts w:eastAsia="Calibri" w:cs="Calibri"/>
          <w:b w:val="false"/>
          <w:bCs w:val="false"/>
          <w:i w:val="false"/>
          <w:iCs w:val="false"/>
          <w:color w:val="111827"/>
          <w:sz w:val="21"/>
          <w:szCs w:val="21"/>
        </w:rPr>
        <w:t xml:space="preserve"> chạy trong product-service, mặc định </w:t>
      </w:r>
      <w:r>
        <w:rPr>
          <w:rFonts w:eastAsia="Consolas" w:cs="Consolas" w:ascii="Consolas" w:hAnsi="Consolas"/>
          <w:b w:val="false"/>
          <w:bCs w:val="false"/>
          <w:i w:val="false"/>
          <w:iCs w:val="false"/>
          <w:color w:val="111827"/>
          <w:sz w:val="19"/>
          <w:szCs w:val="19"/>
        </w:rPr>
        <w:t>orphanReservationGraceMinutes = 30</w:t>
      </w:r>
      <w:r>
        <w:rPr>
          <w:rFonts w:eastAsia="Calibri" w:cs="Calibri"/>
          <w:b w:val="false"/>
          <w:bCs w:val="false"/>
          <w:i w:val="false"/>
          <w:iCs w:val="false"/>
          <w:color w:val="111827"/>
          <w:sz w:val="21"/>
          <w:szCs w:val="21"/>
        </w:rPr>
        <w:t xml:space="preserve">. Job chỉ release reservation </w:t>
      </w:r>
      <w:r>
        <w:rPr>
          <w:rFonts w:eastAsia="Consolas" w:cs="Consolas" w:ascii="Consolas" w:hAnsi="Consolas"/>
          <w:b w:val="false"/>
          <w:bCs w:val="false"/>
          <w:i w:val="false"/>
          <w:iCs w:val="false"/>
          <w:color w:val="111827"/>
          <w:sz w:val="19"/>
          <w:szCs w:val="19"/>
        </w:rPr>
        <w:t>RESERVED</w:t>
      </w:r>
      <w:r>
        <w:rPr>
          <w:rFonts w:eastAsia="Calibri" w:cs="Calibri"/>
          <w:b w:val="false"/>
          <w:bCs w:val="false"/>
          <w:i w:val="false"/>
          <w:iCs w:val="false"/>
          <w:color w:val="111827"/>
          <w:sz w:val="21"/>
          <w:szCs w:val="21"/>
        </w:rPr>
        <w:t xml:space="preserve"> quá grace khi durable store chưa có </w:t>
      </w:r>
      <w:r>
        <w:rPr>
          <w:rFonts w:eastAsia="Consolas" w:cs="Consolas" w:ascii="Consolas" w:hAnsi="Consolas"/>
          <w:b w:val="false"/>
          <w:bCs w:val="false"/>
          <w:i w:val="false"/>
          <w:iCs w:val="false"/>
          <w:color w:val="111827"/>
          <w:sz w:val="19"/>
          <w:szCs w:val="19"/>
        </w:rPr>
        <w:t>contract.created</w:t>
      </w:r>
      <w:r>
        <w:rPr>
          <w:rFonts w:eastAsia="Calibri" w:cs="Calibri"/>
          <w:b w:val="false"/>
          <w:bCs w:val="false"/>
          <w:i w:val="false"/>
          <w:iCs w:val="false"/>
          <w:color w:val="111827"/>
          <w:sz w:val="21"/>
          <w:szCs w:val="21"/>
        </w:rPr>
        <w:t xml:space="preserve">; không gọi cross-service, không thêm endpoint, không đụng </w:t>
      </w:r>
      <w:r>
        <w:rPr>
          <w:rFonts w:eastAsia="Consolas" w:cs="Consolas" w:ascii="Consolas" w:hAnsi="Consolas"/>
          <w:b w:val="false"/>
          <w:bCs w:val="false"/>
          <w:i w:val="false"/>
          <w:iCs w:val="false"/>
          <w:color w:val="111827"/>
          <w:sz w:val="19"/>
          <w:szCs w:val="19"/>
        </w:rPr>
        <w:t>SIGNED_RELEASABLE</w:t>
      </w:r>
      <w:r>
        <w:rPr>
          <w:rFonts w:eastAsia="Calibri" w:cs="Calibri"/>
          <w:b w:val="false"/>
          <w:bCs w:val="false"/>
          <w:i w:val="false"/>
          <w:iCs w:val="false"/>
          <w:color w:val="111827"/>
          <w:sz w:val="21"/>
          <w:szCs w:val="21"/>
        </w:rPr>
        <w:t>/</w:t>
      </w:r>
      <w:r>
        <w:rPr>
          <w:rFonts w:eastAsia="Consolas" w:cs="Consolas" w:ascii="Consolas" w:hAnsi="Consolas"/>
          <w:b w:val="false"/>
          <w:bCs w:val="false"/>
          <w:i w:val="false"/>
          <w:iCs w:val="false"/>
          <w:color w:val="111827"/>
          <w:sz w:val="19"/>
          <w:szCs w:val="19"/>
        </w:rPr>
        <w:t>COMMITTED</w:t>
      </w:r>
      <w:r>
        <w:rPr>
          <w:rFonts w:eastAsia="Calibri" w:cs="Calibri"/>
          <w:b w:val="false"/>
          <w:bCs w:val="false"/>
          <w:i w:val="false"/>
          <w:iCs w:val="false"/>
          <w:color w:val="111827"/>
          <w:sz w:val="21"/>
          <w:szCs w:val="21"/>
        </w:rPr>
        <w:t xml:space="preserve">, không reopen </w:t>
      </w:r>
      <w:r>
        <w:rPr>
          <w:rFonts w:eastAsia="Consolas" w:cs="Consolas" w:ascii="Consolas" w:hAnsi="Consolas"/>
          <w:b w:val="false"/>
          <w:bCs w:val="false"/>
          <w:i w:val="false"/>
          <w:iCs w:val="false"/>
          <w:color w:val="111827"/>
          <w:sz w:val="19"/>
          <w:szCs w:val="19"/>
        </w:rPr>
        <w:t>CLOSED</w:t>
      </w:r>
      <w:r>
        <w:rPr>
          <w:rFonts w:eastAsia="Calibri" w:cs="Calibri"/>
          <w:b w:val="false"/>
          <w:bCs w:val="false"/>
          <w:i w:val="false"/>
          <w:iCs w:val="false"/>
          <w:color w:val="111827"/>
          <w:sz w:val="21"/>
          <w:szCs w:val="21"/>
        </w:rPr>
        <w:t>/</w:t>
      </w:r>
      <w:r>
        <w:rPr>
          <w:rFonts w:eastAsia="Consolas" w:cs="Consolas" w:ascii="Consolas" w:hAnsi="Consolas"/>
          <w:b w:val="false"/>
          <w:bCs w:val="false"/>
          <w:i w:val="false"/>
          <w:iCs w:val="false"/>
          <w:color w:val="111827"/>
          <w:sz w:val="19"/>
          <w:szCs w:val="19"/>
        </w:rPr>
        <w:t>PAUSED</w:t>
      </w:r>
      <w:r>
        <w:rPr>
          <w:rFonts w:eastAsia="Calibri" w:cs="Calibri"/>
          <w:b w:val="false"/>
          <w:bCs w:val="false"/>
          <w:i w:val="false"/>
          <w:iCs w:val="false"/>
          <w:color w:val="111827"/>
          <w:sz w:val="21"/>
          <w:szCs w:val="21"/>
        </w:rPr>
        <w:t xml:space="preserve">, và log + alert Admin mỗi release. Late </w:t>
      </w:r>
      <w:r>
        <w:rPr>
          <w:rFonts w:eastAsia="Consolas" w:cs="Consolas" w:ascii="Consolas" w:hAnsi="Consolas"/>
          <w:b w:val="false"/>
          <w:bCs w:val="false"/>
          <w:i w:val="false"/>
          <w:iCs w:val="false"/>
          <w:color w:val="111827"/>
          <w:sz w:val="19"/>
          <w:szCs w:val="19"/>
        </w:rPr>
        <w:t>contract.created</w:t>
      </w:r>
      <w:r>
        <w:rPr>
          <w:rFonts w:eastAsia="Calibri" w:cs="Calibri"/>
          <w:b w:val="false"/>
          <w:bCs w:val="false"/>
          <w:i w:val="false"/>
          <w:iCs w:val="false"/>
          <w:color w:val="111827"/>
          <w:sz w:val="21"/>
          <w:szCs w:val="21"/>
        </w:rPr>
        <w:t xml:space="preserve"> sau </w:t>
      </w:r>
      <w:r>
        <w:rPr>
          <w:rFonts w:eastAsia="Consolas" w:cs="Consolas" w:ascii="Consolas" w:hAnsi="Consolas"/>
          <w:b w:val="false"/>
          <w:bCs w:val="false"/>
          <w:i w:val="false"/>
          <w:iCs w:val="false"/>
          <w:color w:val="111827"/>
          <w:sz w:val="19"/>
          <w:szCs w:val="19"/>
        </w:rPr>
        <w:t>RELEASED</w:t>
      </w:r>
      <w:r>
        <w:rPr>
          <w:rFonts w:eastAsia="Calibri" w:cs="Calibri"/>
          <w:b w:val="false"/>
          <w:bCs w:val="false"/>
          <w:i w:val="false"/>
          <w:iCs w:val="false"/>
          <w:color w:val="111827"/>
          <w:sz w:val="21"/>
          <w:szCs w:val="21"/>
        </w:rPr>
        <w:t xml:space="preserve"> là inventory inconsistency: error log + Admin alert, không silent deduplication, reverse transition, re-decrement hoặc inventory path thứ hai.</w:t>
      </w:r>
    </w:p>
    <w:p>
      <w:pPr>
        <w:pStyle w:val="Heading2"/>
        <w:spacing w:before="240" w:after="80"/>
        <w:rPr/>
      </w:pPr>
      <w:bookmarkStart w:id="35" w:name="__RefHeading___Toc3308_AgriContract"/>
      <w:bookmarkEnd w:id="35"/>
      <w:r>
        <w:rPr>
          <w:rFonts w:eastAsia="Calibri" w:cs="Calibri" w:ascii="Calibri" w:hAnsi="Calibri"/>
          <w:b/>
          <w:bCs/>
          <w:color w:val="1F2A37"/>
          <w:sz w:val="25"/>
          <w:szCs w:val="25"/>
        </w:rPr>
        <w:t>Signed pricing, deposits và money authority</w:t>
      </w:r>
    </w:p>
    <w:p>
      <w:pPr>
        <w:pStyle w:val="Normal"/>
        <w:spacing w:lineRule="auto" w:line="276" w:before="0" w:after="120"/>
        <w:jc w:val="both"/>
        <w:rPr/>
      </w:pPr>
      <w:r>
        <w:rPr>
          <w:rFonts w:eastAsia="Consolas" w:cs="Consolas" w:ascii="Consolas" w:hAnsi="Consolas"/>
          <w:b w:val="false"/>
          <w:bCs w:val="false"/>
          <w:i w:val="false"/>
          <w:iCs w:val="false"/>
          <w:color w:val="111827"/>
          <w:sz w:val="19"/>
          <w:szCs w:val="19"/>
        </w:rPr>
        <w:t>priceBand</w:t>
      </w:r>
      <w:r>
        <w:rPr>
          <w:rFonts w:eastAsia="Calibri" w:cs="Calibri"/>
          <w:b w:val="false"/>
          <w:bCs w:val="false"/>
          <w:i w:val="false"/>
          <w:iCs w:val="false"/>
          <w:color w:val="111827"/>
          <w:sz w:val="21"/>
          <w:szCs w:val="21"/>
        </w:rPr>
        <w:t xml:space="preserve"> và </w:t>
      </w:r>
      <w:r>
        <w:rPr>
          <w:rFonts w:eastAsia="Consolas" w:cs="Consolas" w:ascii="Consolas" w:hAnsi="Consolas"/>
          <w:b w:val="false"/>
          <w:bCs w:val="false"/>
          <w:i w:val="false"/>
          <w:iCs w:val="false"/>
          <w:color w:val="111827"/>
          <w:sz w:val="19"/>
          <w:szCs w:val="19"/>
        </w:rPr>
        <w:t>priceAdjustmentRule</w:t>
      </w:r>
      <w:r>
        <w:rPr>
          <w:rFonts w:eastAsia="Calibri" w:cs="Calibri"/>
          <w:b w:val="false"/>
          <w:bCs w:val="false"/>
          <w:i w:val="false"/>
          <w:iCs w:val="false"/>
          <w:color w:val="111827"/>
          <w:sz w:val="21"/>
          <w:szCs w:val="21"/>
        </w:rPr>
        <w:t xml:space="preserve"> là signed terms và nằm trong </w:t>
      </w:r>
      <w:r>
        <w:rPr>
          <w:rFonts w:eastAsia="Consolas" w:cs="Consolas" w:ascii="Consolas" w:hAnsi="Consolas"/>
          <w:b w:val="false"/>
          <w:bCs w:val="false"/>
          <w:i w:val="false"/>
          <w:iCs w:val="false"/>
          <w:color w:val="111827"/>
          <w:sz w:val="19"/>
          <w:szCs w:val="19"/>
        </w:rPr>
        <w:t>signedContentHash</w:t>
      </w:r>
      <w:r>
        <w:rPr>
          <w:rFonts w:eastAsia="Calibri" w:cs="Calibri"/>
          <w:b w:val="false"/>
          <w:bCs w:val="false"/>
          <w:i w:val="false"/>
          <w:iCs w:val="false"/>
          <w:color w:val="111827"/>
          <w:sz w:val="21"/>
          <w:szCs w:val="21"/>
        </w:rPr>
        <w:t xml:space="preserve">. Propose/accept là hai JWT-authenticated, idempotent actions, không OTP, chỉ hợp lệ trước funding. Adjustment in-band chỉ thực thi rule đã ký, không amend terms/hash; phát </w:t>
      </w:r>
      <w:r>
        <w:rPr>
          <w:rFonts w:eastAsia="Consolas" w:cs="Consolas" w:ascii="Consolas" w:hAnsi="Consolas"/>
          <w:b w:val="false"/>
          <w:bCs w:val="false"/>
          <w:i w:val="false"/>
          <w:iCs w:val="false"/>
          <w:color w:val="111827"/>
          <w:sz w:val="19"/>
          <w:szCs w:val="19"/>
        </w:rPr>
        <w:t>milestone.price_adjusted</w:t>
      </w:r>
      <w:r>
        <w:rPr>
          <w:rFonts w:eastAsia="Calibri" w:cs="Calibri"/>
          <w:b w:val="false"/>
          <w:bCs w:val="false"/>
          <w:i w:val="false"/>
          <w:iCs w:val="false"/>
          <w:color w:val="111827"/>
          <w:sz w:val="21"/>
          <w:szCs w:val="21"/>
        </w:rPr>
        <w:t xml:space="preserve"> audit/lifecycle-only. Funding dùng </w:t>
      </w:r>
      <w:r>
        <w:rPr>
          <w:rFonts w:eastAsia="Consolas" w:cs="Consolas" w:ascii="Consolas" w:hAnsi="Consolas"/>
          <w:b w:val="false"/>
          <w:bCs w:val="false"/>
          <w:i w:val="false"/>
          <w:iCs w:val="false"/>
          <w:color w:val="111827"/>
          <w:sz w:val="19"/>
          <w:szCs w:val="19"/>
        </w:rPr>
        <w:t>effectiveUnitPrice</w:t>
      </w:r>
      <w:r>
        <w:rPr>
          <w:rFonts w:eastAsia="Calibri" w:cs="Calibri"/>
          <w:b w:val="false"/>
          <w:bCs w:val="false"/>
          <w:i w:val="false"/>
          <w:iCs w:val="false"/>
          <w:color w:val="111827"/>
          <w:sz w:val="21"/>
          <w:szCs w:val="21"/>
        </w:rPr>
        <w:t xml:space="preserve"> (accepted adjustment hoặc agreed fallback), không true-up settlement. Deposit tính một lần từ nominal </w:t>
      </w:r>
      <w:r>
        <w:rPr>
          <w:rFonts w:eastAsia="Consolas" w:cs="Consolas" w:ascii="Consolas" w:hAnsi="Consolas"/>
          <w:b w:val="false"/>
          <w:bCs w:val="false"/>
          <w:i w:val="false"/>
          <w:iCs w:val="false"/>
          <w:color w:val="111827"/>
          <w:sz w:val="19"/>
          <w:szCs w:val="19"/>
        </w:rPr>
        <w:t>totalContractValue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pricing-service</w:t>
      </w:r>
      <w:r>
        <w:rPr>
          <w:rFonts w:eastAsia="Calibri" w:cs="Calibri"/>
          <w:b w:val="false"/>
          <w:bCs w:val="false"/>
          <w:i w:val="false"/>
          <w:iCs w:val="false"/>
          <w:color w:val="111827"/>
          <w:sz w:val="21"/>
          <w:szCs w:val="21"/>
        </w:rPr>
        <w:t xml:space="preserve"> chỉ advisory.</w:t>
      </w:r>
    </w:p>
    <w:p>
      <w:pPr>
        <w:pStyle w:val="Normal"/>
        <w:spacing w:lineRule="auto" w:line="276" w:before="0" w:after="120"/>
        <w:jc w:val="both"/>
        <w:rPr/>
      </w:pPr>
      <w:r>
        <w:rPr>
          <w:rFonts w:eastAsia="Consolas" w:cs="Consolas" w:ascii="Consolas" w:hAnsi="Consolas"/>
          <w:b w:val="false"/>
          <w:bCs w:val="false"/>
          <w:i w:val="false"/>
          <w:iCs w:val="false"/>
          <w:color w:val="111827"/>
          <w:sz w:val="19"/>
          <w:szCs w:val="19"/>
        </w:rPr>
        <w:t>buyerDepositRate</w:t>
      </w:r>
      <w:r>
        <w:rPr>
          <w:rFonts w:eastAsia="Calibri" w:cs="Calibri"/>
          <w:b w:val="false"/>
          <w:bCs w:val="false"/>
          <w:i w:val="false"/>
          <w:iCs w:val="false"/>
          <w:color w:val="111827"/>
          <w:sz w:val="21"/>
          <w:szCs w:val="21"/>
        </w:rPr>
        <w:t xml:space="preserve"> có band </w:t>
      </w:r>
      <w:r>
        <w:rPr>
          <w:rFonts w:eastAsia="Consolas" w:cs="Consolas" w:ascii="Consolas" w:hAnsi="Consolas"/>
          <w:b w:val="false"/>
          <w:bCs w:val="false"/>
          <w:i w:val="false"/>
          <w:iCs w:val="false"/>
          <w:color w:val="111827"/>
          <w:sz w:val="19"/>
          <w:szCs w:val="19"/>
        </w:rPr>
        <w:t>[3%, 10%]</w:t>
      </w:r>
      <w:r>
        <w:rPr>
          <w:rFonts w:eastAsia="Calibri" w:cs="Calibri"/>
          <w:b w:val="false"/>
          <w:bCs w:val="false"/>
          <w:i w:val="false"/>
          <w:iCs w:val="false"/>
          <w:color w:val="111827"/>
          <w:sz w:val="21"/>
          <w:szCs w:val="21"/>
        </w:rPr>
        <w:t xml:space="preserve">, default </w:t>
      </w:r>
      <w:r>
        <w:rPr>
          <w:rFonts w:eastAsia="Consolas" w:cs="Consolas" w:ascii="Consolas" w:hAnsi="Consolas"/>
          <w:b w:val="false"/>
          <w:bCs w:val="false"/>
          <w:i w:val="false"/>
          <w:iCs w:val="false"/>
          <w:color w:val="111827"/>
          <w:sz w:val="19"/>
          <w:szCs w:val="19"/>
        </w:rPr>
        <w:t>5%</w:t>
      </w:r>
      <w:r>
        <w:rPr>
          <w:rFonts w:eastAsia="Calibri" w:cs="Calibri"/>
          <w:b w:val="false"/>
          <w:bCs w:val="false"/>
          <w:i w:val="false"/>
          <w:iCs w:val="false"/>
          <w:color w:val="111827"/>
          <w:sz w:val="21"/>
          <w:szCs w:val="21"/>
        </w:rPr>
        <w:t xml:space="preserve">, lock tại </w:t>
      </w:r>
      <w:r>
        <w:rPr>
          <w:rFonts w:eastAsia="Consolas" w:cs="Consolas" w:ascii="Consolas" w:hAnsi="Consolas"/>
          <w:b w:val="false"/>
          <w:bCs w:val="false"/>
          <w:i w:val="false"/>
          <w:iCs w:val="false"/>
          <w:color w:val="111827"/>
          <w:sz w:val="19"/>
          <w:szCs w:val="19"/>
        </w:rPr>
        <w:t>SIGNED</w:t>
      </w:r>
      <w:r>
        <w:rPr>
          <w:rFonts w:eastAsia="Calibri" w:cs="Calibri"/>
          <w:b w:val="false"/>
          <w:bCs w:val="false"/>
          <w:i w:val="false"/>
          <w:iCs w:val="false"/>
          <w:color w:val="111827"/>
          <w:sz w:val="21"/>
          <w:szCs w:val="21"/>
        </w:rPr>
        <w:t xml:space="preserve"> trên nominal value. Signed legacy rate ngoài band vẫn readable và operable, không migration normalize/backfill. </w:t>
      </w:r>
      <w:r>
        <w:rPr>
          <w:rFonts w:eastAsia="Consolas" w:cs="Consolas" w:ascii="Consolas" w:hAnsi="Consolas"/>
          <w:b w:val="false"/>
          <w:bCs w:val="false"/>
          <w:i w:val="false"/>
          <w:iCs w:val="false"/>
          <w:color w:val="111827"/>
          <w:sz w:val="19"/>
          <w:szCs w:val="19"/>
        </w:rPr>
        <w:t>sellerDepositRate</w:t>
      </w:r>
      <w:r>
        <w:rPr>
          <w:rFonts w:eastAsia="Calibri" w:cs="Calibri"/>
          <w:b w:val="false"/>
          <w:bCs w:val="false"/>
          <w:i w:val="false"/>
          <w:iCs w:val="false"/>
          <w:color w:val="111827"/>
          <w:sz w:val="21"/>
          <w:szCs w:val="21"/>
        </w:rPr>
        <w:t xml:space="preserve"> optional giữ nguyên vocabulary hiện hành.</w:t>
      </w:r>
    </w:p>
    <w:p>
      <w:pPr>
        <w:pStyle w:val="Heading2"/>
        <w:spacing w:before="240" w:after="80"/>
        <w:rPr/>
      </w:pPr>
      <w:bookmarkStart w:id="36" w:name="__RefHeading___Toc3310_AgriContract"/>
      <w:bookmarkEnd w:id="36"/>
      <w:r>
        <w:rPr>
          <w:rFonts w:eastAsia="Calibri" w:cs="Calibri" w:ascii="Calibri" w:hAnsi="Calibri"/>
          <w:b/>
          <w:bCs/>
          <w:color w:val="1F2A37"/>
          <w:sz w:val="25"/>
          <w:szCs w:val="25"/>
        </w:rPr>
        <w:t>Snapshots, delivery, inspection và metadata</w:t>
      </w:r>
    </w:p>
    <w:p>
      <w:pPr>
        <w:pStyle w:val="Normal"/>
        <w:spacing w:lineRule="auto" w:line="276" w:before="0" w:after="120"/>
        <w:jc w:val="both"/>
        <w:rPr/>
      </w:pPr>
      <w:r>
        <w:rPr>
          <w:rFonts w:eastAsia="Calibri" w:cs="Calibri"/>
          <w:b w:val="false"/>
          <w:bCs w:val="false"/>
          <w:i w:val="false"/>
          <w:iCs w:val="false"/>
          <w:color w:val="111827"/>
          <w:sz w:val="21"/>
          <w:szCs w:val="21"/>
        </w:rPr>
        <w:t xml:space="preserve">Contract CREATE server-derives and snapshots </w:t>
      </w:r>
      <w:r>
        <w:rPr>
          <w:rFonts w:eastAsia="Consolas" w:cs="Consolas" w:ascii="Consolas" w:hAnsi="Consolas"/>
          <w:b w:val="false"/>
          <w:bCs w:val="false"/>
          <w:i w:val="false"/>
          <w:iCs w:val="false"/>
          <w:color w:val="111827"/>
          <w:sz w:val="19"/>
          <w:szCs w:val="19"/>
        </w:rPr>
        <w:t>goodsTerms</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deliveryTerms</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inspectionTerms</w:t>
      </w:r>
      <w:r>
        <w:rPr>
          <w:rFonts w:eastAsia="Calibri" w:cs="Calibri"/>
          <w:b w:val="false"/>
          <w:bCs w:val="false"/>
          <w:i w:val="false"/>
          <w:iCs w:val="false"/>
          <w:color w:val="111827"/>
          <w:sz w:val="21"/>
          <w:szCs w:val="21"/>
        </w:rPr>
        <w:t xml:space="preserve"> from Listing/Product/Category/Plot. Later source edits/deletes do not alter snapshot/hash; changing goods requires replacement. Các thao tác ghi mới của đồ án require </w:t>
      </w:r>
      <w:r>
        <w:rPr>
          <w:rFonts w:eastAsia="Consolas" w:cs="Consolas" w:ascii="Consolas" w:hAnsi="Consolas"/>
          <w:b w:val="false"/>
          <w:bCs w:val="false"/>
          <w:i w:val="false"/>
          <w:iCs w:val="false"/>
          <w:color w:val="111827"/>
          <w:sz w:val="19"/>
          <w:szCs w:val="19"/>
        </w:rPr>
        <w:t>commodity = COFFEE</w:t>
      </w:r>
      <w:r>
        <w:rPr>
          <w:rFonts w:eastAsia="Calibri" w:cs="Calibri"/>
          <w:b w:val="false"/>
          <w:bCs w:val="false"/>
          <w:i w:val="false"/>
          <w:iCs w:val="false"/>
          <w:color w:val="111827"/>
          <w:sz w:val="21"/>
          <w:szCs w:val="21"/>
        </w:rPr>
        <w:t xml:space="preserve"> and a non-empty </w:t>
      </w:r>
      <w:r>
        <w:rPr>
          <w:rFonts w:eastAsia="Consolas" w:cs="Consolas" w:ascii="Consolas" w:hAnsi="Consolas"/>
          <w:b w:val="false"/>
          <w:bCs w:val="false"/>
          <w:i w:val="false"/>
          <w:iCs w:val="false"/>
          <w:color w:val="111827"/>
          <w:sz w:val="19"/>
          <w:szCs w:val="19"/>
        </w:rPr>
        <w:t>originSnapshot.plotRefs[]</w:t>
      </w:r>
      <w:r>
        <w:rPr>
          <w:rFonts w:eastAsia="Calibri" w:cs="Calibri"/>
          <w:b w:val="false"/>
          <w:bCs w:val="false"/>
          <w:i w:val="false"/>
          <w:iCs w:val="false"/>
          <w:color w:val="111827"/>
          <w:sz w:val="21"/>
          <w:szCs w:val="21"/>
        </w:rPr>
        <w:t xml:space="preserve">; other commodity values are rejected. Only delivery allocation rules are signed; warehouse, carrier, address, tracking and concrete delivery instances remain runtime data. </w:t>
      </w:r>
      <w:r>
        <w:rPr>
          <w:rFonts w:eastAsia="Consolas" w:cs="Consolas" w:ascii="Consolas" w:hAnsi="Consolas"/>
          <w:b w:val="false"/>
          <w:bCs w:val="false"/>
          <w:i w:val="false"/>
          <w:iCs w:val="false"/>
          <w:color w:val="111827"/>
          <w:sz w:val="19"/>
          <w:szCs w:val="19"/>
        </w:rPr>
        <w:t>cropYear</w:t>
      </w:r>
      <w:r>
        <w:rPr>
          <w:rFonts w:eastAsia="Calibri" w:cs="Calibri"/>
          <w:b w:val="false"/>
          <w:bCs w:val="false"/>
          <w:i w:val="false"/>
          <w:iCs w:val="false"/>
          <w:color w:val="111827"/>
          <w:sz w:val="21"/>
          <w:szCs w:val="21"/>
        </w:rPr>
        <w:t xml:space="preserve"> and </w:t>
      </w:r>
      <w:r>
        <w:rPr>
          <w:rFonts w:eastAsia="Consolas" w:cs="Consolas" w:ascii="Consolas" w:hAnsi="Consolas"/>
          <w:b w:val="false"/>
          <w:bCs w:val="false"/>
          <w:i w:val="false"/>
          <w:iCs w:val="false"/>
          <w:color w:val="111827"/>
          <w:sz w:val="19"/>
          <w:szCs w:val="19"/>
        </w:rPr>
        <w:t>harvestSeason</w:t>
      </w:r>
      <w:r>
        <w:rPr>
          <w:rFonts w:eastAsia="Calibri" w:cs="Calibri"/>
          <w:b w:val="false"/>
          <w:bCs w:val="false"/>
          <w:i w:val="false"/>
          <w:iCs w:val="false"/>
          <w:color w:val="111827"/>
          <w:sz w:val="21"/>
          <w:szCs w:val="21"/>
        </w:rPr>
        <w:t xml:space="preserve"> are required-but-nullable server-derived signed snapshot fields; </w:t>
      </w:r>
      <w:r>
        <w:rPr>
          <w:rFonts w:eastAsia="Consolas" w:cs="Consolas" w:ascii="Consolas" w:hAnsi="Consolas"/>
          <w:b w:val="false"/>
          <w:bCs w:val="false"/>
          <w:i w:val="false"/>
          <w:iCs w:val="false"/>
          <w:color w:val="111827"/>
          <w:sz w:val="19"/>
          <w:szCs w:val="19"/>
        </w:rPr>
        <w:t>certifications</w:t>
      </w:r>
      <w:r>
        <w:rPr>
          <w:rFonts w:eastAsia="Calibri" w:cs="Calibri"/>
          <w:b w:val="false"/>
          <w:bCs w:val="false"/>
          <w:i w:val="false"/>
          <w:iCs w:val="false"/>
          <w:color w:val="111827"/>
          <w:sz w:val="21"/>
          <w:szCs w:val="21"/>
        </w:rPr>
        <w:t xml:space="preserve"> remains seller-declared listing metadata, not verified compliance.</w:t>
      </w:r>
    </w:p>
    <w:p>
      <w:pPr>
        <w:pStyle w:val="Normal"/>
        <w:spacing w:lineRule="auto" w:line="276" w:before="0" w:after="120"/>
        <w:jc w:val="both"/>
        <w:rPr/>
      </w:pPr>
      <w:r>
        <w:rPr>
          <w:rFonts w:eastAsia="Calibri" w:cs="Calibri"/>
          <w:b w:val="false"/>
          <w:bCs w:val="false"/>
          <w:i w:val="false"/>
          <w:iCs w:val="false"/>
          <w:color w:val="111827"/>
          <w:sz w:val="21"/>
          <w:szCs w:val="21"/>
        </w:rPr>
        <w:t xml:space="preserve">Inspection terms include level/cost and require </w:t>
      </w:r>
      <w:r>
        <w:rPr>
          <w:rFonts w:eastAsia="Consolas" w:cs="Consolas" w:ascii="Consolas" w:hAnsi="Consolas"/>
          <w:b w:val="false"/>
          <w:bCs w:val="false"/>
          <w:i w:val="false"/>
          <w:iCs w:val="false"/>
          <w:color w:val="111827"/>
          <w:sz w:val="19"/>
          <w:szCs w:val="19"/>
        </w:rPr>
        <w:t>inspectionCostResponsibility = LOSER_PAYS</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MANDATORY_BEFORE_SETTLEMENT</w:t>
      </w:r>
      <w:r>
        <w:rPr>
          <w:rFonts w:eastAsia="Calibri" w:cs="Calibri"/>
          <w:b w:val="false"/>
          <w:bCs w:val="false"/>
          <w:i w:val="false"/>
          <w:iCs w:val="false"/>
          <w:color w:val="111827"/>
          <w:sz w:val="21"/>
          <w:szCs w:val="21"/>
        </w:rPr>
        <w:t xml:space="preserve"> is a settlement guard, not a milestone state. Read-only nullable listing metadata are </w:t>
      </w:r>
      <w:r>
        <w:rPr>
          <w:rFonts w:eastAsia="Consolas" w:cs="Consolas" w:ascii="Consolas" w:hAnsi="Consolas"/>
          <w:b w:val="false"/>
          <w:bCs w:val="false"/>
          <w:i w:val="false"/>
          <w:iCs w:val="false"/>
          <w:color w:val="111827"/>
          <w:sz w:val="19"/>
          <w:szCs w:val="19"/>
        </w:rPr>
        <w:t>cropYear</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harvestSeason</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certifications</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packagingDeclaration</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warehouseLocation</w:t>
      </w:r>
      <w:r>
        <w:rPr>
          <w:rFonts w:eastAsia="Calibri" w:cs="Calibri"/>
          <w:b w:val="false"/>
          <w:bCs w:val="false"/>
          <w:i w:val="false"/>
          <w:iCs w:val="false"/>
          <w:color w:val="111827"/>
          <w:sz w:val="21"/>
          <w:szCs w:val="21"/>
        </w:rPr>
        <w:t xml:space="preserve">, and </w:t>
      </w:r>
      <w:r>
        <w:rPr>
          <w:rFonts w:eastAsia="Consolas" w:cs="Consolas" w:ascii="Consolas" w:hAnsi="Consolas"/>
          <w:b w:val="false"/>
          <w:bCs w:val="false"/>
          <w:i w:val="false"/>
          <w:iCs w:val="false"/>
          <w:color w:val="111827"/>
          <w:sz w:val="19"/>
          <w:szCs w:val="19"/>
        </w:rPr>
        <w:t>estimatedAvailabilityDate</w:t>
      </w:r>
      <w:r>
        <w:rPr>
          <w:rFonts w:eastAsia="Calibri" w:cs="Calibri"/>
          <w:b w:val="false"/>
          <w:bCs w:val="false"/>
          <w:i w:val="false"/>
          <w:iCs w:val="false"/>
          <w:color w:val="111827"/>
          <w:sz w:val="21"/>
          <w:szCs w:val="21"/>
        </w:rPr>
        <w:t>; certifications are seller-declared free text, and warehouse location is distinct from delivery point.</w:t>
      </w:r>
    </w:p>
    <w:p>
      <w:pPr>
        <w:pStyle w:val="Heading2"/>
        <w:spacing w:before="240" w:after="80"/>
        <w:rPr/>
      </w:pPr>
      <w:bookmarkStart w:id="37" w:name="__RefHeading___Toc3312_AgriContract"/>
      <w:bookmarkEnd w:id="37"/>
      <w:r>
        <w:rPr>
          <w:rFonts w:eastAsia="Calibri" w:cs="Calibri" w:ascii="Calibri" w:hAnsi="Calibri"/>
          <w:b/>
          <w:bCs/>
          <w:color w:val="1F2A37"/>
          <w:sz w:val="25"/>
          <w:szCs w:val="25"/>
        </w:rPr>
        <w:t>Quality and disposition</w:t>
      </w:r>
    </w:p>
    <w:p>
      <w:pPr>
        <w:pStyle w:val="Normal"/>
        <w:spacing w:lineRule="auto" w:line="276" w:before="0" w:after="120"/>
        <w:jc w:val="both"/>
        <w:rPr/>
      </w:pPr>
      <w:r>
        <w:rPr>
          <w:rFonts w:eastAsia="Calibri" w:cs="Calibri"/>
          <w:b w:val="false"/>
          <w:bCs w:val="false"/>
          <w:i w:val="false"/>
          <w:iCs w:val="false"/>
          <w:color w:val="111827"/>
          <w:sz w:val="21"/>
          <w:szCs w:val="21"/>
        </w:rPr>
        <w:t xml:space="preserve">Quality has declared, committed and actual layers. A clean confirmation does not measure quality unless a quality flag exists or inspection is mandatory. Each metric carries </w:t>
      </w:r>
      <w:r>
        <w:rPr>
          <w:rFonts w:eastAsia="Consolas" w:cs="Consolas" w:ascii="Consolas" w:hAnsi="Consolas"/>
          <w:b w:val="false"/>
          <w:bCs w:val="false"/>
          <w:i w:val="false"/>
          <w:iCs w:val="false"/>
          <w:color w:val="111827"/>
          <w:sz w:val="19"/>
          <w:szCs w:val="19"/>
        </w:rPr>
        <w:t>deviationPolicy {direction, tolerance, penalty, reject, discountRate}</w:t>
      </w:r>
      <w:r>
        <w:rPr>
          <w:rFonts w:eastAsia="Calibri" w:cs="Calibri"/>
          <w:b w:val="false"/>
          <w:bCs w:val="false"/>
          <w:i w:val="false"/>
          <w:iCs w:val="false"/>
          <w:color w:val="111827"/>
          <w:sz w:val="21"/>
          <w:szCs w:val="21"/>
        </w:rPr>
        <w:t xml:space="preserve"> with disjoint tolerance/penalty/reject zones and inclusive boundaries on the stricter side. Inspection reports contain raw actual metrics and </w:t>
      </w:r>
      <w:r>
        <w:rPr>
          <w:rFonts w:eastAsia="Consolas" w:cs="Consolas" w:ascii="Consolas" w:hAnsi="Consolas"/>
          <w:b w:val="false"/>
          <w:bCs w:val="false"/>
          <w:i w:val="false"/>
          <w:iCs w:val="false"/>
          <w:color w:val="111827"/>
          <w:sz w:val="19"/>
          <w:szCs w:val="19"/>
        </w:rPr>
        <w:t>resultHash</w:t>
      </w:r>
      <w:r>
        <w:rPr>
          <w:rFonts w:eastAsia="Calibri" w:cs="Calibri"/>
          <w:b w:val="false"/>
          <w:bCs w:val="false"/>
          <w:i w:val="false"/>
          <w:iCs w:val="false"/>
          <w:color w:val="111827"/>
          <w:sz w:val="21"/>
          <w:szCs w:val="21"/>
        </w:rPr>
        <w:t>; contract-service, not inspector, computes disposition and money.</w:t>
      </w:r>
    </w:p>
    <w:p>
      <w:pPr>
        <w:pStyle w:val="Normal"/>
        <w:spacing w:lineRule="auto" w:line="276" w:before="0" w:after="120"/>
        <w:jc w:val="both"/>
        <w:rPr/>
      </w:pPr>
      <w:r>
        <w:rPr>
          <w:rFonts w:eastAsia="Calibri" w:cs="Calibri"/>
          <w:b w:val="false"/>
          <w:bCs w:val="false"/>
          <w:i w:val="false"/>
          <w:iCs w:val="false"/>
          <w:color w:val="111827"/>
          <w:sz w:val="21"/>
          <w:szCs w:val="21"/>
        </w:rPr>
        <w:t xml:space="preserve">The four dispositions are explicit: </w:t>
      </w:r>
      <w:r>
        <w:rPr>
          <w:rFonts w:eastAsia="Consolas" w:cs="Consolas" w:ascii="Consolas" w:hAnsi="Consolas"/>
          <w:b w:val="false"/>
          <w:bCs w:val="false"/>
          <w:i w:val="false"/>
          <w:iCs w:val="false"/>
          <w:color w:val="111827"/>
          <w:sz w:val="19"/>
          <w:szCs w:val="19"/>
        </w:rPr>
        <w:t>CONFORMING</w:t>
      </w:r>
      <w:r>
        <w:rPr>
          <w:rFonts w:eastAsia="Calibri" w:cs="Calibri"/>
          <w:b w:val="false"/>
          <w:bCs w:val="false"/>
          <w:i w:val="false"/>
          <w:iCs w:val="false"/>
          <w:color w:val="111827"/>
          <w:sz w:val="21"/>
          <w:szCs w:val="21"/>
        </w:rPr>
        <w:t xml:space="preserve"> rejects an allegation after a flag, settles normally, and Buyer bears inspection cost under </w:t>
      </w:r>
      <w:r>
        <w:rPr>
          <w:rFonts w:eastAsia="Consolas" w:cs="Consolas" w:ascii="Consolas" w:hAnsi="Consolas"/>
          <w:b w:val="false"/>
          <w:bCs w:val="false"/>
          <w:i w:val="false"/>
          <w:iCs w:val="false"/>
          <w:color w:val="111827"/>
          <w:sz w:val="19"/>
          <w:szCs w:val="19"/>
        </w:rPr>
        <w:t>LOSER_PAYS</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PARTIALLY_CONFORMING</w:t>
      </w:r>
      <w:r>
        <w:rPr>
          <w:rFonts w:eastAsia="Calibri" w:cs="Calibri"/>
          <w:b w:val="false"/>
          <w:bCs w:val="false"/>
          <w:i w:val="false"/>
          <w:iCs w:val="false"/>
          <w:color w:val="111827"/>
          <w:sz w:val="21"/>
          <w:szCs w:val="21"/>
        </w:rPr>
        <w:t xml:space="preserve"> is payment adjustment only, not a breach, with no penalty, breach attribution or reputation effect, selects only the largest applicable </w:t>
      </w:r>
      <w:r>
        <w:rPr>
          <w:rFonts w:eastAsia="Consolas" w:cs="Consolas" w:ascii="Consolas" w:hAnsi="Consolas"/>
          <w:b w:val="false"/>
          <w:bCs w:val="false"/>
          <w:i w:val="false"/>
          <w:iCs w:val="false"/>
          <w:color w:val="111827"/>
          <w:sz w:val="19"/>
          <w:szCs w:val="19"/>
        </w:rPr>
        <w:t>discountRate</w:t>
      </w:r>
      <w:r>
        <w:rPr>
          <w:rFonts w:eastAsia="Calibri" w:cs="Calibri"/>
          <w:b w:val="false"/>
          <w:bCs w:val="false"/>
          <w:i w:val="false"/>
          <w:iCs w:val="false"/>
          <w:color w:val="111827"/>
          <w:sz w:val="21"/>
          <w:szCs w:val="21"/>
        </w:rPr>
        <w:t xml:space="preserve">, reduces </w:t>
      </w:r>
      <w:r>
        <w:rPr>
          <w:rFonts w:eastAsia="Consolas" w:cs="Consolas" w:ascii="Consolas" w:hAnsi="Consolas"/>
          <w:b w:val="false"/>
          <w:bCs w:val="false"/>
          <w:i w:val="false"/>
          <w:iCs w:val="false"/>
          <w:color w:val="111827"/>
          <w:sz w:val="19"/>
          <w:szCs w:val="19"/>
        </w:rPr>
        <w:t>RELEASE_TO_SELLER</w:t>
      </w:r>
      <w:r>
        <w:rPr>
          <w:rFonts w:eastAsia="Calibri" w:cs="Calibri"/>
          <w:b w:val="false"/>
          <w:bCs w:val="false"/>
          <w:i w:val="false"/>
          <w:iCs w:val="false"/>
          <w:color w:val="111827"/>
          <w:sz w:val="21"/>
          <w:szCs w:val="21"/>
        </w:rPr>
        <w:t xml:space="preserve">, and transfers the difference to Buyer; </w:t>
      </w:r>
      <w:r>
        <w:rPr>
          <w:rFonts w:eastAsia="Consolas" w:cs="Consolas" w:ascii="Consolas" w:hAnsi="Consolas"/>
          <w:b w:val="false"/>
          <w:bCs w:val="false"/>
          <w:i w:val="false"/>
          <w:iCs w:val="false"/>
          <w:color w:val="111827"/>
          <w:sz w:val="19"/>
          <w:szCs w:val="19"/>
        </w:rPr>
        <w:t>NON_CONFORMING</w:t>
      </w:r>
      <w:r>
        <w:rPr>
          <w:rFonts w:eastAsia="Calibri" w:cs="Calibri"/>
          <w:b w:val="false"/>
          <w:bCs w:val="false"/>
          <w:i w:val="false"/>
          <w:iCs w:val="false"/>
          <w:color w:val="111827"/>
          <w:sz w:val="21"/>
          <w:szCs w:val="21"/>
        </w:rPr>
        <w:t xml:space="preserve"> is Seller breach with standard remedy, penalty base equal to affected milestone value, fails only that milestone, and does not auto-terminate the contract; </w:t>
      </w:r>
      <w:r>
        <w:rPr>
          <w:rFonts w:eastAsia="Consolas" w:cs="Consolas" w:ascii="Consolas" w:hAnsi="Consolas"/>
          <w:b w:val="false"/>
          <w:bCs w:val="false"/>
          <w:i w:val="false"/>
          <w:iCs w:val="false"/>
          <w:color w:val="111827"/>
          <w:sz w:val="19"/>
          <w:szCs w:val="19"/>
        </w:rPr>
        <w:t>INCONCLUSIVE</w:t>
      </w:r>
      <w:r>
        <w:rPr>
          <w:rFonts w:eastAsia="Calibri" w:cs="Calibri"/>
          <w:b w:val="false"/>
          <w:bCs w:val="false"/>
          <w:i w:val="false"/>
          <w:iCs w:val="false"/>
          <w:color w:val="111827"/>
          <w:sz w:val="21"/>
          <w:szCs w:val="21"/>
        </w:rPr>
        <w:t xml:space="preserve"> routes to reinspection/Level 2 without inventing money or breach consequences. Các schema chất lượng của đồ án accept only coffee; exact-match rejection applies to coffee </w:t>
      </w:r>
      <w:r>
        <w:rPr>
          <w:rFonts w:eastAsia="Consolas" w:cs="Consolas" w:ascii="Consolas" w:hAnsi="Consolas"/>
          <w:b w:val="false"/>
          <w:bCs w:val="false"/>
          <w:i w:val="false"/>
          <w:iCs w:val="false"/>
          <w:color w:val="111827"/>
          <w:sz w:val="19"/>
          <w:szCs w:val="19"/>
        </w:rPr>
        <w:t>type</w:t>
      </w:r>
      <w:r>
        <w:rPr>
          <w:rFonts w:eastAsia="Calibri" w:cs="Calibri"/>
          <w:b w:val="false"/>
          <w:bCs w:val="false"/>
          <w:i w:val="false"/>
          <w:iCs w:val="false"/>
          <w:color w:val="111827"/>
          <w:sz w:val="21"/>
          <w:szCs w:val="21"/>
        </w:rPr>
        <w:t xml:space="preserve">. Complete quality resolution emits exactly one </w:t>
      </w:r>
      <w:r>
        <w:rPr>
          <w:rFonts w:eastAsia="Consolas" w:cs="Consolas" w:ascii="Consolas" w:hAnsi="Consolas"/>
          <w:b w:val="false"/>
          <w:bCs w:val="false"/>
          <w:i w:val="false"/>
          <w:iCs w:val="false"/>
          <w:color w:val="111827"/>
          <w:sz w:val="19"/>
          <w:szCs w:val="19"/>
        </w:rPr>
        <w:t>remedy.finalized</w:t>
      </w:r>
      <w:r>
        <w:rPr>
          <w:rFonts w:eastAsia="Calibri" w:cs="Calibri"/>
          <w:b w:val="false"/>
          <w:bCs w:val="false"/>
          <w:i w:val="false"/>
          <w:iCs w:val="false"/>
          <w:color w:val="111827"/>
          <w:sz w:val="21"/>
          <w:szCs w:val="21"/>
        </w:rPr>
        <w:t>.</w:t>
      </w:r>
    </w:p>
    <w:p>
      <w:pPr>
        <w:pStyle w:val="Heading2"/>
        <w:spacing w:before="240" w:after="80"/>
        <w:rPr/>
      </w:pPr>
      <w:bookmarkStart w:id="38" w:name="__RefHeading___Toc3314_AgriContract"/>
      <w:bookmarkEnd w:id="38"/>
      <w:r>
        <w:rPr>
          <w:rFonts w:eastAsia="Calibri" w:cs="Calibri" w:ascii="Calibri" w:hAnsi="Calibri"/>
          <w:b/>
          <w:bCs/>
          <w:color w:val="1F2A37"/>
          <w:sz w:val="25"/>
          <w:szCs w:val="25"/>
        </w:rPr>
        <w:t>Conventions and guardrails</w:t>
      </w:r>
    </w:p>
    <w:p>
      <w:pPr>
        <w:pStyle w:val="Normal"/>
        <w:spacing w:lineRule="auto" w:line="276" w:before="0" w:after="120"/>
        <w:jc w:val="both"/>
        <w:rPr/>
      </w:pPr>
      <w:r>
        <w:rPr>
          <w:rFonts w:eastAsia="Calibri" w:cs="Calibri"/>
          <w:b w:val="false"/>
          <w:bCs w:val="false"/>
          <w:i w:val="false"/>
          <w:iCs w:val="false"/>
          <w:color w:val="111827"/>
          <w:sz w:val="21"/>
          <w:szCs w:val="21"/>
        </w:rPr>
        <w:t xml:space="preserve">Canonical mass unit is </w:t>
      </w:r>
      <w:r>
        <w:rPr>
          <w:rFonts w:eastAsia="Consolas" w:cs="Consolas" w:ascii="Consolas" w:hAnsi="Consolas"/>
          <w:b w:val="false"/>
          <w:bCs w:val="false"/>
          <w:i w:val="false"/>
          <w:iCs w:val="false"/>
          <w:color w:val="111827"/>
          <w:sz w:val="19"/>
          <w:szCs w:val="19"/>
        </w:rPr>
        <w:t>kg</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unitOfMeasure</w:t>
      </w:r>
      <w:r>
        <w:rPr>
          <w:rFonts w:eastAsia="Calibri" w:cs="Calibri"/>
          <w:b w:val="false"/>
          <w:bCs w:val="false"/>
          <w:i w:val="false"/>
          <w:iCs w:val="false"/>
          <w:color w:val="111827"/>
          <w:sz w:val="21"/>
          <w:szCs w:val="21"/>
        </w:rPr>
        <w:t xml:space="preserve"> is constant </w:t>
      </w:r>
      <w:r>
        <w:rPr>
          <w:rFonts w:eastAsia="Consolas" w:cs="Consolas" w:ascii="Consolas" w:hAnsi="Consolas"/>
          <w:b w:val="false"/>
          <w:bCs w:val="false"/>
          <w:i w:val="false"/>
          <w:iCs w:val="false"/>
          <w:color w:val="111827"/>
          <w:sz w:val="19"/>
          <w:szCs w:val="19"/>
        </w:rPr>
        <w:t>KG</w:t>
      </w:r>
      <w:r>
        <w:rPr>
          <w:rFonts w:eastAsia="Calibri" w:cs="Calibri"/>
          <w:b w:val="false"/>
          <w:bCs w:val="false"/>
          <w:i w:val="false"/>
          <w:iCs w:val="false"/>
          <w:color w:val="111827"/>
          <w:sz w:val="21"/>
          <w:szCs w:val="21"/>
        </w:rPr>
        <w:t xml:space="preserve">. Store timestamps in UTC; display and calculate deadlines in </w:t>
      </w:r>
      <w:r>
        <w:rPr>
          <w:rFonts w:eastAsia="Consolas" w:cs="Consolas" w:ascii="Consolas" w:hAnsi="Consolas"/>
          <w:b w:val="false"/>
          <w:bCs w:val="false"/>
          <w:i w:val="false"/>
          <w:iCs w:val="false"/>
          <w:color w:val="111827"/>
          <w:sz w:val="19"/>
          <w:szCs w:val="19"/>
        </w:rPr>
        <w:t>Asia/Ho_Chi_Minh</w:t>
      </w:r>
      <w:r>
        <w:rPr>
          <w:rFonts w:eastAsia="Calibri" w:cs="Calibri"/>
          <w:b w:val="false"/>
          <w:bCs w:val="false"/>
          <w:i w:val="false"/>
          <w:iCs w:val="false"/>
          <w:color w:val="111827"/>
          <w:sz w:val="21"/>
          <w:szCs w:val="21"/>
        </w:rPr>
        <w:t xml:space="preserve">; date deadlines end at ICT day end; working days are Monday-Friday excluding Vietnamese holidays. Money uses </w:t>
      </w:r>
      <w:r>
        <w:rPr>
          <w:rFonts w:eastAsia="Consolas" w:cs="Consolas" w:ascii="Consolas" w:hAnsi="Consolas"/>
          <w:b w:val="false"/>
          <w:bCs w:val="false"/>
          <w:i w:val="false"/>
          <w:iCs w:val="false"/>
          <w:color w:val="111827"/>
          <w:sz w:val="19"/>
          <w:szCs w:val="19"/>
        </w:rPr>
        <w:t>DECIMAL(18,2)</w:t>
      </w:r>
      <w:r>
        <w:rPr>
          <w:rFonts w:eastAsia="Calibri" w:cs="Calibri"/>
          <w:b w:val="false"/>
          <w:bCs w:val="false"/>
          <w:i w:val="false"/>
          <w:iCs w:val="false"/>
          <w:color w:val="111827"/>
          <w:sz w:val="21"/>
          <w:szCs w:val="21"/>
        </w:rPr>
        <w:t xml:space="preserve"> with </w:t>
      </w:r>
      <w:r>
        <w:rPr>
          <w:rFonts w:eastAsia="Consolas" w:cs="Consolas" w:ascii="Consolas" w:hAnsi="Consolas"/>
          <w:b w:val="false"/>
          <w:bCs w:val="false"/>
          <w:i w:val="false"/>
          <w:iCs w:val="false"/>
          <w:color w:val="111827"/>
          <w:sz w:val="19"/>
          <w:szCs w:val="19"/>
        </w:rPr>
        <w:t>HALF_UP</w:t>
      </w:r>
      <w:r>
        <w:rPr>
          <w:rFonts w:eastAsia="Calibri" w:cs="Calibri"/>
          <w:b w:val="false"/>
          <w:bCs w:val="false"/>
          <w:i w:val="false"/>
          <w:iCs w:val="false"/>
          <w:color w:val="111827"/>
          <w:sz w:val="21"/>
          <w:szCs w:val="21"/>
        </w:rPr>
        <w:t xml:space="preserve">; only contract-service rounds, and bank-service never re-multiplies or re-rounds. Money strings are decimal strings with exactly two fractional digits, schema </w:t>
      </w:r>
      <w:r>
        <w:rPr>
          <w:rFonts w:eastAsia="Consolas" w:cs="Consolas" w:ascii="Consolas" w:hAnsi="Consolas"/>
          <w:b w:val="false"/>
          <w:bCs w:val="false"/>
          <w:i w:val="false"/>
          <w:iCs w:val="false"/>
          <w:color w:val="111827"/>
          <w:sz w:val="19"/>
          <w:szCs w:val="19"/>
        </w:rPr>
        <w:t>pattern</w:t>
      </w:r>
      <w:r>
        <w:rPr>
          <w:rFonts w:eastAsia="Calibri" w:cs="Calibri"/>
          <w:b w:val="false"/>
          <w:bCs w:val="false"/>
          <w:i w:val="false"/>
          <w:iCs w:val="false"/>
          <w:color w:val="111827"/>
          <w:sz w:val="21"/>
          <w:szCs w:val="21"/>
        </w:rPr>
        <w:t xml:space="preserve"> enforced, and field-specific </w:t>
      </w:r>
      <w:r>
        <w:rPr>
          <w:rFonts w:eastAsia="Consolas" w:cs="Consolas" w:ascii="Consolas" w:hAnsi="Consolas"/>
          <w:b w:val="false"/>
          <w:bCs w:val="false"/>
          <w:i w:val="false"/>
          <w:iCs w:val="false"/>
          <w:color w:val="111827"/>
          <w:sz w:val="19"/>
          <w:szCs w:val="19"/>
        </w:rPr>
        <w:t>maxLength</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11</w:t>
      </w:r>
      <w:r>
        <w:rPr>
          <w:rFonts w:eastAsia="Calibri" w:cs="Calibri"/>
          <w:b w:val="false"/>
          <w:bCs w:val="false"/>
          <w:i w:val="false"/>
          <w:iCs w:val="false"/>
          <w:color w:val="111827"/>
          <w:sz w:val="21"/>
          <w:szCs w:val="21"/>
        </w:rPr>
        <w:t xml:space="preserve"> or </w:t>
      </w:r>
      <w:r>
        <w:rPr>
          <w:rFonts w:eastAsia="Consolas" w:cs="Consolas" w:ascii="Consolas" w:hAnsi="Consolas"/>
          <w:b w:val="false"/>
          <w:bCs w:val="false"/>
          <w:i w:val="false"/>
          <w:iCs w:val="false"/>
          <w:color w:val="111827"/>
          <w:sz w:val="19"/>
          <w:szCs w:val="19"/>
        </w:rPr>
        <w:t>19</w:t>
      </w:r>
      <w:r>
        <w:rPr>
          <w:rFonts w:eastAsia="Calibri" w:cs="Calibri"/>
          <w:b w:val="false"/>
          <w:bCs w:val="false"/>
          <w:i w:val="false"/>
          <w:iCs w:val="false"/>
          <w:color w:val="111827"/>
          <w:sz w:val="21"/>
          <w:szCs w:val="21"/>
        </w:rPr>
        <w:t xml:space="preserve"> (not numeric </w:t>
      </w:r>
      <w:r>
        <w:rPr>
          <w:rFonts w:eastAsia="Consolas" w:cs="Consolas" w:ascii="Consolas" w:hAnsi="Consolas"/>
          <w:b w:val="false"/>
          <w:bCs w:val="false"/>
          <w:i w:val="false"/>
          <w:iCs w:val="false"/>
          <w:color w:val="111827"/>
          <w:sz w:val="19"/>
          <w:szCs w:val="19"/>
        </w:rPr>
        <w:t>maximum</w:t>
      </w:r>
      <w:r>
        <w:rPr>
          <w:rFonts w:eastAsia="Calibri" w:cs="Calibri"/>
          <w:b w:val="false"/>
          <w:bCs w:val="false"/>
          <w:i w:val="false"/>
          <w:iCs w:val="false"/>
          <w:color w:val="111827"/>
          <w:sz w:val="21"/>
          <w:szCs w:val="21"/>
        </w:rPr>
        <w:t xml:space="preserve">). Guardrails: max 100 milestones per contract, max 1,000,000 kg per milestone, delivered quantity </w:t>
      </w:r>
      <w:r>
        <w:rPr>
          <w:rFonts w:eastAsia="Consolas" w:cs="Consolas" w:ascii="Consolas" w:hAnsi="Consolas"/>
          <w:b w:val="false"/>
          <w:bCs w:val="false"/>
          <w:i w:val="false"/>
          <w:iCs w:val="false"/>
          <w:color w:val="111827"/>
          <w:sz w:val="19"/>
          <w:szCs w:val="19"/>
        </w:rPr>
        <w:t>exclusiveMinimum: 0</w:t>
      </w:r>
      <w:r>
        <w:rPr>
          <w:rFonts w:eastAsia="Calibri" w:cs="Calibri"/>
          <w:b w:val="false"/>
          <w:bCs w:val="false"/>
          <w:i w:val="false"/>
          <w:iCs w:val="false"/>
          <w:color w:val="111827"/>
          <w:sz w:val="21"/>
          <w:szCs w:val="21"/>
        </w:rPr>
        <w:t xml:space="preserve">, measured/accepted quantities </w:t>
      </w:r>
      <w:r>
        <w:rPr>
          <w:rFonts w:eastAsia="Consolas" w:cs="Consolas" w:ascii="Consolas" w:hAnsi="Consolas"/>
          <w:b w:val="false"/>
          <w:bCs w:val="false"/>
          <w:i w:val="false"/>
          <w:iCs w:val="false"/>
          <w:color w:val="111827"/>
          <w:sz w:val="19"/>
          <w:szCs w:val="19"/>
        </w:rPr>
        <w:t>minimum: 0</w:t>
      </w:r>
      <w:r>
        <w:rPr>
          <w:rFonts w:eastAsia="Calibri" w:cs="Calibri"/>
          <w:b w:val="false"/>
          <w:bCs w:val="false"/>
          <w:i w:val="false"/>
          <w:iCs w:val="false"/>
          <w:color w:val="111827"/>
          <w:sz w:val="21"/>
          <w:szCs w:val="21"/>
        </w:rPr>
        <w:t xml:space="preserve">, so </w:t>
      </w:r>
      <w:r>
        <w:rPr>
          <w:rFonts w:eastAsia="Consolas" w:cs="Consolas" w:ascii="Consolas" w:hAnsi="Consolas"/>
          <w:b w:val="false"/>
          <w:bCs w:val="false"/>
          <w:i w:val="false"/>
          <w:iCs w:val="false"/>
          <w:color w:val="111827"/>
          <w:sz w:val="19"/>
          <w:szCs w:val="19"/>
        </w:rPr>
        <w:t>accepted = 0</w:t>
      </w:r>
      <w:r>
        <w:rPr>
          <w:rFonts w:eastAsia="Calibri" w:cs="Calibri"/>
          <w:b w:val="false"/>
          <w:bCs w:val="false"/>
          <w:i w:val="false"/>
          <w:iCs w:val="false"/>
          <w:color w:val="111827"/>
          <w:sz w:val="21"/>
          <w:szCs w:val="21"/>
        </w:rPr>
        <w:t xml:space="preserve"> is valid.</w:t>
      </w:r>
    </w:p>
    <w:p>
      <w:pPr>
        <w:pStyle w:val="Heading2"/>
        <w:spacing w:before="240" w:after="80"/>
        <w:rPr/>
      </w:pPr>
      <w:bookmarkStart w:id="39" w:name="__RefHeading___Toc3316_AgriContract"/>
      <w:bookmarkEnd w:id="39"/>
      <w:r>
        <w:rPr>
          <w:rFonts w:eastAsia="Calibri" w:cs="Calibri" w:ascii="Calibri" w:hAnsi="Calibri"/>
          <w:b/>
          <w:bCs/>
          <w:color w:val="1F2A37"/>
          <w:sz w:val="25"/>
          <w:szCs w:val="25"/>
        </w:rPr>
        <w:t>LegalProfile references</w:t>
      </w:r>
    </w:p>
    <w:p>
      <w:pPr>
        <w:pStyle w:val="Normal"/>
        <w:spacing w:lineRule="auto" w:line="276" w:before="0" w:after="120"/>
        <w:jc w:val="both"/>
        <w:rPr/>
      </w:pPr>
      <w:r>
        <w:rPr>
          <w:rFonts w:eastAsia="Consolas" w:cs="Consolas" w:ascii="Consolas" w:hAnsi="Consolas"/>
          <w:b w:val="false"/>
          <w:bCs w:val="false"/>
          <w:i w:val="false"/>
          <w:iCs w:val="false"/>
          <w:color w:val="111827"/>
          <w:sz w:val="19"/>
          <w:szCs w:val="19"/>
        </w:rPr>
        <w:t>LegalProfile</w:t>
      </w:r>
      <w:r>
        <w:rPr>
          <w:rFonts w:eastAsia="Calibri" w:cs="Calibri"/>
          <w:b w:val="false"/>
          <w:bCs w:val="false"/>
          <w:i w:val="false"/>
          <w:iCs w:val="false"/>
          <w:color w:val="111827"/>
          <w:sz w:val="21"/>
          <w:szCs w:val="21"/>
        </w:rPr>
        <w:t xml:space="preserve"> aligns LTM Điều 301 with the 8% contractual-penalty cap, LTM Điều 266 with the 10x inspection-fee ceiling, LTM Điều 302/307 with damages and penalty interaction, and BLDS Điều 328/330 with deposit/security references. The existing Known Limitation remains: classification of the deposit under BLDS Điều 328 requires lawyer confirmation.</w:t>
      </w:r>
    </w:p>
    <w:p>
      <w:pPr>
        <w:pStyle w:val="Heading1"/>
        <w:pBdr>
          <w:bottom w:val="single" w:sz="6" w:space="6" w:color="D1D5DB"/>
        </w:pBdr>
        <w:spacing w:before="320" w:after="120"/>
        <w:rPr/>
      </w:pPr>
      <w:bookmarkStart w:id="40" w:name="__RefHeading___Toc3318_AgriContract"/>
      <w:bookmarkEnd w:id="40"/>
      <w:r>
        <w:rPr>
          <w:rFonts w:eastAsia="Calibri" w:cs="Calibri" w:ascii="Calibri" w:hAnsi="Calibri"/>
          <w:b/>
          <w:bCs/>
          <w:color w:val="1F2A37"/>
          <w:sz w:val="30"/>
          <w:szCs w:val="30"/>
        </w:rPr>
        <w:t>10.2 Supplementary API and event totals</w:t>
      </w:r>
    </w:p>
    <w:p>
      <w:pPr>
        <w:pStyle w:val="Normal"/>
        <w:spacing w:lineRule="auto" w:line="276" w:before="0" w:after="120"/>
        <w:jc w:val="both"/>
        <w:rPr/>
      </w:pPr>
      <w:r>
        <w:rPr>
          <w:rFonts w:eastAsia="Calibri" w:cs="Calibri"/>
          <w:b w:val="false"/>
          <w:bCs w:val="false"/>
          <w:i w:val="false"/>
          <w:iCs w:val="false"/>
          <w:color w:val="111827"/>
          <w:sz w:val="21"/>
          <w:szCs w:val="21"/>
        </w:rPr>
        <w:t xml:space="preserve">The authoritative supplementary API catalog is </w:t>
      </w:r>
      <w:r>
        <w:rPr>
          <w:rFonts w:eastAsia="Consolas" w:cs="Consolas" w:ascii="Consolas" w:hAnsi="Consolas"/>
          <w:b w:val="false"/>
          <w:bCs w:val="false"/>
          <w:i w:val="false"/>
          <w:iCs w:val="false"/>
          <w:color w:val="111827"/>
          <w:sz w:val="19"/>
          <w:szCs w:val="19"/>
        </w:rPr>
        <w:t>16 paths / 18 operations / 15 schemas</w:t>
      </w:r>
      <w:r>
        <w:rPr>
          <w:rFonts w:eastAsia="Calibri" w:cs="Calibri"/>
          <w:b w:val="false"/>
          <w:bCs w:val="false"/>
          <w:i w:val="false"/>
          <w:iCs w:val="false"/>
          <w:color w:val="111827"/>
          <w:sz w:val="21"/>
          <w:szCs w:val="21"/>
        </w:rPr>
        <w:t xml:space="preserve">. The authoritative domain-event catalog is </w:t>
      </w:r>
      <w:r>
        <w:rPr>
          <w:rFonts w:eastAsia="Calibri" w:cs="Calibri"/>
          <w:b/>
          <w:bCs/>
          <w:i w:val="false"/>
          <w:iCs w:val="false"/>
          <w:color w:val="111827"/>
          <w:sz w:val="21"/>
          <w:szCs w:val="21"/>
        </w:rPr>
        <w:t>50 events</w:t>
      </w:r>
      <w:r>
        <w:rPr>
          <w:rFonts w:eastAsia="Calibri" w:cs="Calibri"/>
          <w:b w:val="false"/>
          <w:bCs w:val="false"/>
          <w:i w:val="false"/>
          <w:iCs w:val="false"/>
          <w:color w:val="111827"/>
          <w:sz w:val="21"/>
          <w:szCs w:val="21"/>
        </w:rPr>
        <w:t xml:space="preserve">; lifecycle mappings are </w:t>
      </w:r>
      <w:r>
        <w:rPr>
          <w:rFonts w:eastAsia="Consolas" w:cs="Consolas" w:ascii="Consolas" w:hAnsi="Consolas"/>
          <w:b w:val="false"/>
          <w:bCs w:val="false"/>
          <w:i w:val="false"/>
          <w:iCs w:val="false"/>
          <w:color w:val="111827"/>
          <w:sz w:val="19"/>
          <w:szCs w:val="19"/>
        </w:rPr>
        <w:t>contract.created</w:t>
      </w:r>
      <w:r>
        <w:rPr>
          <w:rFonts w:eastAsia="Calibri" w:cs="Calibri"/>
          <w:b w:val="false"/>
          <w:bCs w:val="false"/>
          <w:i w:val="false"/>
          <w:iCs w:val="false"/>
          <w:color w:val="111827"/>
          <w:sz w:val="21"/>
          <w:szCs w:val="21"/>
        </w:rPr>
        <w:t xml:space="preserve"> (contract-service -&gt; product-service), </w:t>
      </w:r>
      <w:r>
        <w:rPr>
          <w:rFonts w:eastAsia="Consolas" w:cs="Consolas" w:ascii="Consolas" w:hAnsi="Consolas"/>
          <w:b w:val="false"/>
          <w:bCs w:val="false"/>
          <w:i w:val="false"/>
          <w:iCs w:val="false"/>
          <w:color w:val="111827"/>
          <w:sz w:val="19"/>
          <w:szCs w:val="19"/>
        </w:rPr>
        <w:t>contract.activated</w:t>
      </w:r>
      <w:r>
        <w:rPr>
          <w:rFonts w:eastAsia="Calibri" w:cs="Calibri"/>
          <w:b w:val="false"/>
          <w:bCs w:val="false"/>
          <w:i w:val="false"/>
          <w:iCs w:val="false"/>
          <w:color w:val="111827"/>
          <w:sz w:val="21"/>
          <w:szCs w:val="21"/>
        </w:rPr>
        <w:t xml:space="preserve"> (contract-service -&gt; product-service), </w:t>
      </w:r>
      <w:r>
        <w:rPr>
          <w:rFonts w:eastAsia="Consolas" w:cs="Consolas" w:ascii="Consolas" w:hAnsi="Consolas"/>
          <w:b w:val="false"/>
          <w:bCs w:val="false"/>
          <w:i w:val="false"/>
          <w:iCs w:val="false"/>
          <w:color w:val="111827"/>
          <w:sz w:val="19"/>
          <w:szCs w:val="19"/>
        </w:rPr>
        <w:t>contract.withdrawn</w:t>
      </w:r>
      <w:r>
        <w:rPr>
          <w:rFonts w:eastAsia="Calibri" w:cs="Calibri"/>
          <w:b w:val="false"/>
          <w:bCs w:val="false"/>
          <w:i w:val="false"/>
          <w:iCs w:val="false"/>
          <w:color w:val="111827"/>
          <w:sz w:val="21"/>
          <w:szCs w:val="21"/>
        </w:rPr>
        <w:t xml:space="preserve"> (contract-service -&gt; product-service), and </w:t>
      </w:r>
      <w:r>
        <w:rPr>
          <w:rFonts w:eastAsia="Consolas" w:cs="Consolas" w:ascii="Consolas" w:hAnsi="Consolas"/>
          <w:b w:val="false"/>
          <w:bCs w:val="false"/>
          <w:i w:val="false"/>
          <w:iCs w:val="false"/>
          <w:color w:val="111827"/>
          <w:sz w:val="19"/>
          <w:szCs w:val="19"/>
        </w:rPr>
        <w:t>contract.activation_failed</w:t>
      </w:r>
      <w:r>
        <w:rPr>
          <w:rFonts w:eastAsia="Calibri" w:cs="Calibri"/>
          <w:b w:val="false"/>
          <w:bCs w:val="false"/>
          <w:i w:val="false"/>
          <w:iCs w:val="false"/>
          <w:color w:val="111827"/>
          <w:sz w:val="21"/>
          <w:szCs w:val="21"/>
        </w:rPr>
        <w:t xml:space="preserve"> (contract-service -&gt; product-service). </w:t>
      </w:r>
      <w:r>
        <w:rPr>
          <w:rFonts w:eastAsia="Consolas" w:cs="Consolas" w:ascii="Consolas" w:hAnsi="Consolas"/>
          <w:b w:val="false"/>
          <w:bCs w:val="false"/>
          <w:i w:val="false"/>
          <w:iCs w:val="false"/>
          <w:color w:val="111827"/>
          <w:sz w:val="19"/>
          <w:szCs w:val="19"/>
        </w:rPr>
        <w:t>contract.signed</w:t>
      </w:r>
      <w:r>
        <w:rPr>
          <w:rFonts w:eastAsia="Calibri" w:cs="Calibri"/>
          <w:b w:val="false"/>
          <w:bCs w:val="false"/>
          <w:i w:val="false"/>
          <w:iCs w:val="false"/>
          <w:color w:val="111827"/>
          <w:sz w:val="21"/>
          <w:szCs w:val="21"/>
        </w:rPr>
        <w:t xml:space="preserve"> includes </w:t>
      </w:r>
      <w:r>
        <w:rPr>
          <w:rFonts w:eastAsia="Consolas" w:cs="Consolas" w:ascii="Consolas" w:hAnsi="Consolas"/>
          <w:b w:val="false"/>
          <w:bCs w:val="false"/>
          <w:i w:val="false"/>
          <w:iCs w:val="false"/>
          <w:color w:val="111827"/>
          <w:sz w:val="19"/>
          <w:szCs w:val="19"/>
        </w:rPr>
        <w:t>listingId</w:t>
      </w:r>
      <w:r>
        <w:rPr>
          <w:rFonts w:eastAsia="Calibri" w:cs="Calibri"/>
          <w:b w:val="false"/>
          <w:bCs w:val="false"/>
          <w:i w:val="false"/>
          <w:iCs w:val="false"/>
          <w:color w:val="111827"/>
          <w:sz w:val="21"/>
          <w:szCs w:val="21"/>
        </w:rPr>
        <w:t xml:space="preserve"> and </w:t>
      </w:r>
      <w:r>
        <w:rPr>
          <w:rFonts w:eastAsia="Consolas" w:cs="Consolas" w:ascii="Consolas" w:hAnsi="Consolas"/>
          <w:b w:val="false"/>
          <w:bCs w:val="false"/>
          <w:i w:val="false"/>
          <w:iCs w:val="false"/>
          <w:color w:val="111827"/>
          <w:sz w:val="19"/>
          <w:szCs w:val="19"/>
        </w:rPr>
        <w:t>reservedQuantity</w:t>
      </w:r>
      <w:r>
        <w:rPr>
          <w:rFonts w:eastAsia="Calibri" w:cs="Calibri"/>
          <w:b w:val="false"/>
          <w:bCs w:val="false"/>
          <w:i w:val="false"/>
          <w:iCs w:val="false"/>
          <w:color w:val="111827"/>
          <w:sz w:val="21"/>
          <w:szCs w:val="21"/>
        </w:rPr>
        <w:t xml:space="preserve"> and is consumed by product-service, escrow-service, analytics-service and audit-service. </w:t>
      </w:r>
      <w:r>
        <w:rPr>
          <w:rFonts w:eastAsia="Consolas" w:cs="Consolas" w:ascii="Consolas" w:hAnsi="Consolas"/>
          <w:b w:val="false"/>
          <w:bCs w:val="false"/>
          <w:i w:val="false"/>
          <w:iCs w:val="false"/>
          <w:color w:val="111827"/>
          <w:sz w:val="19"/>
          <w:szCs w:val="19"/>
        </w:rPr>
        <w:t>contract.document_generated</w:t>
      </w:r>
      <w:r>
        <w:rPr>
          <w:rFonts w:eastAsia="Calibri" w:cs="Calibri"/>
          <w:b w:val="false"/>
          <w:bCs w:val="false"/>
          <w:i w:val="false"/>
          <w:iCs w:val="false"/>
          <w:color w:val="111827"/>
          <w:sz w:val="21"/>
          <w:szCs w:val="21"/>
        </w:rPr>
        <w:t xml:space="preserve"> carries the immutable generated representation hashes to audit-service.</w:t>
      </w:r>
    </w:p>
    <w:tbl>
      <w:tblPr>
        <w:tblW w:w="9638" w:type="dxa"/>
        <w:jc w:val="start"/>
        <w:tblInd w:w="0" w:type="dxa"/>
        <w:tblLayout w:type="fixed"/>
        <w:tblCellMar>
          <w:top w:w="60" w:type="dxa"/>
          <w:start w:w="90" w:type="dxa"/>
          <w:bottom w:w="60" w:type="dxa"/>
          <w:end w:w="90" w:type="dxa"/>
        </w:tblCellMar>
      </w:tblPr>
      <w:tblGrid>
        <w:gridCol w:w="1794"/>
        <w:gridCol w:w="2394"/>
        <w:gridCol w:w="1757"/>
        <w:gridCol w:w="1933"/>
        <w:gridCol w:w="1760"/>
      </w:tblGrid>
      <w:tr>
        <w:trPr>
          <w:tblHeader w:val="true"/>
          <w:cantSplit w:val="true"/>
        </w:trPr>
        <w:tc>
          <w:tcPr>
            <w:tcW w:w="1794"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Supplementary method</w:t>
            </w:r>
          </w:p>
        </w:tc>
        <w:tc>
          <w:tcPr>
            <w:tcW w:w="2394"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Path</w:t>
            </w:r>
          </w:p>
        </w:tc>
        <w:tc>
          <w:tcPr>
            <w:tcW w:w="175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Owner</w:t>
            </w:r>
          </w:p>
        </w:tc>
        <w:tc>
          <w:tcPr>
            <w:tcW w:w="1933"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operationId</w:t>
            </w:r>
          </w:p>
        </w:tc>
        <w:tc>
          <w:tcPr>
            <w:tcW w:w="176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Auth/role</w:t>
            </w:r>
          </w:p>
        </w:tc>
      </w:tr>
      <w:tr>
        <w:trPr>
          <w:cantSplit w:val="true"/>
        </w:trPr>
        <w:tc>
          <w:tcPr>
            <w:tcW w:w="17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POST</w:t>
            </w:r>
          </w:p>
        </w:tc>
        <w:tc>
          <w:tcPr>
            <w:tcW w:w="23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/api/v1/plots</w:t>
            </w:r>
          </w:p>
        </w:tc>
        <w:tc>
          <w:tcPr>
            <w:tcW w:w="175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product-service</w:t>
            </w:r>
          </w:p>
        </w:tc>
        <w:tc>
          <w:tcPr>
            <w:tcW w:w="193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registerPlot</w:t>
            </w:r>
          </w:p>
        </w:tc>
        <w:tc>
          <w:tcPr>
            <w:tcW w:w="176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SELLER</w:t>
            </w:r>
          </w:p>
        </w:tc>
      </w:tr>
      <w:tr>
        <w:trPr>
          <w:cantSplit w:val="true"/>
        </w:trPr>
        <w:tc>
          <w:tcPr>
            <w:tcW w:w="17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POST</w:t>
            </w:r>
          </w:p>
        </w:tc>
        <w:tc>
          <w:tcPr>
            <w:tcW w:w="23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/api/v1/listings</w:t>
            </w:r>
          </w:p>
        </w:tc>
        <w:tc>
          <w:tcPr>
            <w:tcW w:w="175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product-service</w:t>
            </w:r>
          </w:p>
        </w:tc>
        <w:tc>
          <w:tcPr>
            <w:tcW w:w="193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createListing</w:t>
            </w:r>
          </w:p>
        </w:tc>
        <w:tc>
          <w:tcPr>
            <w:tcW w:w="176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SELLER</w:t>
            </w:r>
          </w:p>
        </w:tc>
      </w:tr>
      <w:tr>
        <w:trPr>
          <w:cantSplit w:val="true"/>
        </w:trPr>
        <w:tc>
          <w:tcPr>
            <w:tcW w:w="17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GET</w:t>
            </w:r>
          </w:p>
        </w:tc>
        <w:tc>
          <w:tcPr>
            <w:tcW w:w="23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/api/v1/listings</w:t>
            </w:r>
          </w:p>
        </w:tc>
        <w:tc>
          <w:tcPr>
            <w:tcW w:w="175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product-service</w:t>
            </w:r>
          </w:p>
        </w:tc>
        <w:tc>
          <w:tcPr>
            <w:tcW w:w="193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searchListings</w:t>
            </w:r>
          </w:p>
        </w:tc>
        <w:tc>
          <w:tcPr>
            <w:tcW w:w="176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JWT</w:t>
            </w:r>
          </w:p>
        </w:tc>
      </w:tr>
      <w:tr>
        <w:trPr>
          <w:cantSplit w:val="true"/>
        </w:trPr>
        <w:tc>
          <w:tcPr>
            <w:tcW w:w="17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PUT</w:t>
            </w:r>
          </w:p>
        </w:tc>
        <w:tc>
          <w:tcPr>
            <w:tcW w:w="23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/api/v1/listings/{listingId}</w:t>
            </w:r>
          </w:p>
        </w:tc>
        <w:tc>
          <w:tcPr>
            <w:tcW w:w="175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product-service</w:t>
            </w:r>
          </w:p>
        </w:tc>
        <w:tc>
          <w:tcPr>
            <w:tcW w:w="193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updateListing</w:t>
            </w:r>
          </w:p>
        </w:tc>
        <w:tc>
          <w:tcPr>
            <w:tcW w:w="176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SELLER</w:t>
            </w:r>
          </w:p>
        </w:tc>
      </w:tr>
      <w:tr>
        <w:trPr>
          <w:cantSplit w:val="true"/>
        </w:trPr>
        <w:tc>
          <w:tcPr>
            <w:tcW w:w="17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POST</w:t>
            </w:r>
          </w:p>
        </w:tc>
        <w:tc>
          <w:tcPr>
            <w:tcW w:w="23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/internal/v1/listing-reservations</w:t>
            </w:r>
          </w:p>
        </w:tc>
        <w:tc>
          <w:tcPr>
            <w:tcW w:w="175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product-service</w:t>
            </w:r>
          </w:p>
        </w:tc>
        <w:tc>
          <w:tcPr>
            <w:tcW w:w="193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reserveListingQuantity</w:t>
            </w:r>
          </w:p>
        </w:tc>
        <w:tc>
          <w:tcPr>
            <w:tcW w:w="176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service-to-service</w:t>
            </w:r>
          </w:p>
        </w:tc>
      </w:tr>
      <w:tr>
        <w:trPr>
          <w:cantSplit w:val="true"/>
        </w:trPr>
        <w:tc>
          <w:tcPr>
            <w:tcW w:w="17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POST</w:t>
            </w:r>
          </w:p>
        </w:tc>
        <w:tc>
          <w:tcPr>
            <w:tcW w:w="23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/internal/v1/listing-reservations/{contractId}/release</w:t>
            </w:r>
          </w:p>
        </w:tc>
        <w:tc>
          <w:tcPr>
            <w:tcW w:w="175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product-service</w:t>
            </w:r>
          </w:p>
        </w:tc>
        <w:tc>
          <w:tcPr>
            <w:tcW w:w="193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compensateListingReservation</w:t>
            </w:r>
          </w:p>
        </w:tc>
        <w:tc>
          <w:tcPr>
            <w:tcW w:w="176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service-to-service</w:t>
            </w:r>
          </w:p>
        </w:tc>
      </w:tr>
      <w:tr>
        <w:trPr>
          <w:cantSplit w:val="true"/>
        </w:trPr>
        <w:tc>
          <w:tcPr>
            <w:tcW w:w="17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POST</w:t>
            </w:r>
          </w:p>
        </w:tc>
        <w:tc>
          <w:tcPr>
            <w:tcW w:w="23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/api/v1/listings/{listingId}/offers</w:t>
            </w:r>
          </w:p>
        </w:tc>
        <w:tc>
          <w:tcPr>
            <w:tcW w:w="175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product-service</w:t>
            </w:r>
          </w:p>
        </w:tc>
        <w:tc>
          <w:tcPr>
            <w:tcW w:w="193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createOffer</w:t>
            </w:r>
          </w:p>
        </w:tc>
        <w:tc>
          <w:tcPr>
            <w:tcW w:w="176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BUYER</w:t>
            </w:r>
          </w:p>
        </w:tc>
      </w:tr>
      <w:tr>
        <w:trPr>
          <w:cantSplit w:val="true"/>
        </w:trPr>
        <w:tc>
          <w:tcPr>
            <w:tcW w:w="17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GET</w:t>
            </w:r>
          </w:p>
        </w:tc>
        <w:tc>
          <w:tcPr>
            <w:tcW w:w="23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/api/v1/prices/{commodity}/{province}</w:t>
            </w:r>
          </w:p>
        </w:tc>
        <w:tc>
          <w:tcPr>
            <w:tcW w:w="175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pricing-service</w:t>
            </w:r>
          </w:p>
        </w:tc>
        <w:tc>
          <w:tcPr>
            <w:tcW w:w="193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getPriceQuote</w:t>
            </w:r>
          </w:p>
        </w:tc>
        <w:tc>
          <w:tcPr>
            <w:tcW w:w="176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public</w:t>
            </w:r>
          </w:p>
        </w:tc>
      </w:tr>
      <w:tr>
        <w:trPr>
          <w:cantSplit w:val="true"/>
        </w:trPr>
        <w:tc>
          <w:tcPr>
            <w:tcW w:w="17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GET</w:t>
            </w:r>
          </w:p>
        </w:tc>
        <w:tc>
          <w:tcPr>
            <w:tcW w:w="23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/api/v1/prices/{commodity}/{province}/items</w:t>
            </w:r>
          </w:p>
        </w:tc>
        <w:tc>
          <w:tcPr>
            <w:tcW w:w="175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pricing-service</w:t>
            </w:r>
          </w:p>
        </w:tc>
        <w:tc>
          <w:tcPr>
            <w:tcW w:w="193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listPriceItems</w:t>
            </w:r>
          </w:p>
        </w:tc>
        <w:tc>
          <w:tcPr>
            <w:tcW w:w="176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public</w:t>
            </w:r>
          </w:p>
        </w:tc>
      </w:tr>
      <w:tr>
        <w:trPr>
          <w:cantSplit w:val="true"/>
        </w:trPr>
        <w:tc>
          <w:tcPr>
            <w:tcW w:w="17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POST</w:t>
            </w:r>
          </w:p>
        </w:tc>
        <w:tc>
          <w:tcPr>
            <w:tcW w:w="23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/api/v1/prices/manual</w:t>
            </w:r>
          </w:p>
        </w:tc>
        <w:tc>
          <w:tcPr>
            <w:tcW w:w="175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pricing-service</w:t>
            </w:r>
          </w:p>
        </w:tc>
        <w:tc>
          <w:tcPr>
            <w:tcW w:w="193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recordManualPrice</w:t>
            </w:r>
          </w:p>
        </w:tc>
        <w:tc>
          <w:tcPr>
            <w:tcW w:w="176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ADMIN</w:t>
            </w:r>
          </w:p>
        </w:tc>
      </w:tr>
      <w:tr>
        <w:trPr>
          <w:cantSplit w:val="true"/>
        </w:trPr>
        <w:tc>
          <w:tcPr>
            <w:tcW w:w="17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GET</w:t>
            </w:r>
          </w:p>
        </w:tc>
        <w:tc>
          <w:tcPr>
            <w:tcW w:w="23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/api/v1/analytics/terminations</w:t>
            </w:r>
          </w:p>
        </w:tc>
        <w:tc>
          <w:tcPr>
            <w:tcW w:w="175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analytics-service</w:t>
            </w:r>
          </w:p>
        </w:tc>
        <w:tc>
          <w:tcPr>
            <w:tcW w:w="193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getTerminationAnalytics</w:t>
            </w:r>
          </w:p>
        </w:tc>
        <w:tc>
          <w:tcPr>
            <w:tcW w:w="176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ADMIN</w:t>
            </w:r>
          </w:p>
        </w:tc>
      </w:tr>
      <w:tr>
        <w:trPr>
          <w:cantSplit w:val="true"/>
        </w:trPr>
        <w:tc>
          <w:tcPr>
            <w:tcW w:w="17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GET</w:t>
            </w:r>
          </w:p>
        </w:tc>
        <w:tc>
          <w:tcPr>
            <w:tcW w:w="23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/api/v1/analytics/escrow-effectiveness</w:t>
            </w:r>
          </w:p>
        </w:tc>
        <w:tc>
          <w:tcPr>
            <w:tcW w:w="175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analytics-service</w:t>
            </w:r>
          </w:p>
        </w:tc>
        <w:tc>
          <w:tcPr>
            <w:tcW w:w="193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getEscrowEffectiveness</w:t>
            </w:r>
          </w:p>
        </w:tc>
        <w:tc>
          <w:tcPr>
            <w:tcW w:w="176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ADMIN</w:t>
            </w:r>
          </w:p>
        </w:tc>
      </w:tr>
      <w:tr>
        <w:trPr>
          <w:cantSplit w:val="true"/>
        </w:trPr>
        <w:tc>
          <w:tcPr>
            <w:tcW w:w="17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GET</w:t>
            </w:r>
          </w:p>
        </w:tc>
        <w:tc>
          <w:tcPr>
            <w:tcW w:w="23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/api/v1/analytics/force-majeure-trends</w:t>
            </w:r>
          </w:p>
        </w:tc>
        <w:tc>
          <w:tcPr>
            <w:tcW w:w="175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analytics-service</w:t>
            </w:r>
          </w:p>
        </w:tc>
        <w:tc>
          <w:tcPr>
            <w:tcW w:w="193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getForceMajeureTrends</w:t>
            </w:r>
          </w:p>
        </w:tc>
        <w:tc>
          <w:tcPr>
            <w:tcW w:w="176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ADMIN</w:t>
            </w:r>
          </w:p>
        </w:tc>
      </w:tr>
      <w:tr>
        <w:trPr>
          <w:cantSplit w:val="true"/>
        </w:trPr>
        <w:tc>
          <w:tcPr>
            <w:tcW w:w="17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POST</w:t>
            </w:r>
          </w:p>
        </w:tc>
        <w:tc>
          <w:tcPr>
            <w:tcW w:w="23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/api/v1/inspections/{contractId}/milestones/{milestoneId}/reports</w:t>
            </w:r>
          </w:p>
        </w:tc>
        <w:tc>
          <w:tcPr>
            <w:tcW w:w="175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inspection-service</w:t>
            </w:r>
          </w:p>
        </w:tc>
        <w:tc>
          <w:tcPr>
            <w:tcW w:w="193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submitInspectionReport</w:t>
            </w:r>
          </w:p>
        </w:tc>
        <w:tc>
          <w:tcPr>
            <w:tcW w:w="176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INSPECTOR</w:t>
            </w:r>
          </w:p>
        </w:tc>
      </w:tr>
      <w:tr>
        <w:trPr>
          <w:cantSplit w:val="true"/>
        </w:trPr>
        <w:tc>
          <w:tcPr>
            <w:tcW w:w="17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POST</w:t>
            </w:r>
          </w:p>
        </w:tc>
        <w:tc>
          <w:tcPr>
            <w:tcW w:w="23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/internal/v1/files</w:t>
            </w:r>
          </w:p>
        </w:tc>
        <w:tc>
          <w:tcPr>
            <w:tcW w:w="175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file-service</w:t>
            </w:r>
          </w:p>
        </w:tc>
        <w:tc>
          <w:tcPr>
            <w:tcW w:w="193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storeOnBehalfOf</w:t>
            </w:r>
          </w:p>
        </w:tc>
        <w:tc>
          <w:tcPr>
            <w:tcW w:w="176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service-to-service</w:t>
            </w:r>
          </w:p>
        </w:tc>
      </w:tr>
      <w:tr>
        <w:trPr>
          <w:cantSplit w:val="true"/>
        </w:trPr>
        <w:tc>
          <w:tcPr>
            <w:tcW w:w="17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GET</w:t>
            </w:r>
          </w:p>
        </w:tc>
        <w:tc>
          <w:tcPr>
            <w:tcW w:w="23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/internal/v1/files/{fileId}</w:t>
            </w:r>
          </w:p>
        </w:tc>
        <w:tc>
          <w:tcPr>
            <w:tcW w:w="175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file-service</w:t>
            </w:r>
          </w:p>
        </w:tc>
        <w:tc>
          <w:tcPr>
            <w:tcW w:w="193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getFile</w:t>
            </w:r>
          </w:p>
        </w:tc>
        <w:tc>
          <w:tcPr>
            <w:tcW w:w="176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service-to-service</w:t>
            </w:r>
          </w:p>
        </w:tc>
      </w:tr>
      <w:tr>
        <w:trPr>
          <w:cantSplit w:val="true"/>
        </w:trPr>
        <w:tc>
          <w:tcPr>
            <w:tcW w:w="17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DELETE</w:t>
            </w:r>
          </w:p>
        </w:tc>
        <w:tc>
          <w:tcPr>
            <w:tcW w:w="23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/internal/v1/files/{fileId}</w:t>
            </w:r>
          </w:p>
        </w:tc>
        <w:tc>
          <w:tcPr>
            <w:tcW w:w="175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file-service</w:t>
            </w:r>
          </w:p>
        </w:tc>
        <w:tc>
          <w:tcPr>
            <w:tcW w:w="193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deleteFile</w:t>
            </w:r>
          </w:p>
        </w:tc>
        <w:tc>
          <w:tcPr>
            <w:tcW w:w="176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service-to-service</w:t>
            </w:r>
          </w:p>
        </w:tc>
      </w:tr>
      <w:tr>
        <w:trPr>
          <w:cantSplit w:val="true"/>
        </w:trPr>
        <w:tc>
          <w:tcPr>
            <w:tcW w:w="17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POST</w:t>
            </w:r>
          </w:p>
        </w:tc>
        <w:tc>
          <w:tcPr>
            <w:tcW w:w="23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/internal/v1/files/{fileId}/confirm-attached</w:t>
            </w:r>
          </w:p>
        </w:tc>
        <w:tc>
          <w:tcPr>
            <w:tcW w:w="175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file-service</w:t>
            </w:r>
          </w:p>
        </w:tc>
        <w:tc>
          <w:tcPr>
            <w:tcW w:w="193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confirmAttached</w:t>
            </w:r>
          </w:p>
        </w:tc>
        <w:tc>
          <w:tcPr>
            <w:tcW w:w="176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service-to-service</w:t>
            </w:r>
          </w:p>
        </w:tc>
      </w:tr>
    </w:tbl>
    <w:p>
      <w:pPr>
        <w:pStyle w:val="Heading1"/>
        <w:pBdr>
          <w:bottom w:val="single" w:sz="6" w:space="6" w:color="D1D5DB"/>
        </w:pBdr>
        <w:spacing w:before="320" w:after="120"/>
        <w:rPr/>
      </w:pPr>
      <w:bookmarkStart w:id="41" w:name="__RefHeading___Toc3320_AgriContract"/>
      <w:bookmarkEnd w:id="41"/>
      <w:r>
        <w:rPr>
          <w:rFonts w:eastAsia="Calibri" w:cs="Calibri" w:ascii="Calibri" w:hAnsi="Calibri"/>
          <w:b/>
          <w:bCs/>
          <w:color w:val="1F2A37"/>
          <w:sz w:val="30"/>
          <w:szCs w:val="30"/>
        </w:rPr>
        <w:t>11. Current Scope</w:t>
      </w:r>
    </w:p>
    <w:p>
      <w:pPr>
        <w:pStyle w:val="Normal"/>
        <w:spacing w:lineRule="auto" w:line="276" w:before="0" w:after="120"/>
        <w:jc w:val="both"/>
        <w:rPr/>
      </w:pPr>
      <w:r>
        <w:rPr>
          <w:rFonts w:eastAsia="Calibri" w:cs="Calibri"/>
          <w:b w:val="false"/>
          <w:bCs w:val="false"/>
          <w:i w:val="false"/>
          <w:iCs w:val="false"/>
          <w:color w:val="111827"/>
          <w:sz w:val="21"/>
          <w:szCs w:val="21"/>
        </w:rPr>
        <w:t>Đồ án hiện thực hoá boundary của 12 business services cho giao dịch cà phê B2B nội địa Việt Nam: API Gateway, database-per-service, event envelope, outbox/idempotency, consent/signature, template và immutable document lifecycle, contract–escrow–bank golden flow, inspection, reputation, audit/evidence, product geolocation, file intake, external reference pricing, user governance, notification và analytics projection. Các state, event, endpoint, schema và side-effect boundary trong tài liệu là contract thiết kế để triển khai; chúng không phải bằng chứng rằng toàn bộ capability đã chạy production.</w:t>
      </w:r>
    </w:p>
    <w:p>
      <w:pPr>
        <w:pStyle w:val="Heading1"/>
        <w:pBdr>
          <w:bottom w:val="single" w:sz="6" w:space="6" w:color="D1D5DB"/>
        </w:pBdr>
        <w:spacing w:before="320" w:after="120"/>
        <w:rPr/>
      </w:pPr>
      <w:bookmarkStart w:id="42" w:name="__RefHeading___Toc3322_AgriContract"/>
      <w:bookmarkEnd w:id="42"/>
      <w:r>
        <w:rPr>
          <w:rFonts w:eastAsia="Calibri" w:cs="Calibri" w:ascii="Calibri" w:hAnsi="Calibri"/>
          <w:b/>
          <w:bCs/>
          <w:color w:val="1F2A37"/>
          <w:sz w:val="30"/>
          <w:szCs w:val="30"/>
        </w:rPr>
        <w:t>12. Known Limitations</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Bank/custodian thật, CA signature, tổ chức inspection production, provider pricing và OpenTimestamps production chưa được tích hợp trong đồ án; bank-service là ledger/adapter mô phỏng.</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Full mTLS/service mesh, HSM/KMS độc lập, multi-region HA, deployment attestation và cold rebuild analytics chưa thuộc phạm vi implementation.</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Geo/yield/AML/overlap chỉ là tín hiệu hỗ trợ review; traceability phụ thuộc chất lượng dữ liệu, chi phí và quy trình due diligence, nên không tự kết luận gian lận, sự thật địa chính, compliance EUDR hay trách nhiệm pháp lý. [21], [22], [30]</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Checkbox/step-up/OTP là cơ chế bằng chứng điện tử tầng cơ sở; không phải điểm chỉ/vân tay thật hoặc chữ ký số CA. Giá trị chứng cứ và thẩm quyền đại diện vẫn cần đánh giá theo giao dịch, định danh và tài liệu thực tế. [27]</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Phân loại tiền cọc, penalty, damages, licensing boundary và mẫu hợp đồng cần legal validation; việc tách custody khỏi platform không tự chứng minh compliance. [28], [29], [45], [46]</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Hệ thống không bảo vệ tuyệt đối trước collusion của các trust domain hoặc hạ tầng bị compromise đồng thời; zero-trust-oriented controls chỉ giảm implicit trust tại các boundary đã nêu.</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Analytics/notification có eventual consistency; queue backlog chỉ hỗ trợ catch-up outage ngắn, không phải cold rebuild toàn bộ lịch sử.</w:t>
      </w:r>
    </w:p>
    <w:p>
      <w:pPr>
        <w:pStyle w:val="Heading1"/>
        <w:pBdr>
          <w:bottom w:val="single" w:sz="6" w:space="6" w:color="D1D5DB"/>
        </w:pBdr>
        <w:spacing w:before="320" w:after="120"/>
        <w:rPr/>
      </w:pPr>
      <w:bookmarkStart w:id="43" w:name="__RefHeading___Toc3324_AgriContract"/>
      <w:bookmarkEnd w:id="43"/>
      <w:r>
        <w:rPr>
          <w:rFonts w:eastAsia="Calibri" w:cs="Calibri" w:ascii="Calibri" w:hAnsi="Calibri"/>
          <w:b/>
          <w:bCs/>
          <w:color w:val="1F2A37"/>
          <w:sz w:val="30"/>
          <w:szCs w:val="30"/>
        </w:rPr>
        <w:t>13. Future Work</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Tích hợp custodian/ngân hàng thật, đối soát và báo cáo AML theo adapter đã đóng băng.</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Tích hợp CA/WebAuthn, production inspection/accreditation và adapter email/provider phù hợp deployment.</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Tách separation-of-duties hạ tầng, mTLS/KMS/HSM, deployment attestation và DR/scale production.</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Thiết kế riêng cho ContractVersion amendment sau ký, full notice–cure–remedy state machine, quality-indexed settlement, payment/security package đầy đủ và partial mutual termination.</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Nghiên cứu mở rộng commodity sau cà phê bằng template, quality profile, nguồn giá và verification matrix riêng; logistics/3PL tracking chỉ khi có đối tác thật.</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Hoàn thiện cross-border/ND13 assessment, DSAR và các chính sách vận hành ngoài prototype.</w:t>
      </w:r>
    </w:p>
    <w:p>
      <w:pPr>
        <w:pStyle w:val="Heading1"/>
        <w:pBdr>
          <w:bottom w:val="single" w:sz="6" w:space="6" w:color="D1D5DB"/>
        </w:pBdr>
        <w:spacing w:before="320" w:after="120"/>
        <w:rPr/>
      </w:pPr>
      <w:bookmarkStart w:id="44" w:name="__RefHeading___Toc3326_AgriContract"/>
      <w:bookmarkEnd w:id="44"/>
      <w:r>
        <w:rPr>
          <w:rFonts w:eastAsia="Calibri" w:cs="Calibri" w:ascii="Calibri" w:hAnsi="Calibri"/>
          <w:b/>
          <w:bCs/>
          <w:color w:val="1F2A37"/>
          <w:sz w:val="30"/>
          <w:szCs w:val="30"/>
        </w:rPr>
        <w:t>14. Danh mục nguồn tham khảo</w:t>
      </w:r>
    </w:p>
    <w:p>
      <w:pPr>
        <w:pStyle w:val="Normal"/>
        <w:spacing w:lineRule="auto" w:line="276" w:before="0" w:after="120"/>
        <w:jc w:val="both"/>
        <w:rPr/>
      </w:pPr>
      <w:r>
        <w:rPr>
          <w:rFonts w:eastAsia="Calibri" w:cs="Calibri"/>
          <w:b w:val="false"/>
          <w:bCs w:val="false"/>
          <w:i w:val="false"/>
          <w:iCs w:val="false"/>
          <w:color w:val="111827"/>
          <w:sz w:val="21"/>
          <w:szCs w:val="21"/>
        </w:rPr>
        <w:t>[21] A. Kashyap et al., “Traceability Adoption Barriers in Digital Food Supply Chain to Achieve Food Security and Sustainability,” Bus. Strategy Environ., vol. 35, no. 1, 2025, doi: 10.1002/bse.70177.</w:t>
      </w:r>
    </w:p>
    <w:p>
      <w:pPr>
        <w:pStyle w:val="Normal"/>
        <w:spacing w:lineRule="auto" w:line="276" w:before="0" w:after="120"/>
        <w:jc w:val="both"/>
        <w:rPr/>
      </w:pPr>
      <w:r>
        <w:rPr>
          <w:rFonts w:eastAsia="Calibri" w:cs="Calibri"/>
          <w:b w:val="false"/>
          <w:bCs w:val="false"/>
          <w:i w:val="false"/>
          <w:iCs w:val="false"/>
          <w:color w:val="111827"/>
          <w:sz w:val="21"/>
          <w:szCs w:val="21"/>
        </w:rPr>
        <w:t>[22] V. Guye, P. Meyfroidt, and E. z. Ermgassen, “The Need for Improved Public Transparency in the Era of Due Diligence Regulations,” Regulation &amp; Governance, 2026, doi: 10.1111/rego.70142.</w:t>
      </w:r>
    </w:p>
    <w:p>
      <w:pPr>
        <w:pStyle w:val="Normal"/>
        <w:spacing w:lineRule="auto" w:line="276" w:before="0" w:after="120"/>
        <w:jc w:val="both"/>
        <w:rPr/>
      </w:pPr>
      <w:r>
        <w:rPr>
          <w:rFonts w:eastAsia="Calibri" w:cs="Calibri"/>
          <w:b w:val="false"/>
          <w:bCs w:val="false"/>
          <w:i w:val="false"/>
          <w:iCs w:val="false"/>
          <w:color w:val="111827"/>
          <w:sz w:val="21"/>
          <w:szCs w:val="21"/>
        </w:rPr>
        <w:t>[27] Quốc hội Việt Nam, Luật Giao dịch điện tử số 20/2023/QH15, 2023.</w:t>
      </w:r>
    </w:p>
    <w:p>
      <w:pPr>
        <w:pStyle w:val="Normal"/>
        <w:spacing w:lineRule="auto" w:line="276" w:before="0" w:after="120"/>
        <w:jc w:val="both"/>
        <w:rPr/>
      </w:pPr>
      <w:r>
        <w:rPr>
          <w:rFonts w:eastAsia="Calibri" w:cs="Calibri"/>
          <w:b w:val="false"/>
          <w:bCs w:val="false"/>
          <w:i w:val="false"/>
          <w:iCs w:val="false"/>
          <w:color w:val="111827"/>
          <w:sz w:val="21"/>
          <w:szCs w:val="21"/>
        </w:rPr>
        <w:t>[28] Chính phủ Việt Nam, Nghị định 52/2024/NĐ-CP, 2024.</w:t>
      </w:r>
    </w:p>
    <w:p>
      <w:pPr>
        <w:pStyle w:val="Normal"/>
        <w:spacing w:lineRule="auto" w:line="276" w:before="0" w:after="120"/>
        <w:jc w:val="both"/>
        <w:rPr/>
      </w:pPr>
      <w:r>
        <w:rPr>
          <w:rFonts w:eastAsia="Calibri" w:cs="Calibri"/>
          <w:b w:val="false"/>
          <w:bCs w:val="false"/>
          <w:i w:val="false"/>
          <w:iCs w:val="false"/>
          <w:color w:val="111827"/>
          <w:sz w:val="21"/>
          <w:szCs w:val="21"/>
        </w:rPr>
        <w:t>[29] Chính phủ Việt Nam, Nghị định 340/2025/NĐ-CP, 2025.</w:t>
      </w:r>
    </w:p>
    <w:p>
      <w:pPr>
        <w:pStyle w:val="Normal"/>
        <w:spacing w:lineRule="auto" w:line="276" w:before="0" w:after="120"/>
        <w:jc w:val="both"/>
        <w:rPr/>
      </w:pPr>
      <w:r>
        <w:rPr>
          <w:rFonts w:eastAsia="Calibri" w:cs="Calibri"/>
          <w:b w:val="false"/>
          <w:bCs w:val="false"/>
          <w:i w:val="false"/>
          <w:iCs w:val="false"/>
          <w:color w:val="111827"/>
          <w:sz w:val="21"/>
          <w:szCs w:val="21"/>
        </w:rPr>
        <w:t>[30] European Parliament and Council, Regulation (EU) 2023/1115, consolidated Dec. 26, 2025.</w:t>
      </w:r>
    </w:p>
    <w:p>
      <w:pPr>
        <w:pStyle w:val="Normal"/>
        <w:spacing w:lineRule="auto" w:line="276" w:before="0" w:after="120"/>
        <w:jc w:val="both"/>
        <w:rPr/>
      </w:pPr>
      <w:r>
        <w:rPr>
          <w:rFonts w:eastAsia="Calibri" w:cs="Calibri"/>
          <w:b w:val="false"/>
          <w:bCs w:val="false"/>
          <w:i w:val="false"/>
          <w:iCs w:val="false"/>
          <w:color w:val="111827"/>
          <w:sz w:val="21"/>
          <w:szCs w:val="21"/>
        </w:rPr>
        <w:t>[45] Quốc hội Việt Nam, Bộ luật Dân sự số 91/2015/QH13, 2015.</w:t>
      </w:r>
    </w:p>
    <w:p>
      <w:pPr>
        <w:pStyle w:val="Normal"/>
        <w:spacing w:lineRule="auto" w:line="276" w:before="0" w:after="120"/>
        <w:jc w:val="both"/>
        <w:rPr/>
      </w:pPr>
      <w:r>
        <w:rPr>
          <w:rFonts w:eastAsia="Calibri" w:cs="Calibri"/>
          <w:b w:val="false"/>
          <w:bCs w:val="false"/>
          <w:i w:val="false"/>
          <w:iCs w:val="false"/>
          <w:color w:val="111827"/>
          <w:sz w:val="21"/>
          <w:szCs w:val="21"/>
        </w:rPr>
        <w:t>[46] Quốc hội Việt Nam, Luật Thương mại số 36/2005/QH11, 2005.</w:t>
      </w:r>
    </w:p>
    <w:p>
      <w:pPr>
        <w:pStyle w:val="Normal"/>
        <w:pBdr>
          <w:top w:val="single" w:sz="6" w:space="6" w:color="D1D5DB"/>
        </w:pBdr>
        <w:spacing w:before="300" w:after="0"/>
        <w:rPr/>
      </w:pPr>
      <w:r>
        <w:rPr>
          <w:rFonts w:eastAsia="Calibri" w:cs="Calibri"/>
          <w:i/>
          <w:iCs/>
          <w:color w:val="6B7280"/>
          <w:sz w:val="19"/>
          <w:szCs w:val="19"/>
        </w:rPr>
        <w:t xml:space="preserve">— </w:t>
      </w:r>
      <w:r>
        <w:rPr>
          <w:rFonts w:eastAsia="Calibri" w:cs="Calibri"/>
          <w:i/>
          <w:iCs/>
          <w:color w:val="6B7280"/>
          <w:sz w:val="19"/>
          <w:szCs w:val="19"/>
        </w:rPr>
        <w:t>Hết tài liệu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eastAsia="Calibri" w:cs="Calibri"/>
        <w:color w:val="6B7280"/>
        <w:sz w:val="16"/>
        <w:szCs w:val="16"/>
      </w:rPr>
      <w:t xml:space="preserve">Final · Tháng 7/2026 · Trang </w:t>
    </w:r>
    <w:r>
      <w:rPr>
        <w:rFonts w:eastAsia="Calibri" w:cs="Calibri"/>
        <w:i/>
        <w:iCs/>
        <w:color w:val="6B7280"/>
        <w:sz w:val="19"/>
        <w:szCs w:val="19"/>
      </w:rPr>
      <w:fldChar w:fldCharType="begin"/>
    </w:r>
    <w:r>
      <w:rPr>
        <w:rFonts w:eastAsia="Calibri" w:cs="Calibri"/>
        <w:i/>
        <w:iCs/>
        <w:color w:val="6B7280"/>
        <w:sz w:val="19"/>
        <w:szCs w:val="19"/>
      </w:rPr>
      <w:instrText xml:space="preserve"> PAGE </w:instrText>
    </w:r>
    <w:r>
      <w:rPr>
        <w:rFonts w:eastAsia="Calibri" w:cs="Calibri"/>
        <w:i/>
        <w:iCs/>
        <w:color w:val="6B7280"/>
        <w:sz w:val="19"/>
        <w:szCs w:val="19"/>
      </w:rPr>
      <w:fldChar w:fldCharType="separate"/>
    </w:r>
    <w:r>
      <w:rPr>
        <w:rFonts w:eastAsia="Calibri" w:cs="Calibri"/>
        <w:i/>
        <w:iCs/>
        <w:color w:val="6B7280"/>
        <w:sz w:val="19"/>
        <w:szCs w:val="19"/>
      </w:rPr>
      <w:t>19</w:t>
    </w:r>
    <w:r>
      <w:rPr>
        <w:rFonts w:eastAsia="Calibri" w:cs="Calibri"/>
        <w:i/>
        <w:iCs/>
        <w:color w:val="6B7280"/>
        <w:sz w:val="19"/>
        <w:szCs w:val="19"/>
      </w:rPr>
      <w:fldChar w:fldCharType="end"/>
    </w:r>
    <w:r>
      <w:rPr>
        <w:rFonts w:eastAsia="Calibri" w:cs="Calibri"/>
        <w:color w:val="6B7280"/>
        <w:sz w:val="16"/>
        <w:szCs w:val="16"/>
      </w:rPr>
      <w:t>/</w:t>
    </w:r>
    <w:r>
      <w:rPr>
        <w:rFonts w:eastAsia="Calibri" w:cs="Calibri"/>
        <w:i/>
        <w:iCs/>
        <w:color w:val="6B7280"/>
        <w:sz w:val="19"/>
        <w:szCs w:val="19"/>
      </w:rPr>
      <w:fldChar w:fldCharType="begin"/>
    </w:r>
    <w:r>
      <w:rPr>
        <w:rFonts w:eastAsia="Calibri" w:cs="Calibri"/>
        <w:i/>
        <w:iCs/>
        <w:color w:val="6B7280"/>
        <w:sz w:val="19"/>
        <w:szCs w:val="19"/>
      </w:rPr>
      <w:instrText xml:space="preserve"> NUMPAGES </w:instrText>
    </w:r>
    <w:r>
      <w:rPr>
        <w:rFonts w:eastAsia="Calibri" w:cs="Calibri"/>
        <w:i/>
        <w:iCs/>
        <w:color w:val="6B7280"/>
        <w:sz w:val="19"/>
        <w:szCs w:val="19"/>
      </w:rPr>
      <w:fldChar w:fldCharType="separate"/>
    </w:r>
    <w:r>
      <w:rPr>
        <w:rFonts w:eastAsia="Calibri" w:cs="Calibri"/>
        <w:i/>
        <w:iCs/>
        <w:color w:val="6B7280"/>
        <w:sz w:val="19"/>
        <w:szCs w:val="19"/>
      </w:rPr>
      <w:t>19</w:t>
    </w:r>
    <w:r>
      <w:rPr>
        <w:rFonts w:eastAsia="Calibri" w:cs="Calibri"/>
        <w:i/>
        <w:iCs/>
        <w:color w:val="6B7280"/>
        <w:sz w:val="19"/>
        <w:szCs w:val="1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eastAsia="Calibri" w:cs="Calibri"/>
        <w:color w:val="6B7280"/>
        <w:sz w:val="16"/>
        <w:szCs w:val="16"/>
      </w:rPr>
      <w:t xml:space="preserve">Final · Tháng 7/2026 · Trang </w:t>
    </w:r>
    <w:r>
      <w:rPr>
        <w:rFonts w:eastAsia="Calibri" w:cs="Calibri"/>
        <w:i/>
        <w:iCs/>
        <w:color w:val="6B7280"/>
        <w:sz w:val="19"/>
        <w:szCs w:val="19"/>
      </w:rPr>
      <w:fldChar w:fldCharType="begin"/>
    </w:r>
    <w:r>
      <w:rPr>
        <w:rFonts w:eastAsia="Calibri" w:cs="Calibri"/>
        <w:i/>
        <w:iCs/>
        <w:color w:val="6B7280"/>
        <w:sz w:val="19"/>
        <w:szCs w:val="19"/>
      </w:rPr>
      <w:instrText xml:space="preserve"> PAGE </w:instrText>
    </w:r>
    <w:r>
      <w:rPr>
        <w:rFonts w:eastAsia="Calibri" w:cs="Calibri"/>
        <w:i/>
        <w:iCs/>
        <w:color w:val="6B7280"/>
        <w:sz w:val="19"/>
        <w:szCs w:val="19"/>
      </w:rPr>
      <w:fldChar w:fldCharType="separate"/>
    </w:r>
    <w:r>
      <w:rPr>
        <w:rFonts w:eastAsia="Calibri" w:cs="Calibri"/>
        <w:i/>
        <w:iCs/>
        <w:color w:val="6B7280"/>
        <w:sz w:val="19"/>
        <w:szCs w:val="19"/>
      </w:rPr>
      <w:t>19</w:t>
    </w:r>
    <w:r>
      <w:rPr>
        <w:rFonts w:eastAsia="Calibri" w:cs="Calibri"/>
        <w:i/>
        <w:iCs/>
        <w:color w:val="6B7280"/>
        <w:sz w:val="19"/>
        <w:szCs w:val="19"/>
      </w:rPr>
      <w:fldChar w:fldCharType="end"/>
    </w:r>
    <w:r>
      <w:rPr>
        <w:rFonts w:eastAsia="Calibri" w:cs="Calibri"/>
        <w:color w:val="6B7280"/>
        <w:sz w:val="16"/>
        <w:szCs w:val="16"/>
      </w:rPr>
      <w:t>/</w:t>
    </w:r>
    <w:r>
      <w:rPr>
        <w:rFonts w:eastAsia="Calibri" w:cs="Calibri"/>
        <w:i/>
        <w:iCs/>
        <w:color w:val="6B7280"/>
        <w:sz w:val="19"/>
        <w:szCs w:val="19"/>
      </w:rPr>
      <w:fldChar w:fldCharType="begin"/>
    </w:r>
    <w:r>
      <w:rPr>
        <w:rFonts w:eastAsia="Calibri" w:cs="Calibri"/>
        <w:i/>
        <w:iCs/>
        <w:color w:val="6B7280"/>
        <w:sz w:val="19"/>
        <w:szCs w:val="19"/>
      </w:rPr>
      <w:instrText xml:space="preserve"> NUMPAGES </w:instrText>
    </w:r>
    <w:r>
      <w:rPr>
        <w:rFonts w:eastAsia="Calibri" w:cs="Calibri"/>
        <w:i/>
        <w:iCs/>
        <w:color w:val="6B7280"/>
        <w:sz w:val="19"/>
        <w:szCs w:val="19"/>
      </w:rPr>
      <w:fldChar w:fldCharType="separate"/>
    </w:r>
    <w:r>
      <w:rPr>
        <w:rFonts w:eastAsia="Calibri" w:cs="Calibri"/>
        <w:i/>
        <w:iCs/>
        <w:color w:val="6B7280"/>
        <w:sz w:val="19"/>
        <w:szCs w:val="19"/>
      </w:rPr>
      <w:t>19</w:t>
    </w:r>
    <w:r>
      <w:rPr>
        <w:rFonts w:eastAsia="Calibri" w:cs="Calibri"/>
        <w:i/>
        <w:iCs/>
        <w:color w:val="6B7280"/>
        <w:sz w:val="19"/>
        <w:szCs w:val="19"/>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rFonts w:eastAsia="Calibri" w:cs="Calibri"/>
        <w:color w:val="6B7280"/>
        <w:sz w:val="16"/>
        <w:szCs w:val="16"/>
      </w:rPr>
      <w:t>AgriContract · Architecture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rFonts w:eastAsia="Calibri" w:cs="Calibri"/>
        <w:color w:val="6B7280"/>
        <w:sz w:val="16"/>
        <w:szCs w:val="16"/>
      </w:rPr>
      <w:t>AgriContract · Architecture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20"/>
      </w:pPr>
      <w:rPr>
        <w:rFonts w:ascii="Symbol" w:hAnsi="Symbol" w:cs="Symbol" w:hint="default"/>
        <w:color w:val="374151"/>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11827"/>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11827"/>
      <w:kern w:val="0"/>
      <w:sz w:val="21"/>
      <w:szCs w:val="21"/>
      <w:lang w:val="en-US" w:eastAsia="zh-CN" w:bidi="hi-IN"/>
    </w:rPr>
  </w:style>
  <w:style w:type="paragraph" w:styleId="Heading1">
    <w:name w:val="heading 1"/>
    <w:basedOn w:val="Heading"/>
    <w:qFormat/>
    <w:pPr>
      <w:outlineLvl w:val="0"/>
    </w:pPr>
    <w:rPr>
      <w:rFonts w:ascii="Calibri" w:hAnsi="Calibri" w:eastAsia="Calibri" w:cs="Calibri"/>
      <w:b/>
      <w:bCs/>
      <w:color w:val="1F2A37"/>
      <w:sz w:val="30"/>
      <w:szCs w:val="30"/>
    </w:rPr>
  </w:style>
  <w:style w:type="paragraph" w:styleId="Heading2">
    <w:name w:val="heading 2"/>
    <w:basedOn w:val="Heading"/>
    <w:qFormat/>
    <w:pPr>
      <w:outlineLvl w:val="1"/>
    </w:pPr>
    <w:rPr>
      <w:rFonts w:ascii="Calibri" w:hAnsi="Calibri" w:eastAsia="Calibri" w:cs="Calibri"/>
      <w:b/>
      <w:bCs/>
      <w:color w:val="1F2A37"/>
      <w:sz w:val="25"/>
      <w:szCs w:val="25"/>
    </w:rPr>
  </w:style>
  <w:style w:type="paragraph" w:styleId="Heading3">
    <w:name w:val="heading 3"/>
    <w:basedOn w:val="Heading"/>
    <w:qFormat/>
    <w:pPr>
      <w:outlineLvl w:val="2"/>
    </w:pPr>
    <w:rPr>
      <w:rFonts w:ascii="Calibri" w:hAnsi="Calibri" w:eastAsia="Calibri" w:cs="Calibri"/>
      <w:b/>
      <w:bCs/>
      <w:color w:val="374151"/>
      <w:sz w:val="22"/>
      <w:szCs w:val="22"/>
    </w:rPr>
  </w:style>
  <w:style w:type="paragraph" w:styleId="Heading4">
    <w:name w:val="heading 4"/>
    <w:basedOn w:val="Heading"/>
    <w:qFormat/>
    <w:pPr>
      <w:outlineLvl w:val="3"/>
    </w:pPr>
    <w:rPr>
      <w:rFonts w:ascii="Calibri" w:hAnsi="Calibri" w:eastAsia="Calibri" w:cs="Calibri"/>
      <w:b/>
      <w:bCs/>
      <w:color w:val="374151"/>
      <w:sz w:val="21"/>
      <w:szCs w:val="21"/>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11827"/>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11827"/>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2026-10-07T08:05:12Z</dcterms:created>
  <dc:creator>AgriContract</dc:creator>
  <dc:description/>
  <dc:language>en-US</dc:language>
  <cp:lastModifiedBy/>
  <dcterms:modified xsi:type="dcterms:W3CDTF">2026-10-07T15:05:14Z</dcterms:modified>
  <cp:revision>2</cp:revision>
  <dc:subject/>
  <dc:title>AgriContract — Kiến trúc hệ thống của đồ án — Final</dc:title>
</cp:coreProperties>
</file>