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libri" w:cs="Calibri" w:eastAsia="Calibri" w:hAnsi="Calibri"/>
          <w:b/>
          <w:bCs/>
          <w:color w:val="374151"/>
          <w:spacing w:val="60"/>
          <w:sz w:val="26"/>
          <w:szCs w:val="26"/>
        </w:rPr>
        <w:t xml:space="preserve">AGRICONTRACT</w:t>
      </w:r>
    </w:p>
    <w:p>
      <w:pPr>
        <w:pBdr>
          <w:bottom w:val="single" w:color="1F2A37" w:sz="8" w:space="8"/>
        </w:pBdr>
        <w:spacing w:after="60" w:before="120"/>
      </w:pPr>
      <w:r>
        <w:rPr>
          <w:rFonts w:ascii="Calibri" w:cs="Calibri" w:eastAsia="Calibri" w:hAnsi="Calibri"/>
          <w:b/>
          <w:bCs/>
          <w:color w:val="1F2A37"/>
          <w:sz w:val="44"/>
          <w:szCs w:val="44"/>
        </w:rPr>
        <w:t xml:space="preserve">Kiến Trúc Kỹ Thuật Hệ Thống</w:t>
      </w:r>
    </w:p>
    <w:p>
      <w:pPr>
        <w:spacing w:after="40" w:before="120"/>
      </w:pPr>
      <w:r>
        <w:rPr>
          <w:rFonts w:ascii="Calibri" w:cs="Calibri" w:eastAsia="Calibri" w:hAnsi="Calibri"/>
          <w:i/>
          <w:iCs/>
          <w:color w:val="374151"/>
          <w:sz w:val="23"/>
          <w:szCs w:val="23"/>
        </w:rPr>
        <w:t xml:space="preserve">Kiến trúc microservices hướng sự kiện cho nền tảng hợp đồng nông sản B2B — 12 dịch vụ, choreography saga, audit trail bất biến</w:t>
      </w:r>
    </w:p>
    <w:p>
      <w:pPr>
        <w:spacing w:before="240"/>
      </w:pPr>
      <w:r>
        <w:rPr>
          <w:rFonts w:ascii="Calibri" w:cs="Calibri" w:eastAsia="Calibri" w:hAnsi="Calibri"/>
          <w:color w:val="6B7280"/>
          <w:sz w:val="20"/>
          <w:szCs w:val="20"/>
        </w:rPr>
        <w:t xml:space="preserve">Tài liệu nội bộ — Đồ án Tốt nghiệp</w:t>
      </w:r>
    </w:p>
    <w:p>
      <w:pPr>
        <w:spacing w:after="0"/>
      </w:pPr>
      <w:r>
        <w:rPr>
          <w:rFonts w:ascii="Calibri" w:cs="Calibri" w:eastAsia="Calibri" w:hAnsi="Calibri"/>
          <w:color w:val="6B7280"/>
          <w:sz w:val="20"/>
          <w:szCs w:val="20"/>
        </w:rPr>
        <w:t xml:space="preserve">Phiên bản 2.0 · Tháng 7/2026</w:t>
      </w:r>
    </w:p>
    <w:p>
      <w:pPr>
        <w:spacing w:after="0" w:before="360"/>
      </w:pPr>
      <w:r>
        <w:br w:type="page"/>
      </w:r>
    </w:p>
    <w:p>
      <w:pPr>
        <w:spacing w:after="120"/>
      </w:pPr>
      <w:r>
        <w:rPr>
          <w:rFonts w:ascii="Calibri" w:cs="Calibri" w:eastAsia="Calibri" w:hAnsi="Calibri"/>
          <w:b/>
          <w:bCs/>
          <w:color w:val="1F2A37"/>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before="240"/>
      </w:pPr>
      <w:r>
        <w:br w:type="page"/>
      </w:r>
    </w:p>
    <w:p>
      <w:pPr>
        <w:pStyle w:val="Heading1"/>
        <w:pBdr>
          <w:bottom w:val="single" w:color="D1D5DB" w:sz="6" w:space="6"/>
        </w:pBdr>
        <w:spacing w:after="120" w:before="320"/>
      </w:pPr>
      <w:r>
        <w:rPr>
          <w:rFonts w:ascii="Calibri" w:cs="Calibri" w:eastAsia="Calibri" w:hAnsi="Calibri"/>
          <w:b/>
          <w:bCs/>
          <w:color w:val="1F2A37"/>
          <w:sz w:val="30"/>
          <w:szCs w:val="30"/>
        </w:rPr>
        <w:t xml:space="preserve">Tóm tắt điều hành</w:t>
      </w:r>
    </w:p>
    <w:p>
      <w:pPr>
        <w:spacing w:after="120" w:before="0" w:line="276"/>
        <w:jc w:val="both"/>
      </w:pPr>
      <w:r>
        <w:rPr>
          <w:rFonts w:ascii="Calibri" w:cs="Calibri" w:eastAsia="Calibri" w:hAnsi="Calibri"/>
          <w:b w:val="false"/>
          <w:bCs w:val="false"/>
          <w:i w:val="false"/>
          <w:iCs w:val="false"/>
          <w:color w:val="111827"/>
          <w:sz w:val="21"/>
          <w:szCs w:val="21"/>
        </w:rPr>
        <w:t xml:space="preserve">Hệ thống được xây dựng theo kiến trúc microservices, phân rã theo năng lực nghiệp vụ (business capability), gồm một API Gateway và 12 dịch vụ độc lập, mỗi dịch vụ sở hữu cơ sở dữ liệu riêng (database-per-service). Các dịch vụ giao tiếp chủ yếu qua sự kiện bất đồng bộ trên RabbitMQ theo mô hình choreography saga — không có orchestrator trung tâm — và chỉ dùng gọi đồng bộ (OpenFeign) cho các trường hợp cần phản hồi ngay.</w:t>
      </w:r>
    </w:p>
    <w:p>
      <w:pPr>
        <w:spacing w:after="120" w:before="0" w:line="276"/>
        <w:jc w:val="both"/>
      </w:pPr>
      <w:r>
        <w:rPr>
          <w:rFonts w:ascii="Calibri" w:cs="Calibri" w:eastAsia="Calibri" w:hAnsi="Calibri"/>
          <w:b w:val="false"/>
          <w:bCs w:val="false"/>
          <w:i w:val="false"/>
          <w:iCs w:val="false"/>
          <w:color w:val="111827"/>
          <w:sz w:val="21"/>
          <w:szCs w:val="21"/>
        </w:rPr>
        <w:t xml:space="preserve">Ba quyết định kiến trúc chi phối toàn hệ thống. Thứ nhất, tính nhất quán dữ liệu giữa các dịch vụ được đảm bảo bằng Transactional Outbox Pattern kết hợp idempotency, thay vì phân tán transaction — chấp nhận eventual consistency ở những nơi không thuộc đường tiền tệ tới hạn. Thứ hai, tiền tệ có single source of truth duy nhất tại bank-service (mô hình ledger gộp), các dịch vụ khác chỉ giữ trạng thái, không giữ lại con số tiền để tránh dual-write. Thứ ba, tính toàn vẹn bằng chứng được bảo vệ bằng chuỗi hash append-only nhiều lớp thay vì blockchain, phù hợp bối cảnh trusted-operator và ràng buộc thời gian/nhân lực của dự án.</w:t>
      </w:r>
    </w:p>
    <w:p>
      <w:pPr>
        <w:spacing w:after="120" w:before="0" w:line="276"/>
        <w:jc w:val="both"/>
      </w:pPr>
      <w:r>
        <w:rPr>
          <w:rFonts w:ascii="Calibri" w:cs="Calibri" w:eastAsia="Calibri" w:hAnsi="Calibri"/>
          <w:b w:val="false"/>
          <w:bCs w:val="false"/>
          <w:i w:val="false"/>
          <w:iCs w:val="false"/>
          <w:color w:val="111827"/>
          <w:sz w:val="21"/>
          <w:szCs w:val="21"/>
        </w:rPr>
        <w:t xml:space="preserve">Tài liệu này mô tả kiến trúc mục tiêu đầy đủ của hệ thống: nguyên tắc phân rã, chi tiết từng dịch vụ, cơ chế giao tiếp và đảm bảo nhất quán, event catalog, thiết kế cơ sở dữ liệu, luồng nghiệp vụ chính, mô hình bảo mật, hạ tầng triển khai, và các giới hạn kiến trúc có chủ đích.</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Ghi chú phạm vi. </w:t>
      </w:r>
      <w:r>
        <w:rPr>
          <w:rFonts w:ascii="Calibri" w:cs="Calibri" w:eastAsia="Calibri" w:hAnsi="Calibri"/>
          <w:color w:val="374151"/>
          <w:sz w:val="20"/>
          <w:szCs w:val="20"/>
        </w:rPr>
        <w:t xml:space="preserve">Lớp giữ tiền (bank-service) và một số tích hợp bên thứ ba (ngân hàng thật, đối tác tín dụng) được mô phỏng trong phạm vi đồ án, với ranh giới interface thiết kế sạch để tích hợp thật không đụng business logic. Chi tiết ở Mục 11.</w:t>
      </w:r>
    </w:p>
    <w:p>
      <w:pPr>
        <w:pStyle w:val="Heading1"/>
        <w:pBdr>
          <w:bottom w:val="single" w:color="D1D5DB" w:sz="6" w:space="6"/>
        </w:pBdr>
        <w:spacing w:after="120" w:before="320"/>
      </w:pPr>
      <w:r>
        <w:rPr>
          <w:rFonts w:ascii="Calibri" w:cs="Calibri" w:eastAsia="Calibri" w:hAnsi="Calibri"/>
          <w:b/>
          <w:bCs/>
          <w:color w:val="1F2A37"/>
          <w:sz w:val="30"/>
          <w:szCs w:val="30"/>
        </w:rPr>
        <w:t xml:space="preserve">1. Tổng quan kiến trúc</w:t>
      </w:r>
    </w:p>
    <w:p>
      <w:pPr>
        <w:pStyle w:val="Heading2"/>
        <w:spacing w:after="80" w:before="240"/>
      </w:pPr>
      <w:r>
        <w:rPr>
          <w:rFonts w:ascii="Calibri" w:cs="Calibri" w:eastAsia="Calibri" w:hAnsi="Calibri"/>
          <w:b/>
          <w:bCs/>
          <w:color w:val="1F2A37"/>
          <w:sz w:val="25"/>
          <w:szCs w:val="25"/>
        </w:rPr>
        <w:t xml:space="preserve">1.1 Nguyên tắc thiết kế</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7038"/>
      </w:tblGrid>
      <w:tr>
        <w:trPr>
          <w:tblHeader/>
        </w:trPr>
        <w:tc>
          <w:tcPr>
            <w:tcW w:type="dxa" w:w="26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Nguyên tắc</w:t>
            </w:r>
          </w:p>
        </w:tc>
        <w:tc>
          <w:tcPr>
            <w:tcW w:type="dxa" w:w="70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Áp dụng trong hệ thống</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Microservices phân rã theo business capability</w:t>
            </w:r>
          </w:p>
        </w:tc>
        <w:tc>
          <w:tcPr>
            <w:tcW w:type="dxa" w:w="7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Mỗi dịch vụ là một năng lực nghiệp vụ độc lập, triển khai và mở rộng riêng. Tránh nano-service (chia quá nhỏ) và god-service (gộp quá nhiều)</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Domain-Driven Design (DDD) tactical</w:t>
            </w:r>
          </w:p>
        </w:tc>
        <w:tc>
          <w:tcPr>
            <w:tcW w:type="dxa" w:w="7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 root với rich model — trạng thái chỉ đổi qua business method, không public setter. Ranh giới aggregate theo ranh giới transaction thật, không theo quan hệ dữ liệu</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Database-per-service</w:t>
            </w:r>
          </w:p>
        </w:tc>
        <w:tc>
          <w:tcPr>
            <w:tcW w:type="dxa" w:w="7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Mỗi dịch vụ sở hữu schema riêng; không dịch vụ nào truy cập DB của dịch vụ khác. Chia sẻ dữ liệu qua REST, event, hoặc denormalization lúc tạo bản ghi</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Choreography Saga (event-driven)</w:t>
            </w:r>
          </w:p>
        </w:tc>
        <w:tc>
          <w:tcPr>
            <w:tcW w:type="dxa" w:w="7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Giao dịch phân tán điều phối bằng chuỗi sự kiện, mỗi dịch vụ tự phản ứng — không orchestrator trung tâm. Bù trừ (compensation) qua event ngược</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Transactional Outbox + Idempotency</w:t>
            </w:r>
          </w:p>
        </w:tc>
        <w:tc>
          <w:tcPr>
            <w:tcW w:type="dxa" w:w="7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Đảm bảo at-least-once delivery mà không mất/nhân đôi tác dụng; consumer khử trùng lặp bằng khoá idempotency</w:t>
            </w:r>
          </w:p>
        </w:tc>
      </w:tr>
    </w:tbl>
    <w:p>
      <w:pPr>
        <w:pStyle w:val="Heading2"/>
        <w:spacing w:after="80" w:before="240"/>
      </w:pPr>
      <w:r>
        <w:rPr>
          <w:rFonts w:ascii="Calibri" w:cs="Calibri" w:eastAsia="Calibri" w:hAnsi="Calibri"/>
          <w:b/>
          <w:bCs/>
          <w:color w:val="1F2A37"/>
          <w:sz w:val="25"/>
          <w:szCs w:val="25"/>
        </w:rPr>
        <w:t xml:space="preserve">1.2 Sơ đồ thành phần tổng thể</w:t>
      </w:r>
    </w:p>
    <w:p>
      <w:pPr>
        <w:spacing w:after="120" w:before="0" w:line="276"/>
        <w:jc w:val="both"/>
      </w:pPr>
      <w:r>
        <w:rPr>
          <w:rFonts w:ascii="Calibri" w:cs="Calibri" w:eastAsia="Calibri" w:hAnsi="Calibri"/>
          <w:b w:val="false"/>
          <w:bCs w:val="false"/>
          <w:i w:val="false"/>
          <w:iCs w:val="false"/>
          <w:color w:val="111827"/>
          <w:sz w:val="21"/>
          <w:szCs w:val="21"/>
        </w:rPr>
        <w:t xml:space="preserve">Hệ thống chia thành bốn lớp theo hướng đi của một request từ ngoài vào:</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Lớp biên (edge): </w:t>
      </w:r>
      <w:r>
        <w:rPr>
          <w:rFonts w:ascii="Calibri" w:cs="Calibri" w:eastAsia="Calibri" w:hAnsi="Calibri"/>
          <w:b w:val="false"/>
          <w:bCs w:val="false"/>
          <w:i w:val="false"/>
          <w:iCs w:val="false"/>
          <w:color w:val="111827"/>
          <w:sz w:val="21"/>
          <w:szCs w:val="21"/>
        </w:rPr>
        <w:t xml:space="preserve">Nginx reverse proxy (rate limit per IP) đứng trước API Gateway — là điểm vào duy nhất từ bên ngoài.</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Lớp cổng (gateway): </w:t>
      </w:r>
      <w:r>
        <w:rPr>
          <w:rFonts w:ascii="Calibri" w:cs="Calibri" w:eastAsia="Calibri" w:hAnsi="Calibri"/>
          <w:b w:val="false"/>
          <w:bCs w:val="false"/>
          <w:i w:val="false"/>
          <w:iCs w:val="false"/>
          <w:color w:val="111827"/>
          <w:sz w:val="21"/>
          <w:szCs w:val="21"/>
        </w:rPr>
        <w:t xml:space="preserve">API Gateway validate JWT qua Keycloak JWKS, định tuyến tới dịch vụ nội bộ, và tiêm định danh người dùng đã xác thực xuống downstream.</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Lớp dịch vụ (services): </w:t>
      </w:r>
      <w:r>
        <w:rPr>
          <w:rFonts w:ascii="Calibri" w:cs="Calibri" w:eastAsia="Calibri" w:hAnsi="Calibri"/>
          <w:b w:val="false"/>
          <w:bCs w:val="false"/>
          <w:i w:val="false"/>
          <w:iCs w:val="false"/>
          <w:color w:val="111827"/>
          <w:sz w:val="21"/>
          <w:szCs w:val="21"/>
        </w:rPr>
        <w:t xml:space="preserve">12 dịch vụ nghiệp vụ giao tiếp với nhau qua RabbitMQ (async) và OpenFeign (sync), mỗi dịch vụ có MySQL riêng.</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Lớp hạ tầng dùng chung (infrastructure): </w:t>
      </w:r>
      <w:r>
        <w:rPr>
          <w:rFonts w:ascii="Calibri" w:cs="Calibri" w:eastAsia="Calibri" w:hAnsi="Calibri"/>
          <w:b w:val="false"/>
          <w:bCs w:val="false"/>
          <w:i w:val="false"/>
          <w:iCs w:val="false"/>
          <w:color w:val="111827"/>
          <w:sz w:val="21"/>
          <w:szCs w:val="21"/>
        </w:rPr>
        <w:t xml:space="preserve">Keycloak (IAM), RabbitMQ (message broker), MinIO (object storage), Redis (cache/pub-sub), SendGrid (email/inbound parse).</w:t>
      </w:r>
    </w:p>
    <w:p>
      <w:pPr>
        <w:pStyle w:val="Heading1"/>
        <w:pBdr>
          <w:bottom w:val="single" w:color="D1D5DB" w:sz="6" w:space="6"/>
        </w:pBdr>
        <w:spacing w:after="120" w:before="320"/>
      </w:pPr>
      <w:r>
        <w:rPr>
          <w:rFonts w:ascii="Calibri" w:cs="Calibri" w:eastAsia="Calibri" w:hAnsi="Calibri"/>
          <w:b/>
          <w:bCs/>
          <w:color w:val="1F2A37"/>
          <w:sz w:val="30"/>
          <w:szCs w:val="30"/>
        </w:rPr>
        <w:t xml:space="preserve">2. Phân rã dịch vụ</w:t>
      </w:r>
    </w:p>
    <w:p>
      <w:pPr>
        <w:spacing w:after="120" w:before="0" w:line="276"/>
        <w:jc w:val="both"/>
      </w:pPr>
      <w:r>
        <w:rPr>
          <w:rFonts w:ascii="Calibri" w:cs="Calibri" w:eastAsia="Calibri" w:hAnsi="Calibri"/>
          <w:b w:val="false"/>
          <w:bCs w:val="false"/>
          <w:i w:val="false"/>
          <w:iCs w:val="false"/>
          <w:color w:val="111827"/>
          <w:sz w:val="21"/>
          <w:szCs w:val="21"/>
        </w:rPr>
        <w:t xml:space="preserve">Áp dụng nguyên tắc “Decompose by Business Capability” (Chris Richardson, Microservices Patterns): mỗi dịch vụ tương ứng một năng lực nghiệp vụ độc lập, với kiểu DDD (Core / Supporting / Generic) phản ánh mức độ khác biệt cạnh tranh của năng lực đó.</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2300"/>
        <w:gridCol w:w="900"/>
        <w:gridCol w:w="5638"/>
      </w:tblGrid>
      <w:tr>
        <w:trPr>
          <w:tblHeader/>
        </w:trPr>
        <w:tc>
          <w:tcPr>
            <w:tcW w:type="dxa" w:w="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w:t>
            </w:r>
          </w:p>
        </w:tc>
        <w:tc>
          <w:tcPr>
            <w:tcW w:type="dxa" w:w="23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Dịch vụ</w:t>
            </w:r>
          </w:p>
        </w:tc>
        <w:tc>
          <w:tcPr>
            <w:tcW w:type="dxa" w:w="9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Port</w:t>
            </w:r>
          </w:p>
        </w:tc>
        <w:tc>
          <w:tcPr>
            <w:tcW w:type="dxa" w:w="56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Năng lực nghiệp vụ · Kiểu DDD</w:t>
            </w:r>
          </w:p>
        </w:tc>
      </w:tr>
      <w:tr>
        <w:tc>
          <w:tcPr>
            <w:tcW w:type="dxa" w:w="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user-service</w:t>
            </w:r>
          </w:p>
        </w:tc>
        <w:tc>
          <w:tcPr>
            <w:tcW w:type="dxa" w:w="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8081</w:t>
            </w:r>
          </w:p>
        </w:tc>
        <w:tc>
          <w:tcPr>
            <w:tcW w:type="dxa" w:w="56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Định danh, KYC, xác minh thẩm quyền đại diện, enforce khoá tài khoản · Generic</w:t>
            </w:r>
          </w:p>
        </w:tc>
      </w:tr>
      <w:tr>
        <w:tc>
          <w:tcPr>
            <w:tcW w:type="dxa" w:w="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2</w:t>
            </w:r>
          </w:p>
        </w:tc>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product-service</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8082</w:t>
            </w:r>
          </w:p>
        </w:tc>
        <w:tc>
          <w:tcPr>
            <w:tcW w:type="dxa" w:w="56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Catalog, listing, geolocation mảnh đất cho EUDR · Supporting</w:t>
            </w:r>
          </w:p>
        </w:tc>
      </w:tr>
      <w:tr>
        <w:tc>
          <w:tcPr>
            <w:tcW w:type="dxa" w:w="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3</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contract-service</w:t>
            </w:r>
          </w:p>
        </w:tc>
        <w:tc>
          <w:tcPr>
            <w:tcW w:type="dxa" w:w="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8083</w:t>
            </w:r>
          </w:p>
        </w:tc>
        <w:tc>
          <w:tcPr>
            <w:tcW w:type="dxa" w:w="56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Vòng đời hợp đồng, milestone, chữ ký điện tử · Core</w:t>
            </w:r>
          </w:p>
        </w:tc>
      </w:tr>
      <w:tr>
        <w:tc>
          <w:tcPr>
            <w:tcW w:type="dxa" w:w="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4</w:t>
            </w:r>
          </w:p>
        </w:tc>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escrow-service</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8084</w:t>
            </w:r>
          </w:p>
        </w:tc>
        <w:tc>
          <w:tcPr>
            <w:tcW w:type="dxa" w:w="56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Logic khoá/giải ngân ký quỹ theo đợt · Core</w:t>
            </w:r>
          </w:p>
        </w:tc>
      </w:tr>
      <w:tr>
        <w:tc>
          <w:tcPr>
            <w:tcW w:type="dxa" w:w="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5</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notification-service</w:t>
            </w:r>
          </w:p>
        </w:tc>
        <w:tc>
          <w:tcPr>
            <w:tcW w:type="dxa" w:w="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8085</w:t>
            </w:r>
          </w:p>
        </w:tc>
        <w:tc>
          <w:tcPr>
            <w:tcW w:type="dxa" w:w="56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Thông báo hướng sự kiện, OTP email, neo hash · Generic</w:t>
            </w:r>
          </w:p>
        </w:tc>
      </w:tr>
      <w:tr>
        <w:tc>
          <w:tcPr>
            <w:tcW w:type="dxa" w:w="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6</w:t>
            </w:r>
          </w:p>
        </w:tc>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bank-service</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8086</w:t>
            </w:r>
          </w:p>
        </w:tc>
        <w:tc>
          <w:tcPr>
            <w:tcW w:type="dxa" w:w="56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Giữ tiền hợp pháp (mock), ledger gộp · Core</w:t>
            </w:r>
          </w:p>
        </w:tc>
      </w:tr>
      <w:tr>
        <w:tc>
          <w:tcPr>
            <w:tcW w:type="dxa" w:w="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7</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inspection-service</w:t>
            </w:r>
          </w:p>
        </w:tc>
        <w:tc>
          <w:tcPr>
            <w:tcW w:type="dxa" w:w="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8087</w:t>
            </w:r>
          </w:p>
        </w:tc>
        <w:tc>
          <w:tcPr>
            <w:tcW w:type="dxa" w:w="56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Giám định độc lập 3 cấp, evidence bất biến · Supporting</w:t>
            </w:r>
          </w:p>
        </w:tc>
      </w:tr>
      <w:tr>
        <w:tc>
          <w:tcPr>
            <w:tcW w:type="dxa" w:w="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8</w:t>
            </w:r>
          </w:p>
        </w:tc>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reputation-service</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8088</w:t>
            </w:r>
          </w:p>
        </w:tc>
        <w:tc>
          <w:tcPr>
            <w:tcW w:type="dxa" w:w="56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Sổ khoá bất biến + điểm uy tín + tham chiếu tín dụng · Supporting</w:t>
            </w:r>
          </w:p>
        </w:tc>
      </w:tr>
      <w:tr>
        <w:tc>
          <w:tcPr>
            <w:tcW w:type="dxa" w:w="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9</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file-service</w:t>
            </w:r>
          </w:p>
        </w:tc>
        <w:tc>
          <w:tcPr>
            <w:tcW w:type="dxa" w:w="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8089</w:t>
            </w:r>
          </w:p>
        </w:tc>
        <w:tc>
          <w:tcPr>
            <w:tcW w:type="dxa" w:w="56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Lưu trữ file tập trung, xử lý async · Generic</w:t>
            </w:r>
          </w:p>
        </w:tc>
      </w:tr>
      <w:tr>
        <w:tc>
          <w:tcPr>
            <w:tcW w:type="dxa" w:w="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10</w:t>
            </w:r>
          </w:p>
        </w:tc>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pricing-service</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8091</w:t>
            </w:r>
          </w:p>
        </w:tc>
        <w:tc>
          <w:tcPr>
            <w:tcW w:type="dxa" w:w="56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Cache giá tham chiếu nông sản từ nguồn ngoài · Supporting</w:t>
            </w:r>
          </w:p>
        </w:tc>
      </w:tr>
      <w:tr>
        <w:tc>
          <w:tcPr>
            <w:tcW w:type="dxa" w:w="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11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audit-service</w:t>
            </w:r>
          </w:p>
        </w:tc>
        <w:tc>
          <w:tcPr>
            <w:tcW w:type="dxa" w:w="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8092</w:t>
            </w:r>
          </w:p>
        </w:tc>
        <w:tc>
          <w:tcPr>
            <w:tcW w:type="dxa" w:w="56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Chuỗi hash bất biến, neo Bitcoin, xuất báo cáo EUDR · Core</w:t>
            </w:r>
          </w:p>
        </w:tc>
      </w:tr>
      <w:tr>
        <w:tc>
          <w:tcPr>
            <w:tcW w:type="dxa" w:w="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12</w:t>
            </w:r>
          </w:p>
        </w:tc>
        <w:tc>
          <w:tcPr>
            <w:tcW w:type="dxa" w:w="2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analytics-service</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8093</w:t>
            </w:r>
          </w:p>
        </w:tc>
        <w:tc>
          <w:tcPr>
            <w:tcW w:type="dxa" w:w="56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Read model CQRS, tổng hợp time-series · Generic</w:t>
            </w:r>
          </w:p>
        </w:tc>
      </w:tr>
    </w:tbl>
    <w:p>
      <w:pPr>
        <w:spacing w:after="120" w:before="0" w:line="276"/>
        <w:jc w:val="both"/>
      </w:pPr>
      <w:r>
        <w:rPr>
          <w:rFonts w:ascii="Calibri" w:cs="Calibri" w:eastAsia="Calibri" w:hAnsi="Calibri"/>
          <w:b/>
          <w:bCs/>
          <w:i w:val="false"/>
          <w:iCs w:val="false"/>
          <w:color w:val="111827"/>
          <w:sz w:val="21"/>
          <w:szCs w:val="21"/>
        </w:rPr>
        <w:t xml:space="preserve">Ranh giới tìm kiếm/lọc listing. </w:t>
      </w:r>
      <w:r>
        <w:rPr>
          <w:rFonts w:ascii="Calibri" w:cs="Calibri" w:eastAsia="Calibri" w:hAnsi="Calibri"/>
          <w:b w:val="false"/>
          <w:bCs w:val="false"/>
          <w:i w:val="false"/>
          <w:iCs w:val="false"/>
          <w:color w:val="111827"/>
          <w:sz w:val="21"/>
          <w:szCs w:val="21"/>
        </w:rPr>
        <w:t xml:space="preserve">Chức năng này nằm trong product-service dưới dạng hai tham số filter — truy vấn đọc đơn giản chạy trực tiếp trên dữ liệu listing, không phát sinh read model hoặc cơ chế đồng bộ riêng.</w:t>
      </w:r>
    </w:p>
    <w:p>
      <w:pPr>
        <w:spacing w:after="120" w:before="0" w:line="276"/>
        <w:jc w:val="both"/>
      </w:pPr>
      <w:r>
        <w:rPr>
          <w:rFonts w:ascii="Calibri" w:cs="Calibri" w:eastAsia="Calibri" w:hAnsi="Calibri"/>
          <w:b/>
          <w:bCs/>
          <w:i w:val="false"/>
          <w:iCs w:val="false"/>
          <w:color w:val="111827"/>
          <w:sz w:val="21"/>
          <w:szCs w:val="21"/>
        </w:rPr>
        <w:t xml:space="preserve">Vì sao tách contract-service và escrow-service. </w:t>
      </w:r>
      <w:r>
        <w:rPr>
          <w:rFonts w:ascii="Calibri" w:cs="Calibri" w:eastAsia="Calibri" w:hAnsi="Calibri"/>
          <w:b w:val="false"/>
          <w:bCs w:val="false"/>
          <w:i w:val="false"/>
          <w:iCs w:val="false"/>
          <w:color w:val="111827"/>
          <w:sz w:val="21"/>
          <w:szCs w:val="21"/>
        </w:rPr>
        <w:t xml:space="preserve">Hai năng lực này có độ thay đổi (rate of change) khác nhau: contract-service là business logic thuần về trạng thái giao hàng, escrow-service là financial operation với yêu cầu audit riêng. Ranh giới rõ ràng: contract-service quản lý trạng thái giao hàng, escrow-service quản lý tiền — không lẫn hai domain.</w:t>
      </w:r>
    </w:p>
    <w:p>
      <w:pPr>
        <w:pStyle w:val="Heading1"/>
        <w:pBdr>
          <w:bottom w:val="single" w:color="D1D5DB" w:sz="6" w:space="6"/>
        </w:pBdr>
        <w:spacing w:after="120" w:before="320"/>
      </w:pPr>
      <w:r>
        <w:rPr>
          <w:rFonts w:ascii="Calibri" w:cs="Calibri" w:eastAsia="Calibri" w:hAnsi="Calibri"/>
          <w:b/>
          <w:bCs/>
          <w:color w:val="1F2A37"/>
          <w:sz w:val="30"/>
          <w:szCs w:val="30"/>
        </w:rPr>
        <w:t xml:space="preserve">3. Chi tiết từng dịch vụ</w:t>
      </w:r>
    </w:p>
    <w:p>
      <w:pPr>
        <w:pStyle w:val="Heading2"/>
        <w:spacing w:after="80" w:before="240"/>
      </w:pPr>
      <w:r>
        <w:rPr>
          <w:rFonts w:ascii="Calibri" w:cs="Calibri" w:eastAsia="Calibri" w:hAnsi="Calibri"/>
          <w:b/>
          <w:bCs/>
          <w:color w:val="1F2A37"/>
          <w:sz w:val="25"/>
          <w:szCs w:val="25"/>
        </w:rPr>
        <w:t xml:space="preserve">3.1 user-service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38"/>
      </w:tblGrid>
      <w:tr>
        <w:trPr>
          <w:tblHeader/>
        </w:trPr>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Thuộc tính</w:t>
            </w:r>
          </w:p>
        </w:tc>
        <w:tc>
          <w:tcPr>
            <w:tcW w:type="dxa" w:w="75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Giá trị</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Port · DB</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8081 · user_db</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Trách nhiệm</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Cầu nối định danh với Keycloak; quản lý profile tổ chức; xác minh thẩm quyền đại diện; enforce khoá tài khoản theo quyết định của reputation-service</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UserProfile (Keycloak sub, organizationName, role, verificationStatus, authorizationExpiresAt, lockedUntil, KYC audit metadata)</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Vai trò Keycloak</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SELLER, BUYER, ADMIN, INSPECTOR</w:t>
            </w:r>
          </w:p>
        </w:tc>
      </w:tr>
    </w:tbl>
    <w:p>
      <w:pPr>
        <w:spacing w:after="120" w:before="0" w:line="276"/>
        <w:jc w:val="both"/>
      </w:pPr>
      <w:r>
        <w:rPr>
          <w:rFonts w:ascii="Calibri" w:cs="Calibri" w:eastAsia="Calibri" w:hAnsi="Calibri"/>
          <w:b w:val="false"/>
          <w:bCs w:val="false"/>
          <w:i w:val="false"/>
          <w:iCs w:val="false"/>
          <w:color w:val="111827"/>
          <w:sz w:val="21"/>
          <w:szCs w:val="21"/>
        </w:rPr>
        <w:t xml:space="preserve">user-service không lưu credentials (Keycloak giữ) và không sở hữu Signature (Signature là VO của Contract trong contract-service). Dịch vụ chỉ giữ profile, KYC/thẩm quyền và cache lockedUntil từ reputation events. Xác minh áp dụng đối xứng buyer/seller, fail-closed; authorizationExpiresAt nhập từ giấy thật, không hardcode. API tách rõ /users/me (contact đầy đủ), /users/{id} (không email/phone/address) và /internal/v1/users/{id} cho service-to-service; Gateway tuyệt đối không route /internal/**.</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BLDS 2015, Điều 142. </w:t>
      </w:r>
      <w:r>
        <w:rPr>
          <w:rFonts w:ascii="Calibri" w:cs="Calibri" w:eastAsia="Calibri" w:hAnsi="Calibri"/>
          <w:color w:val="374151"/>
          <w:sz w:val="20"/>
          <w:szCs w:val="20"/>
        </w:rPr>
        <w:t xml:space="preserve">Giao dịch do người không có thẩm quyền đại diện xác lập có thể bị tuyên vô hiệu. Việc gate xác minh thẩm quyền ký kết trước khi kích hoạt tài khoản là biện pháp kiến trúc trực tiếp chống rủi ro hợp đồng vô hiệu.</w:t>
      </w:r>
    </w:p>
    <w:p>
      <w:pPr>
        <w:pStyle w:val="Heading2"/>
        <w:spacing w:after="80" w:before="240"/>
      </w:pPr>
      <w:r>
        <w:rPr>
          <w:rFonts w:ascii="Calibri" w:cs="Calibri" w:eastAsia="Calibri" w:hAnsi="Calibri"/>
          <w:b/>
          <w:bCs/>
          <w:color w:val="1F2A37"/>
          <w:sz w:val="25"/>
          <w:szCs w:val="25"/>
        </w:rPr>
        <w:t xml:space="preserve">3.2 product-service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38"/>
      </w:tblGrid>
      <w:tr>
        <w:trPr>
          <w:tblHeader/>
        </w:trPr>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Thuộc tính</w:t>
            </w:r>
          </w:p>
        </w:tc>
        <w:tc>
          <w:tcPr>
            <w:tcW w:type="dxa" w:w="75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Giá trị</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Port · DB</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8082 · product_db</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Trách nhiệm</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Catalog sản phẩm; listing; geolocation mảnh đất phục vụ EUDR; lọc/tìm listing (2 tham số filter)</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Product (+ varietyName, ProductPlot VO list), Listing, PlotRegistryEntry (aggregate nhỏ độc lập, thuộc seller, tái sử dụng)</w:t>
            </w:r>
          </w:p>
        </w:tc>
      </w:tr>
    </w:tbl>
    <w:p>
      <w:pPr>
        <w:spacing w:after="120" w:before="0" w:line="276"/>
        <w:jc w:val="both"/>
      </w:pPr>
      <w:r>
        <w:rPr>
          <w:rFonts w:ascii="Calibri" w:cs="Calibri" w:eastAsia="Calibri" w:hAnsi="Calibri"/>
          <w:b w:val="false"/>
          <w:bCs w:val="false"/>
          <w:i w:val="false"/>
          <w:iCs w:val="false"/>
          <w:color w:val="111827"/>
          <w:sz w:val="21"/>
          <w:szCs w:val="21"/>
        </w:rPr>
        <w:t xml:space="preserve">Điểm thiết kế cốt lõi là geolocation cho EUDR. Vì EUDR cấm mass balance, bằng chứng nguồn gốc phải khai đủ toàn bộ mảnh đất của từng hộ đóng góp vào lô hàng — nên geolocation là một mảng plot, không phải một cặp toạ độ đơn. Khai báo đất được tách khỏi việc tạo listing: mỗi hộ đăng ký mảnh đất một lần vào PlotRegistryEntry (thuộc seller), tái sử dụng cho mọi listing sau; lúc tạo listing chỉ chọn từ registry và snapshot sang ProductPlot (cùng nguyên tắc snapshot bất biến như điều khoản hợp đồng).</w:t>
      </w:r>
    </w:p>
    <w:p>
      <w:pPr>
        <w:spacing w:after="120" w:before="0" w:line="276"/>
        <w:jc w:val="both"/>
      </w:pPr>
      <w:r>
        <w:rPr>
          <w:rFonts w:ascii="Calibri" w:cs="Calibri" w:eastAsia="Calibri" w:hAnsi="Calibri"/>
          <w:b/>
          <w:bCs/>
          <w:i w:val="false"/>
          <w:iCs w:val="false"/>
          <w:color w:val="111827"/>
          <w:sz w:val="21"/>
          <w:szCs w:val="21"/>
        </w:rPr>
        <w:t xml:space="preserve">Kiểu dữ liệu không gian. </w:t>
      </w:r>
      <w:r>
        <w:rPr>
          <w:rFonts w:ascii="Calibri" w:cs="Calibri" w:eastAsia="Calibri" w:hAnsi="Calibri"/>
          <w:b w:val="false"/>
          <w:bCs w:val="false"/>
          <w:i w:val="false"/>
          <w:iCs w:val="false"/>
          <w:color w:val="111827"/>
          <w:sz w:val="21"/>
          <w:szCs w:val="21"/>
        </w:rPr>
        <w:t xml:space="preserve">Toạ độ lưu ở kiểu GEOMETRY (SRID 4326) thay vì TEXT — DB tự chặn sai cú pháp/ring hở; lỗi self-intersection chặn ở tầng ứng dụng qua JTS .isValid(). Đường nhập liệu chính là import KML (khớp thực tế cán bộ địa chính đã đo GPS sẵn); pin thủ công chỉ là fallback, giới hạn cứng ở POINT. Cross-check tỉnh (khai độc lập vs suy từ toạ độ) cảnh báo lỗi convert VN2000→WGS84, non-blocking.</w:t>
      </w:r>
    </w:p>
    <w:p>
      <w:pPr>
        <w:pStyle w:val="Heading2"/>
        <w:spacing w:after="80" w:before="240"/>
      </w:pPr>
      <w:r>
        <w:rPr>
          <w:rFonts w:ascii="Calibri" w:cs="Calibri" w:eastAsia="Calibri" w:hAnsi="Calibri"/>
          <w:b/>
          <w:bCs/>
          <w:color w:val="1F2A37"/>
          <w:sz w:val="25"/>
          <w:szCs w:val="25"/>
        </w:rPr>
        <w:t xml:space="preserve">3.3 contract-service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38"/>
      </w:tblGrid>
      <w:tr>
        <w:trPr>
          <w:tblHeader/>
        </w:trPr>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Thuộc tính</w:t>
            </w:r>
          </w:p>
        </w:tc>
        <w:tc>
          <w:tcPr>
            <w:tcW w:type="dxa" w:w="75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Giá trị</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Port · DB</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8083 · contract_db</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Trách nhiệm</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Vòng đời hợp đồng (state machine), milestone, chữ ký điện tử, nguồn hash nội dung hợp đồng</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 (rich model, ContractTerms VO + milestoneSchedule, Signature VO); Milestone (aggregate riêng, cùng service/DB)</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Publishes</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contract.signed, contract.settled, contract.cancelled, milestone.* (weighed / confirmed / settled / cancelled_with_penalty / force_majeure_* / dispute_resolved)</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Consumes</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escrow.deposit_locked (SIGNED → ACTIVE, cả buyerDepositRate + sellerDepositRate nếu có đã khoá xong)</w:t>
            </w:r>
          </w:p>
        </w:tc>
      </w:tr>
    </w:tbl>
    <w:p>
      <w:pPr>
        <w:spacing w:after="120" w:before="0" w:line="276"/>
        <w:jc w:val="both"/>
      </w:pPr>
      <w:r>
        <w:rPr>
          <w:rFonts w:ascii="Calibri" w:cs="Calibri" w:eastAsia="Calibri" w:hAnsi="Calibri"/>
          <w:b w:val="false"/>
          <w:bCs w:val="false"/>
          <w:i w:val="false"/>
          <w:iCs w:val="false"/>
          <w:color w:val="111827"/>
          <w:sz w:val="21"/>
          <w:szCs w:val="21"/>
        </w:rPr>
        <w:t xml:space="preserve">Đây là dịch vụ phức tạp nhất (Core domain). Milestone là aggregate riêng chứ không phải entity con của Contract: milestone thứ 3 quyết toán không cần atomic cùng lúc với các milestone khác — chúng độc lập về nghiệp vụ, nhét chung một aggregate là nhầm quan hệ khoá ngoại với ranh giới transaction thật cần thiết (nguyên tắc Effective Aggregate Design — Vernon).</w:t>
      </w:r>
    </w:p>
    <w:p>
      <w:pPr>
        <w:spacing w:after="120" w:before="0" w:line="276"/>
        <w:jc w:val="both"/>
      </w:pPr>
      <w:r>
        <w:rPr>
          <w:rFonts w:ascii="Calibri" w:cs="Calibri" w:eastAsia="Calibri" w:hAnsi="Calibri"/>
          <w:b/>
          <w:bCs/>
          <w:i w:val="false"/>
          <w:iCs w:val="false"/>
          <w:color w:val="111827"/>
          <w:sz w:val="21"/>
          <w:szCs w:val="21"/>
        </w:rPr>
        <w:t xml:space="preserve">SIGNED ≠ mốc tiền. </w:t>
      </w:r>
      <w:r>
        <w:rPr>
          <w:rFonts w:ascii="Calibri" w:cs="Calibri" w:eastAsia="Calibri" w:hAnsi="Calibri"/>
          <w:b w:val="false"/>
          <w:bCs w:val="false"/>
          <w:i w:val="false"/>
          <w:iCs w:val="false"/>
          <w:color w:val="111827"/>
          <w:sz w:val="21"/>
          <w:szCs w:val="21"/>
        </w:rPr>
        <w:t xml:space="preserve">SIGNED là mốc chữ ký (đủ 2 chữ ký hợp lệ), độc lập với tiền. ACTIVE mới là mốc tiền — chỉ đạt khi escrow.deposit_locked về tới nơi (cọc đã khoá thành công ở bank-service). Nếu lock cọc fail, Contract kẹt ở SIGNED chưa ACTIVE — nhánh retry/rollback cần định nghĩa lúc implement.</w:t>
      </w:r>
    </w:p>
    <w:p>
      <w:pPr>
        <w:spacing w:after="120" w:before="0" w:line="276"/>
        <w:jc w:val="both"/>
      </w:pPr>
      <w:r>
        <w:rPr>
          <w:rFonts w:ascii="Calibri" w:cs="Calibri" w:eastAsia="Calibri" w:hAnsi="Calibri"/>
          <w:b/>
          <w:bCs/>
          <w:i w:val="false"/>
          <w:iCs w:val="false"/>
          <w:color w:val="111827"/>
          <w:sz w:val="21"/>
          <w:szCs w:val="21"/>
        </w:rPr>
        <w:t xml:space="preserve">Đồng bộ Milestone → Contract bằng Local Outbox. </w:t>
      </w:r>
      <w:r>
        <w:rPr>
          <w:rFonts w:ascii="Calibri" w:cs="Calibri" w:eastAsia="Calibri" w:hAnsi="Calibri"/>
          <w:b w:val="false"/>
          <w:bCs w:val="false"/>
          <w:i w:val="false"/>
          <w:iCs w:val="false"/>
          <w:color w:val="111827"/>
          <w:sz w:val="21"/>
          <w:szCs w:val="21"/>
        </w:rPr>
        <w:t xml:space="preserve">Khi milestone cuối quyết toán, Contract phải chuyển SETTLED. Dùng Spring ApplicationEvent nội bộ có một bug thật: nếu app crash sau khi milestone commit nhưng trước khi listener chạy, event bay mất — ApplicationEvent không có retry mặc định — và Contract kẹt vĩnh viễn ở ACTIVE mà không có exception nào báo. Thay bằng Local Outbox: mỗi lần milestone quyết toán, ghi một row outbox trong cùng transaction; một @Scheduled poller đọc row chưa xử lý, kiểm tra điều kiện “mọi milestone đã SETTLED” rồi gọi completeAllMilestones(). At-least-once, không mất, không qua network hop (khác với Outbox Pattern qua RabbitMQ).</w:t>
      </w:r>
    </w:p>
    <w:p>
      <w:pPr>
        <w:spacing w:after="120" w:before="0" w:line="276"/>
        <w:jc w:val="both"/>
      </w:pPr>
      <w:r>
        <w:rPr>
          <w:rFonts w:ascii="Calibri" w:cs="Calibri" w:eastAsia="Calibri" w:hAnsi="Calibri"/>
          <w:b/>
          <w:bCs/>
          <w:i w:val="false"/>
          <w:iCs w:val="false"/>
          <w:color w:val="111827"/>
          <w:sz w:val="21"/>
          <w:szCs w:val="21"/>
        </w:rPr>
        <w:t xml:space="preserve">Chữ ký điện tử. </w:t>
      </w:r>
      <w:r>
        <w:rPr>
          <w:rFonts w:ascii="Calibri" w:cs="Calibri" w:eastAsia="Calibri" w:hAnsi="Calibri"/>
          <w:b w:val="false"/>
          <w:bCs w:val="false"/>
          <w:i w:val="false"/>
          <w:iCs w:val="false"/>
          <w:color w:val="111827"/>
          <w:sz w:val="21"/>
          <w:szCs w:val="21"/>
        </w:rPr>
        <w:t xml:space="preserve">Signature là value object trong Contract (sống/chết cùng hợp đồng). Ràng buộc UNIQUE(contractId, signerRole) thay cho hai cờ riêng; Contract chuyển SIGNED khi đủ hai dòng BUYER + SELLER. Sole control đảm bảo qua step-up re-auth lúc bấm “Ký” (session freshness signatureAuthMaxAgeSeconds = 300s) cộng OTP email — hai yếu tố knowledge-based + possession-based.</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Luật GDĐT 2023, Điều 22–23. </w:t>
      </w:r>
      <w:r>
        <w:rPr>
          <w:rFonts w:ascii="Calibri" w:cs="Calibri" w:eastAsia="Calibri" w:hAnsi="Calibri"/>
          <w:color w:val="374151"/>
          <w:sz w:val="20"/>
          <w:szCs w:val="20"/>
        </w:rPr>
        <w:t xml:space="preserve">Chữ ký JWT/OTP thuộc chữ ký điện tử cơ bản — không bị phủ nhận giá trị pháp lý (Điều 23 khoản 1) nhưng không tương đương chữ ký tay (khoản 2, cần chứng thư CA). Hợp đồng vẫn có hiệu lực đầy đủ (Điều 34–36 tách biệt khỏi loại chữ ký); khác biệt nằm ở gánh nặng chứng minh — được bù bằng audit trail và hash.</w:t>
      </w:r>
    </w:p>
    <w:p>
      <w:pPr>
        <w:spacing w:after="120" w:before="0" w:line="276"/>
        <w:jc w:val="both"/>
      </w:pPr>
      <w:r>
        <w:rPr>
          <w:rFonts w:ascii="Calibri" w:cs="Calibri" w:eastAsia="Calibri" w:hAnsi="Calibri"/>
          <w:b/>
          <w:bCs/>
          <w:i w:val="false"/>
          <w:iCs w:val="false"/>
          <w:color w:val="111827"/>
          <w:sz w:val="21"/>
          <w:szCs w:val="21"/>
        </w:rPr>
        <w:t xml:space="preserve">ContractTerms mở rộng (08/07/2026). </w:t>
      </w:r>
      <w:r>
        <w:rPr>
          <w:rFonts w:ascii="Calibri" w:cs="Calibri" w:eastAsia="Calibri" w:hAnsi="Calibri"/>
          <w:b w:val="false"/>
          <w:bCs w:val="false"/>
          <w:i w:val="false"/>
          <w:iCs w:val="false"/>
          <w:color w:val="111827"/>
          <w:sz w:val="21"/>
          <w:szCs w:val="21"/>
        </w:rPr>
        <w:t xml:space="preserve">sellerDepositRate (optional, mặc định 0, đàm phán per-contract — thay quyết định "bỏ hẳn" cọc seller vì HTX không đủ vốn để deposit cứng). expectedDeliveryDate/graceDays trên MilestoneTerm — mốc neo timeout giao trễ, trước đây không có mốc ngày nào nên không định nghĩa được "seller giao trễ". Guardrail range cho toleranceRate/shortfallPenaltyThreshold/penaltyRate validate lúc sign() — chặn buyer (bên mạnh hơn) ép điều khoản về 0%.</w:t>
      </w:r>
    </w:p>
    <w:p>
      <w:pPr>
        <w:pStyle w:val="Heading2"/>
        <w:spacing w:after="80" w:before="240"/>
      </w:pPr>
      <w:r>
        <w:rPr>
          <w:rFonts w:ascii="Calibri" w:cs="Calibri" w:eastAsia="Calibri" w:hAnsi="Calibri"/>
          <w:b/>
          <w:bCs/>
          <w:color w:val="1F2A37"/>
          <w:sz w:val="25"/>
          <w:szCs w:val="25"/>
        </w:rPr>
        <w:t xml:space="preserve">3.4 escrow-service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38"/>
      </w:tblGrid>
      <w:tr>
        <w:trPr>
          <w:tblHeader/>
        </w:trPr>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Thuộc tính</w:t>
            </w:r>
          </w:p>
        </w:tc>
        <w:tc>
          <w:tcPr>
            <w:tcW w:type="dxa" w:w="75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Giá trị</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Port · DB</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8084 · escrow_db</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Trách nhiệm</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Logic ký quỹ theo đợt: tính toán khoá/giải ngân/phạt; điều phối bank-service</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EscrowAccount (buyerDepositState + sellerDepositState độc lập), EscrowMilestone (chỉ giữ state LOCKED/RELEASED/PENALIZED, không giữ số tiền)</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Publishes</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escrow.deposit_locked (mới, 08/07/2026 — cả 2 cọc đã khoá xong → trigger contract-service chuyển ACTIVE)</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Consumes</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contract.signed (trigger khoá cọc), milestone.settled, milestone.cancelled_with_penalty, contract.settled, contract.cancelled</w:t>
            </w:r>
          </w:p>
        </w:tc>
      </w:tr>
    </w:tbl>
    <w:p>
      <w:pPr>
        <w:spacing w:after="120" w:before="0" w:line="276"/>
        <w:jc w:val="both"/>
      </w:pPr>
      <w:r>
        <w:rPr>
          <w:rFonts w:ascii="Calibri" w:cs="Calibri" w:eastAsia="Calibri" w:hAnsi="Calibri"/>
          <w:b w:val="false"/>
          <w:bCs w:val="false"/>
          <w:i w:val="false"/>
          <w:iCs w:val="false"/>
          <w:color w:val="111827"/>
          <w:sz w:val="21"/>
          <w:szCs w:val="21"/>
        </w:rPr>
        <w:t xml:space="preserve">escrow-service là actor duy nhất gọi bank-service; contract-service không bao giờ nói chuyện trực tiếp với bank. Nguyên tắc chống dual-write: EscrowAccount/EscrowMilestone chỉ giữ trạng thái, không tự lưu con số tiền phải đồng bộ tay với bank — số tiền thật là single source of truth ở ledger bên bank-service. Khi nhận milestone.settled (mang lockedAmount và actualAmount sau pro-rata), escrow-service tự tính chênh lệch và bắn cặp lệnh RELEASE_TO_SELLER + REFUND_TO_BUYER nếu số thực nhận thấp hơn số đã khoá.</w:t>
      </w:r>
    </w:p>
    <w:p>
      <w:pPr>
        <w:spacing w:after="120" w:before="0" w:line="276"/>
        <w:jc w:val="both"/>
      </w:pPr>
      <w:r>
        <w:rPr>
          <w:rFonts w:ascii="Calibri" w:cs="Calibri" w:eastAsia="Calibri" w:hAnsi="Calibri"/>
          <w:b/>
          <w:bCs/>
          <w:i w:val="false"/>
          <w:iCs w:val="false"/>
          <w:color w:val="111827"/>
          <w:sz w:val="21"/>
          <w:szCs w:val="21"/>
        </w:rPr>
        <w:t xml:space="preserve">Sửa 08/07/2026 — pure consumer không tự tính được tiền. </w:t>
      </w:r>
      <w:r>
        <w:rPr>
          <w:rFonts w:ascii="Calibri" w:cs="Calibri" w:eastAsia="Calibri" w:hAnsi="Calibri"/>
          <w:b w:val="false"/>
          <w:bCs w:val="false"/>
          <w:i w:val="false"/>
          <w:iCs w:val="false"/>
          <w:color w:val="111827"/>
          <w:sz w:val="21"/>
          <w:szCs w:val="21"/>
        </w:rPr>
        <w:t xml:space="preserve">contract.signed phải mang sẵn buyerDepositAmount/sellerDepositAmount đã tính (= rate × totalAmount, tính ở contract-service — nơi có đủ ContractTerms). escrow-service không Feign ngược lấy ContractTerms nên không tự nhân rate×totalAmount được nếu chỉ nhận rate thô. Cũng từ đợt rà soát này: milestone.buyer_confirmed KHÔNG còn là consumer của escrow-service — release tiền thật chỉ đi qua milestone.settled, tránh release 2 lần cho cùng milestone (di sản logic bản thiết kế trước, đã dọn).</w:t>
      </w:r>
    </w:p>
    <w:p>
      <w:pPr>
        <w:pStyle w:val="Heading2"/>
        <w:spacing w:after="80" w:before="240"/>
      </w:pPr>
      <w:r>
        <w:rPr>
          <w:rFonts w:ascii="Calibri" w:cs="Calibri" w:eastAsia="Calibri" w:hAnsi="Calibri"/>
          <w:b/>
          <w:bCs/>
          <w:color w:val="1F2A37"/>
          <w:sz w:val="25"/>
          <w:szCs w:val="25"/>
        </w:rPr>
        <w:t xml:space="preserve">3.5 bank-service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38"/>
      </w:tblGrid>
      <w:tr>
        <w:trPr>
          <w:tblHeader/>
        </w:trPr>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Thuộc tính</w:t>
            </w:r>
          </w:p>
        </w:tc>
        <w:tc>
          <w:tcPr>
            <w:tcW w:type="dxa" w:w="75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Giá trị</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Port · DB</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8086 · bank_db</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Trách nhiệm</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Giữ tiền hợp pháp (mock) — legal custody; thực thi lệnh khoá/giải ngân/phạt/hoàn</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LedgerEntry (append-only): entryId, sourceEventId (idempotency key), contractId, milestoneId?, userId, entryType, amount</w:t>
            </w:r>
          </w:p>
        </w:tc>
      </w:tr>
    </w:tbl>
    <w:p>
      <w:pPr>
        <w:spacing w:after="120" w:before="0" w:line="276"/>
        <w:jc w:val="both"/>
      </w:pPr>
      <w:r>
        <w:rPr>
          <w:rFonts w:ascii="Calibri" w:cs="Calibri" w:eastAsia="Calibri" w:hAnsi="Calibri"/>
          <w:b w:val="false"/>
          <w:bCs w:val="false"/>
          <w:i w:val="false"/>
          <w:iCs w:val="false"/>
          <w:color w:val="111827"/>
          <w:sz w:val="21"/>
          <w:szCs w:val="21"/>
        </w:rPr>
        <w:t xml:space="preserve">Mô hình FBO/Omnibus (chuẩn công nghiệp: ví điện tử, escrow bất động sản): chỉ một chỗ giữ tiền chung, toàn bộ chi tiết “ai sở hữu bao nhiêu, cho việc gì” nằm trong LedgerEntry append-only. Số dư không lưu sẵn ở đâu — luôn là kết quả cộng dồn (SUM) từ các dòng ledger liên quan, tính lúc cần.</w:t>
      </w:r>
    </w:p>
    <w:p>
      <w:pPr>
        <w:spacing w:after="120" w:before="0" w:line="276"/>
        <w:jc w:val="both"/>
      </w:pPr>
      <w:r>
        <w:rPr>
          <w:rFonts w:ascii="Calibri" w:cs="Calibri" w:eastAsia="Calibri" w:hAnsi="Calibri"/>
          <w:b/>
          <w:bCs/>
          <w:i w:val="false"/>
          <w:iCs w:val="false"/>
          <w:color w:val="111827"/>
          <w:sz w:val="21"/>
          <w:szCs w:val="21"/>
        </w:rPr>
        <w:t xml:space="preserve">Không fire-and-forget. </w:t>
      </w:r>
      <w:r>
        <w:rPr>
          <w:rFonts w:ascii="Calibri" w:cs="Calibri" w:eastAsia="Calibri" w:hAnsi="Calibri"/>
          <w:b w:val="false"/>
          <w:bCs w:val="false"/>
          <w:i w:val="false"/>
          <w:iCs w:val="false"/>
          <w:color w:val="111827"/>
          <w:sz w:val="21"/>
          <w:szCs w:val="21"/>
        </w:rPr>
        <w:t xml:space="preserve">escrow-service gửi lệnh (bank.lock_requested…) và đợi confirmation (bank.lock_completed / bank.lock_failed) mới đổi state — không tự set trước. Nếu set trước rồi bank fail, hai bên lệch state không ai biết (đúng dạng dual-write problem). Idempotency key là sourceEventId (ID của outbox message escrow gửi sang), UNIQUE — nhận trùng thì không insert lại nhưng vẫn re-publish confirmation (tránh escrow treo chờ mãi).</w:t>
      </w:r>
    </w:p>
    <w:p>
      <w:pPr>
        <w:spacing w:after="120" w:before="0" w:line="276"/>
        <w:jc w:val="both"/>
      </w:pPr>
      <w:r>
        <w:rPr>
          <w:rFonts w:ascii="Calibri" w:cs="Calibri" w:eastAsia="Calibri" w:hAnsi="Calibri"/>
          <w:b/>
          <w:bCs/>
          <w:i w:val="false"/>
          <w:iCs w:val="false"/>
          <w:color w:val="111827"/>
          <w:sz w:val="21"/>
          <w:szCs w:val="21"/>
        </w:rPr>
        <w:t xml:space="preserve">entryType tách 2 loại cọc (08/07/2026). </w:t>
      </w:r>
      <w:r>
        <w:rPr>
          <w:rFonts w:ascii="Calibri" w:cs="Calibri" w:eastAsia="Calibri" w:hAnsi="Calibri"/>
          <w:b w:val="false"/>
          <w:bCs w:val="false"/>
          <w:i w:val="false"/>
          <w:iCs w:val="false"/>
          <w:color w:val="111827"/>
          <w:sz w:val="21"/>
          <w:szCs w:val="21"/>
        </w:rPr>
        <w:t xml:space="preserve">LOCK_BUYER_DEPOSIT / LOCK_SELLER_DEPOSIT thay vì gộp chung LOCK_DEPOSIT — cả 2 khoản cọc cấp Contract đều có milestoneId=NULL, nếu gộp chung thì ledger tự nó không phân biệt được nguồn cọc lúc release/seize/refund mà phải tra ngược sang contract-service, ngược nguyên tắc "ledger tự giải thích được" xuyên suốt thiết kế.</w:t>
      </w:r>
    </w:p>
    <w:p>
      <w:pPr>
        <w:spacing w:after="120" w:before="0" w:line="276"/>
        <w:jc w:val="both"/>
      </w:pPr>
      <w:r>
        <w:rPr>
          <w:rFonts w:ascii="Calibri" w:cs="Calibri" w:eastAsia="Calibri" w:hAnsi="Calibri"/>
          <w:b/>
          <w:bCs/>
          <w:i w:val="false"/>
          <w:iCs w:val="false"/>
          <w:color w:val="111827"/>
          <w:sz w:val="21"/>
          <w:szCs w:val="21"/>
        </w:rPr>
        <w:t xml:space="preserve">bank.large_transaction_flagged (mới, 08/07/2026). </w:t>
      </w:r>
      <w:r>
        <w:rPr>
          <w:rFonts w:ascii="Calibri" w:cs="Calibri" w:eastAsia="Calibri" w:hAnsi="Calibri"/>
          <w:b w:val="false"/>
          <w:bCs w:val="false"/>
          <w:i w:val="false"/>
          <w:iCs w:val="false"/>
          <w:color w:val="111827"/>
          <w:sz w:val="21"/>
          <w:szCs w:val="21"/>
        </w:rPr>
        <w:t xml:space="preserve">LedgerEntry ≥ 500 triệu VNĐ (Điều 9 Thông tư 27/2025/TT-NHNN — đúng loại giao dịch chuyển khoản điện tử của ledger, không phải ngưỡng 400 triệu cho tiền mặt) → publish, không hold. bank-service chỉ ghi nhận nghĩa vụ báo cáo, không tự đóng băng; reputation-service dùng làm 1 input composite fraud score.</w:t>
      </w:r>
    </w:p>
    <w:p>
      <w:pPr>
        <w:spacing w:after="120" w:before="0" w:line="276"/>
        <w:jc w:val="both"/>
      </w:pPr>
      <w:r>
        <w:rPr>
          <w:rFonts w:ascii="Calibri" w:cs="Calibri" w:eastAsia="Calibri" w:hAnsi="Calibri"/>
          <w:b/>
          <w:bCs/>
          <w:i w:val="false"/>
          <w:iCs w:val="false"/>
          <w:color w:val="111827"/>
          <w:sz w:val="21"/>
          <w:szCs w:val="21"/>
        </w:rPr>
        <w:t xml:space="preserve">Emergency Lock — Zero-Trust Kill Switch (mới, 08/07/2026). </w:t>
      </w:r>
      <w:r>
        <w:rPr>
          <w:rFonts w:ascii="Calibri" w:cs="Calibri" w:eastAsia="Calibri" w:hAnsi="Calibri"/>
          <w:b w:val="false"/>
          <w:bCs w:val="false"/>
          <w:i w:val="false"/>
          <w:iCs w:val="false"/>
          <w:color w:val="111827"/>
          <w:sz w:val="21"/>
          <w:szCs w:val="21"/>
        </w:rPr>
        <w:t xml:space="preserve">External Verifier (tổ chức vận hành platform, không cột cứng 1 tên) giữ private key ký REST /security/emergency-lock trực tiếp bank-service, độc lập RabbitMQ — Admin không có đường bypass. Vì escrow-service là actor duy nhất gọi bank-service, chỉ cần 1 gate (check system_lock) trước mọi bank.*_requested là chặn được toàn hệ thống. Root-of-trust: public key baked deploy-time, mỗi lần rotation anchor vào hash chain (audit-service §3.8). Thu hẹp — không đóng hoàn toàn — giới hạn collusion Admin+bank ở §11.</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Nghị định 52/2024/NĐ-CP, Điều 8 Khoản 7. </w:t>
      </w:r>
      <w:r>
        <w:rPr>
          <w:rFonts w:ascii="Calibri" w:cs="Calibri" w:eastAsia="Calibri" w:hAnsi="Calibri"/>
          <w:color w:val="374151"/>
          <w:sz w:val="20"/>
          <w:szCs w:val="20"/>
        </w:rPr>
        <w:t xml:space="preserve">Nghiêm cấm cung ứng dịch vụ trung gian thanh toán không phép. Tách bank-service làm nơi giữ tiền (ngân hàng có license trong triển khai thật) khiến nền tảng chỉ ra lệnh, không giữ tiền — không thuộc phạm vi phải xin giấy phép. Đây là quyết định kiến trúc phục vụ trực tiếp một ràng buộc pháp lý.</w:t>
      </w:r>
    </w:p>
    <w:p>
      <w:pPr>
        <w:pStyle w:val="Heading2"/>
        <w:spacing w:after="80" w:before="240"/>
      </w:pPr>
      <w:r>
        <w:rPr>
          <w:rFonts w:ascii="Calibri" w:cs="Calibri" w:eastAsia="Calibri" w:hAnsi="Calibri"/>
          <w:b/>
          <w:bCs/>
          <w:color w:val="1F2A37"/>
          <w:sz w:val="25"/>
          <w:szCs w:val="25"/>
        </w:rPr>
        <w:t xml:space="preserve">3.6 inspection-service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38"/>
      </w:tblGrid>
      <w:tr>
        <w:trPr>
          <w:tblHeader/>
        </w:trPr>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Thuộc tính</w:t>
            </w:r>
          </w:p>
        </w:tc>
        <w:tc>
          <w:tcPr>
            <w:tcW w:type="dxa" w:w="75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Giá trị</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Port · DB</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8087 · inspection_db</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Trách nhiệm</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Giám định độc lập 3 cấp; evidence record bất biến với reportHash</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InspectionReport (reportHash = SHA-256(content + timestamp + inspectorId)), level2_inspection_commission</w:t>
            </w:r>
          </w:p>
        </w:tc>
      </w:tr>
    </w:tbl>
    <w:p>
      <w:pPr>
        <w:spacing w:after="120" w:before="0" w:line="276"/>
        <w:jc w:val="both"/>
      </w:pPr>
      <w:r>
        <w:rPr>
          <w:rFonts w:ascii="Calibri" w:cs="Calibri" w:eastAsia="Calibri" w:hAnsi="Calibri"/>
          <w:b w:val="false"/>
          <w:bCs w:val="false"/>
          <w:i w:val="false"/>
          <w:iCs w:val="false"/>
          <w:color w:val="111827"/>
          <w:sz w:val="21"/>
          <w:szCs w:val="21"/>
        </w:rPr>
        <w:t xml:space="preserve">Level 1.5 và Level 2 là hai mô hình định danh khác nhau. Level 1.5 (Vinacontrol/Quatest) là actor thật trên nền tảng — dùng chung schema Signature (mở rộng signerRole thêm INSPECTOR, thêm reportId với UNIQUE(reportId)), KYC xác minh chứng chỉ hành nghề, session freshness riêng inspectionAuthMaxAgeSeconds = 1800s (thao tác thực địa cần thời gian, khác hành vi ký tức thời của buyer/seller). Level 2 (SGS/Bureau Veritas) không tích hợp đăng nhập — report ingest tự động qua hòm thư platform (SendGrid Inbound Parse), hash đóng băng ngay khi nhận, Admin xác nhận sau (human-confirm). Chọn tổ chức Level 2 giới hạn qua allowlist 3 nhóm để chặn thông đồng chọn tổ chức dễ dãi.</w:t>
      </w:r>
    </w:p>
    <w:p>
      <w:pPr>
        <w:spacing w:after="120" w:before="0" w:line="276"/>
        <w:jc w:val="both"/>
      </w:pPr>
      <w:r>
        <w:rPr>
          <w:rFonts w:ascii="Calibri" w:cs="Calibri" w:eastAsia="Calibri" w:hAnsi="Calibri"/>
          <w:b/>
          <w:bCs/>
          <w:i w:val="false"/>
          <w:iCs w:val="false"/>
          <w:color w:val="111827"/>
          <w:sz w:val="21"/>
          <w:szCs w:val="21"/>
        </w:rPr>
        <w:t xml:space="preserve">Ranh giới cross-service. </w:t>
      </w:r>
      <w:r>
        <w:rPr>
          <w:rFonts w:ascii="Calibri" w:cs="Calibri" w:eastAsia="Calibri" w:hAnsi="Calibri"/>
          <w:b w:val="false"/>
          <w:bCs w:val="false"/>
          <w:i w:val="false"/>
          <w:iCs w:val="false"/>
          <w:color w:val="111827"/>
          <w:sz w:val="21"/>
          <w:szCs w:val="21"/>
        </w:rPr>
        <w:t xml:space="preserve">signature.reportId là FK logic (không REFERENCES cross-database) vì signature ở contract_db còn inspection_report ở inspection_db — giữ integrity ở application layer, đúng nguyên tắc database-per-service.</w:t>
      </w:r>
    </w:p>
    <w:p>
      <w:pPr>
        <w:pStyle w:val="Heading2"/>
        <w:spacing w:after="80" w:before="240"/>
      </w:pPr>
      <w:r>
        <w:rPr>
          <w:rFonts w:ascii="Calibri" w:cs="Calibri" w:eastAsia="Calibri" w:hAnsi="Calibri"/>
          <w:b/>
          <w:bCs/>
          <w:color w:val="1F2A37"/>
          <w:sz w:val="25"/>
          <w:szCs w:val="25"/>
        </w:rPr>
        <w:t xml:space="preserve">3.7 reputation-service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38"/>
      </w:tblGrid>
      <w:tr>
        <w:trPr>
          <w:tblHeader/>
        </w:trPr>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Thuộc tính</w:t>
            </w:r>
          </w:p>
        </w:tc>
        <w:tc>
          <w:tcPr>
            <w:tcW w:type="dxa" w:w="75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Giá trị</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Port · DB</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8088 · reputation_db</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Trách nhiệm</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Sổ khoá bất biến (enforce lockout); điểm uy tín đối xứng buyer/seller; tham chiếu tín dụng (export)</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LockEntry (insert-only, lockDurationDays snapshot bất biến, sourceEventId idempotency key)</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Consumes</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milestone.cancelled_with_penalty, contract.settled, milestone.dispute_resolved (mới, chống flag-abuse), bank.large_transaction_flagged (mới, 1 input AML)</w:t>
            </w:r>
          </w:p>
        </w:tc>
      </w:tr>
    </w:tbl>
    <w:p>
      <w:pPr>
        <w:spacing w:after="120" w:before="0" w:line="276"/>
        <w:jc w:val="both"/>
      </w:pPr>
      <w:r>
        <w:rPr>
          <w:rFonts w:ascii="Calibri" w:cs="Calibri" w:eastAsia="Calibri" w:hAnsi="Calibri"/>
          <w:b w:val="false"/>
          <w:bCs w:val="false"/>
          <w:i w:val="false"/>
          <w:iCs w:val="false"/>
          <w:color w:val="111827"/>
          <w:sz w:val="21"/>
          <w:szCs w:val="21"/>
        </w:rPr>
        <w:t xml:space="preserve">Dịch vụ này gánh ba loại dữ liệu khác bản chất, không gộp chung logic: sổ khoá (không thể là pure read model vì là bằng chứng pháp lý — lockDurationDays snapshot cứng lúc tính, không recompute), điểm uy tín (view sống, tính lại được), và tham chiếu tín dụng (export cho bên thứ ba). Enforcement thực hiện ở tầng use-case chứ không ở Gateway: sign() fail-closed (ưu tiên đóng circuit-breaker gap ở hành động rủi ro nhất), CreateListing fail-open. user-service là nơi enforce khoá thật dựa trên quyết định từ reputation-service.</w:t>
      </w:r>
    </w:p>
    <w:p>
      <w:pPr>
        <w:spacing w:after="120" w:before="0" w:line="276"/>
        <w:jc w:val="both"/>
      </w:pPr>
      <w:r>
        <w:rPr>
          <w:rFonts w:ascii="Calibri" w:cs="Calibri" w:eastAsia="Calibri" w:hAnsi="Calibri"/>
          <w:b/>
          <w:bCs/>
          <w:i w:val="false"/>
          <w:iCs w:val="false"/>
          <w:color w:val="111827"/>
          <w:sz w:val="21"/>
          <w:szCs w:val="21"/>
        </w:rPr>
        <w:t xml:space="preserve">lockDurationDays thêm hệ số zeroProgressMultiplier (mới, 08/07/2026). </w:t>
      </w:r>
      <w:r>
        <w:rPr>
          <w:rFonts w:ascii="Calibri" w:cs="Calibri" w:eastAsia="Calibri" w:hAnsi="Calibri"/>
          <w:b w:val="false"/>
          <w:bCs w:val="false"/>
          <w:i w:val="false"/>
          <w:iCs w:val="false"/>
          <w:color w:val="111827"/>
          <w:sz w:val="21"/>
          <w:szCs w:val="21"/>
        </w:rPr>
        <w:t xml:space="preserve">1.5x khi cancel lúc 0 milestone nào từng SETTLED (ký xong bỏ ngay là tín hiệu xấu nhất, cũng là ma sát chống disintermediation — 2 bên quen nhau qua platform rồi rủ nhau giao dịch tay ngoài né phí); 1.0x mọi trường hợp khác.</w:t>
      </w:r>
    </w:p>
    <w:p>
      <w:pPr>
        <w:pBdr>
          <w:top w:val="single" w:color="D1D5DB" w:sz="2" w:space="6"/>
          <w:bottom w:val="single" w:color="D1D5DB" w:sz="2" w:space="6"/>
          <w:left w:val="single" w:color="B45454" w:sz="12" w:space="10"/>
          <w:right w:val="single" w:color="D1D5DB" w:sz="2" w:space="6"/>
        </w:pBdr>
        <w:shd w:fill="FDF2F2" w:color="auto" w:val="clear"/>
        <w:spacing w:after="140" w:before="120" w:line="264"/>
        <w:ind w:left="60" w:right="60"/>
      </w:pPr>
      <w:r>
        <w:rPr>
          <w:rFonts w:ascii="Calibri" w:cs="Calibri" w:eastAsia="Calibri" w:hAnsi="Calibri"/>
          <w:b/>
          <w:bCs/>
          <w:color w:val="1F2A37"/>
          <w:sz w:val="20"/>
          <w:szCs w:val="20"/>
        </w:rPr>
        <w:t xml:space="preserve">Sửa AML (08/07/2026) — hold tuyệt đối không còn tự đứng một mình. </w:t>
      </w:r>
      <w:r>
        <w:rPr>
          <w:rFonts w:ascii="Calibri" w:cs="Calibri" w:eastAsia="Calibri" w:hAnsi="Calibri"/>
          <w:color w:val="374151"/>
          <w:sz w:val="20"/>
          <w:szCs w:val="20"/>
        </w:rPr>
        <w:t xml:space="preserve">Bản trước để ngưỡng 500 triệu tự nó trigger hold ngay giao dịch đầu — nhưng hợp đồng cà phê thật thường 13,5-135 tỷ VNĐ, tức GẦN NHƯ MỌI giao dịch điển hình sẽ bị treo chờ Admin, biến platform tự-thực-thi thành cổ chai thủ công. Chốt: hold chỉ kích hoạt khi ngưỡng tuyệt đối ĐI KÈM ≥1 tín hiệu hành vi khác (track record mỏng/zero-variance/counterparty mới). Nguồn phát hiện cũng dời sang bank-service (đúng chủ thể pháp lý theo Luật PCRT 2022) — reputation-service chỉ consume bank.large_transaction_flagged làm input, không tự query ledger.</w:t>
      </w:r>
    </w:p>
    <w:p>
      <w:pPr>
        <w:spacing w:after="120" w:before="0" w:line="276"/>
        <w:jc w:val="both"/>
      </w:pPr>
      <w:r>
        <w:rPr>
          <w:rFonts w:ascii="Calibri" w:cs="Calibri" w:eastAsia="Calibri" w:hAnsi="Calibri"/>
          <w:b/>
          <w:bCs/>
          <w:i w:val="false"/>
          <w:iCs w:val="false"/>
          <w:color w:val="111827"/>
          <w:sz w:val="21"/>
          <w:szCs w:val="21"/>
        </w:rPr>
        <w:t xml:space="preserve">Đối xứng hoá + chống flag-abuse (mới, 08/07/2026). </w:t>
      </w:r>
      <w:r>
        <w:rPr>
          <w:rFonts w:ascii="Calibri" w:cs="Calibri" w:eastAsia="Calibri" w:hAnsi="Calibri"/>
          <w:b w:val="false"/>
          <w:bCs w:val="false"/>
          <w:i w:val="false"/>
          <w:iCs w:val="false"/>
          <w:color w:val="111827"/>
          <w:sz w:val="21"/>
          <w:szCs w:val="21"/>
        </w:rPr>
        <w:t xml:space="preserve">Mọi tín hiệu minh bạch trước đây một chiều buyer-xem-seller. Endpoint GET /api/v1/reputation/{userId}/public-summary (không cần consent, đối xứng thật) cho seller xem track record buyer trước khi ký — dữ liệu đã có sẵn ở lock_entry (penalizedRole=BUYER đã insert từ đầu), chỉ thêm chiều hiển thị. Song song: milestone.dispute_resolved đếm tỷ lệ buyer flag-rồi-thua, phơi ra ở public-summary — chống buyer lạm dụng FLAG_ISSUE ép seller vào dispute mà không mất gì.</w:t>
      </w:r>
    </w:p>
    <w:p>
      <w:pPr>
        <w:pStyle w:val="Heading2"/>
        <w:spacing w:after="80" w:before="240"/>
      </w:pPr>
      <w:r>
        <w:rPr>
          <w:rFonts w:ascii="Calibri" w:cs="Calibri" w:eastAsia="Calibri" w:hAnsi="Calibri"/>
          <w:b/>
          <w:bCs/>
          <w:color w:val="1F2A37"/>
          <w:sz w:val="25"/>
          <w:szCs w:val="25"/>
        </w:rPr>
        <w:t xml:space="preserve">3.8 audit-service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38"/>
      </w:tblGrid>
      <w:tr>
        <w:trPr>
          <w:tblHeader/>
        </w:trPr>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Thuộc tính</w:t>
            </w:r>
          </w:p>
        </w:tc>
        <w:tc>
          <w:tcPr>
            <w:tcW w:type="dxa" w:w="75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Giá trị</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Port · DB</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8092 · audit_db (DB user chỉ có INSERT + SELECT)</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Trách nhiệm</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Chuỗi hash bất biến; neo Bitcoin (OpenTimestamps); verify định kỳ; xuất báo cáo EUDR</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AuditRecord (dual chain: prevHashGlobal + prevHashContract trên cùng 1 bảng; ots_proof)</w:t>
            </w:r>
          </w:p>
        </w:tc>
      </w:tr>
    </w:tbl>
    <w:p>
      <w:pPr>
        <w:spacing w:after="120" w:before="0" w:line="276"/>
        <w:jc w:val="both"/>
      </w:pPr>
      <w:r>
        <w:rPr>
          <w:rFonts w:ascii="Calibri" w:cs="Calibri" w:eastAsia="Calibri" w:hAnsi="Calibri"/>
          <w:b w:val="false"/>
          <w:bCs w:val="false"/>
          <w:i w:val="false"/>
          <w:iCs w:val="false"/>
          <w:color w:val="111827"/>
          <w:sz w:val="21"/>
          <w:szCs w:val="21"/>
        </w:rPr>
        <w:t xml:space="preserve">audit-service nhận và nối các hash từ nhiều nguồn (signedContentHash từ contract-service, reportHash từ inspection-service, các milestone event mang số liệu tranh chấp được) vào một chuỗi append-only. Không phải mọi event vào chain — tiêu chí là event phải mang số liệu/quyết định có thể bị tranh chấp làm bằng chứng. Dùng một bảng duy nhất với hai cột prevHash khác mục đích (chuỗi toàn cục + chuỗi per-contract) thay vì hai bảng riêng.</w:t>
      </w:r>
    </w:p>
    <w:p>
      <w:pPr>
        <w:spacing w:after="120" w:before="0" w:line="276"/>
        <w:jc w:val="both"/>
      </w:pPr>
      <w:r>
        <w:rPr>
          <w:rFonts w:ascii="Calibri" w:cs="Calibri" w:eastAsia="Calibri" w:hAnsi="Calibri"/>
          <w:b/>
          <w:bCs/>
          <w:i w:val="false"/>
          <w:iCs w:val="false"/>
          <w:color w:val="111827"/>
          <w:sz w:val="21"/>
          <w:szCs w:val="21"/>
        </w:rPr>
        <w:t xml:space="preserve">Bất biến ở tầng quyền DB, không chỉ ở code. </w:t>
      </w:r>
      <w:r>
        <w:rPr>
          <w:rFonts w:ascii="Calibri" w:cs="Calibri" w:eastAsia="Calibri" w:hAnsi="Calibri"/>
          <w:b w:val="false"/>
          <w:bCs w:val="false"/>
          <w:i w:val="false"/>
          <w:iCs w:val="false"/>
          <w:color w:val="111827"/>
          <w:sz w:val="21"/>
          <w:szCs w:val="21"/>
        </w:rPr>
        <w:t xml:space="preserve">Tài khoản DB của audit-service chỉ có quyền INSERT + SELECT — không UPDATE/DELETE. VerifyChainJob chạy hàng tuần (2–3h sáng Chủ nhật) đối chiếu chuỗi và so với OTS proof neo trên Bitcoin — bắt được cả cascade tampering (xoá rồi viết lại toàn bộ prevHash phía sau). Verify fail → alert tự động song song tới Admin và nhiều contact phía Software Buyer, không qua một gatekeeper duy nhất.</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Luật GDĐT 2023, Điều 14.2. </w:t>
      </w:r>
      <w:r>
        <w:rPr>
          <w:rFonts w:ascii="Calibri" w:cs="Calibri" w:eastAsia="Calibri" w:hAnsi="Calibri"/>
          <w:color w:val="374151"/>
          <w:sz w:val="20"/>
          <w:szCs w:val="20"/>
        </w:rPr>
        <w:t xml:space="preserve">Giá trị chứng cứ của thông điệp dữ liệu dựa trên độ tin cậy của phương thức khởi tạo, lưu trữ và bảo toàn tính nguyên vẹn. Chuỗi hash append-only + quyền DB INSERT-only + neo độc lập (email, Bitcoin) là hiện thực hoá kỹ thuật của yêu cầu “bảo toàn tính nguyên vẹn” này.</w:t>
      </w:r>
    </w:p>
    <w:p>
      <w:pPr>
        <w:pStyle w:val="Heading2"/>
        <w:spacing w:after="80" w:before="240"/>
      </w:pPr>
      <w:r>
        <w:rPr>
          <w:rFonts w:ascii="Calibri" w:cs="Calibri" w:eastAsia="Calibri" w:hAnsi="Calibri"/>
          <w:b/>
          <w:bCs/>
          <w:color w:val="1F2A37"/>
          <w:sz w:val="25"/>
          <w:szCs w:val="25"/>
        </w:rPr>
        <w:t xml:space="preserve">3.9 file-service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38"/>
      </w:tblGrid>
      <w:tr>
        <w:trPr>
          <w:tblHeader/>
        </w:trPr>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Thuộc tính</w:t>
            </w:r>
          </w:p>
        </w:tc>
        <w:tc>
          <w:tcPr>
            <w:tcW w:type="dxa" w:w="75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Giá trị</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Port · DB</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8089 · file_db · MinIO object storage</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Trách nhiệm</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Lưu trữ file tập trung agnostic với nghiệp vụ; xử lý async (virus-scan, email-parse); retention EUDR</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File (fileId plain UUID, storageHash, ingestChannel, status PROCESSING/READY/FAILED, attached)</w:t>
            </w:r>
          </w:p>
        </w:tc>
      </w:tr>
    </w:tbl>
    <w:p>
      <w:pPr>
        <w:spacing w:after="120" w:before="0" w:line="276"/>
        <w:jc w:val="both"/>
      </w:pPr>
      <w:r>
        <w:rPr>
          <w:rFonts w:ascii="Calibri" w:cs="Calibri" w:eastAsia="Calibri" w:hAnsi="Calibri"/>
          <w:b w:val="false"/>
          <w:bCs w:val="false"/>
          <w:i w:val="false"/>
          <w:iCs w:val="false"/>
          <w:color w:val="111827"/>
          <w:sz w:val="21"/>
          <w:szCs w:val="21"/>
        </w:rPr>
        <w:t xml:space="preserve">file-service chỉ biết blob + metadata kỹ thuật, không biết ý nghĩa nghiệp vụ của file (evidence, cadastral, report…) — ý nghĩa nằm ở tên field bên dịch vụ giữ fileId. Ba entrypoint tách theo trust boundary (không phải một API generic) để ingestChannel không bị giả mạo: nếu để caller tự khai channel, bất kỳ ai cũng có thể tự xưng SYSTEM_GENERATED để né virus-scan. Trạng thái kỹ thuật (file toàn vẹn chưa) tách hoàn toàn khỏi quyết định duyệt nghiệp vụ (thuộc dịch vụ khác). Retention neo vào EUDR (tối thiểu 5 năm); orphan-cleanup qua cờ attached theo pattern ConfirmAttached.</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Async processing là pain point chính. </w:t>
      </w:r>
      <w:r>
        <w:rPr>
          <w:rFonts w:ascii="Calibri" w:cs="Calibri" w:eastAsia="Calibri" w:hAnsi="Calibri"/>
          <w:color w:val="374151"/>
          <w:sz w:val="20"/>
          <w:szCs w:val="20"/>
        </w:rPr>
        <w:t xml:space="preserve">Ít nhất hai luồng không chạy đồng bộ trong request: quét virus và parse email report. Với file từ hòm thư ngoài (EMAIL_INTAKE), hai luồng nối chuỗi (parse → virus-scan), không chạy song song độc lập — nếu tách nhầm theo nguồn gốc thay vì theo loại công việc, file từ internet sẽ lọt virus-scan. Retry/DLQ dùng cơ chế dead-letter-exchange + TTL built-in của RabbitMQ.</w:t>
      </w:r>
    </w:p>
    <w:p>
      <w:pPr>
        <w:pStyle w:val="Heading2"/>
        <w:spacing w:after="80" w:before="240"/>
      </w:pPr>
      <w:r>
        <w:rPr>
          <w:rFonts w:ascii="Calibri" w:cs="Calibri" w:eastAsia="Calibri" w:hAnsi="Calibri"/>
          <w:b/>
          <w:bCs/>
          <w:color w:val="1F2A37"/>
          <w:sz w:val="25"/>
          <w:szCs w:val="25"/>
        </w:rPr>
        <w:t xml:space="preserve">3.10 pricing-service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38"/>
      </w:tblGrid>
      <w:tr>
        <w:trPr>
          <w:tblHeader/>
        </w:trPr>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Thuộc tính</w:t>
            </w:r>
          </w:p>
        </w:tc>
        <w:tc>
          <w:tcPr>
            <w:tcW w:type="dxa" w:w="75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Giá trị</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Port · DB</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8091 · pricing_db · Redis cache</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Trách nhiệm</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Ingest giá tham chiếu nông sản từ nguồn ngoài (VNSAT scrape + admin nhập tay); phục vụ hiển thị lúc tạo listing</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PriceQuote (commodity, itemName, province?, price, source, capturedAt, ingestedAt)</w:t>
            </w:r>
          </w:p>
        </w:tc>
      </w:tr>
    </w:tbl>
    <w:p>
      <w:pPr>
        <w:spacing w:after="120" w:before="0" w:line="276"/>
        <w:jc w:val="both"/>
      </w:pPr>
      <w:r>
        <w:rPr>
          <w:rFonts w:ascii="Calibri" w:cs="Calibri" w:eastAsia="Calibri" w:hAnsi="Calibri"/>
          <w:b w:val="false"/>
          <w:bCs w:val="false"/>
          <w:i w:val="false"/>
          <w:iCs w:val="false"/>
          <w:color w:val="111827"/>
          <w:sz w:val="21"/>
          <w:szCs w:val="21"/>
        </w:rPr>
        <w:t xml:space="preserve">Chỉ ingest external reference price — không tự tính giá từ data nội bộ (data thưa, và một con số “giá thị trường” tính từ chính vài giao dịch trong platform có thể bị buyer lớn lợi dụng tạo giá giả). Cà phê/lúa gạo scrape từ thitruongnongsan.gov.vn (VNSAT) qua Jsoup 2 bước GET→POST mô phỏng ASP.NET WebForms postback; cao su/điều Admin nhập tay. MySQL append-only (price_history) là nguồn thật, Redis chỉ là cache (cache-aside, không TTL cứng — “cũ hay mới” tính động bằng ngưỡng stale theo từng commodity). Ingest job @Scheduled sống sót qua lỗi (ghi price_ingestion_failure, không throw kéo sập scheduler).</w:t>
      </w:r>
    </w:p>
    <w:p>
      <w:pPr>
        <w:pStyle w:val="Heading2"/>
        <w:spacing w:after="80" w:before="240"/>
      </w:pPr>
      <w:r>
        <w:rPr>
          <w:rFonts w:ascii="Calibri" w:cs="Calibri" w:eastAsia="Calibri" w:hAnsi="Calibri"/>
          <w:b/>
          <w:bCs/>
          <w:color w:val="1F2A37"/>
          <w:sz w:val="25"/>
          <w:szCs w:val="25"/>
        </w:rPr>
        <w:t xml:space="preserve">3.11 analytics-service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38"/>
      </w:tblGrid>
      <w:tr>
        <w:trPr>
          <w:tblHeader/>
        </w:trPr>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Thuộc tính</w:t>
            </w:r>
          </w:p>
        </w:tc>
        <w:tc>
          <w:tcPr>
            <w:tcW w:type="dxa" w:w="75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Giá trị</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Port · DB</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8093 · analytics_db</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Trách nhiệm</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Read model CQRS thuần; tổng hợp time-series phục vụ dashboard quản trị (hiệp hội/Admin)</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Star schema thu nhỏ: dim_contract, fact_milestone_performance, fact_contract_settlement, fact_contract_cancellation, agg_monthly_commodity_stats</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Consumes</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contract.signed (dim_contract), contract.settled, contract.cancelled, milestone.settled, milestone.cancelled_with_penalty (+ force majeure flags)</w:t>
            </w:r>
          </w:p>
        </w:tc>
      </w:tr>
    </w:tbl>
    <w:p>
      <w:pPr>
        <w:spacing w:after="120" w:before="0" w:line="276"/>
        <w:jc w:val="both"/>
      </w:pPr>
      <w:r>
        <w:rPr>
          <w:rFonts w:ascii="Calibri" w:cs="Calibri" w:eastAsia="Calibri" w:hAnsi="Calibri"/>
          <w:b w:val="false"/>
          <w:bCs w:val="false"/>
          <w:i w:val="false"/>
          <w:iCs w:val="false"/>
          <w:color w:val="111827"/>
          <w:sz w:val="21"/>
          <w:szCs w:val="21"/>
        </w:rPr>
        <w:t xml:space="preserve">Pure consumer — không gọi ngược (Feign) về dịch vụ nào; mọi dữ liệu đến từ việc nghe RabbitMQ. Thiết kế cứng này để analytics (non-critical path) dù sập/quá tải vì query báo cáo nặng cũng không tạo tải ngược lên contract/bank đang xử lý giao dịch. Hybrid: fact tables ghi event thô incremental (giải nghẽn ghi) + agg tables pre-computed bằng @Scheduled 1h sáng (giải nghẽn đọc/tính %). Bắt buộc idempotency log theo message_id (at-least-once làm lặp số tiền). Metric tập trung vào B2B value: tỷ lệ phá vỡ hợp đồng, hiệu quả ký quỹ, xu hướng bất khả kháng.</w:t>
      </w:r>
    </w:p>
    <w:p>
      <w:pPr>
        <w:spacing w:after="120" w:before="0" w:line="276"/>
        <w:jc w:val="both"/>
      </w:pPr>
      <w:r>
        <w:rPr>
          <w:rFonts w:ascii="Calibri" w:cs="Calibri" w:eastAsia="Calibri" w:hAnsi="Calibri"/>
          <w:b/>
          <w:bCs/>
          <w:i w:val="false"/>
          <w:iCs w:val="false"/>
          <w:color w:val="111827"/>
          <w:sz w:val="21"/>
          <w:szCs w:val="21"/>
        </w:rPr>
        <w:t xml:space="preserve">Hai điểm sửa sau rà soát (06/07/2026). </w:t>
      </w:r>
      <w:r>
        <w:rPr>
          <w:rFonts w:ascii="Calibri" w:cs="Calibri" w:eastAsia="Calibri" w:hAnsi="Calibri"/>
          <w:b w:val="false"/>
          <w:bCs w:val="false"/>
          <w:i w:val="false"/>
          <w:iCs w:val="false"/>
          <w:color w:val="111827"/>
          <w:sz w:val="21"/>
          <w:szCs w:val="21"/>
        </w:rPr>
        <w:t xml:space="preserve">Thứ nhất, đếm "hợp đồng đã hoàn tất" phải lấy từ fact_contract_settlement (nguồn contract.settled, đúng granularity Contract) — không được suy từ fact_milestone_performance (granularity Milestone, sai bất cứ khi nào hợp đồng còn dở dang). Thứ hai, has_force_majeure gần như luôn sai nếu chỉ UPDATE trực tiếp, vì event force_majeure_resolved luôn tới trước khi milestone đạt trạng thái cuối — cần bảng staging trung gian để merge đúng thời điểm INSERT.</w:t>
      </w:r>
    </w:p>
    <w:p>
      <w:pPr>
        <w:pStyle w:val="Heading2"/>
        <w:spacing w:after="80" w:before="240"/>
      </w:pPr>
      <w:r>
        <w:rPr>
          <w:rFonts w:ascii="Calibri" w:cs="Calibri" w:eastAsia="Calibri" w:hAnsi="Calibri"/>
          <w:b/>
          <w:bCs/>
          <w:color w:val="1F2A37"/>
          <w:sz w:val="25"/>
          <w:szCs w:val="25"/>
        </w:rPr>
        <w:t xml:space="preserve">3.12 notification-service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38"/>
      </w:tblGrid>
      <w:tr>
        <w:trPr>
          <w:tblHeader/>
        </w:trPr>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Thuộc tính</w:t>
            </w:r>
          </w:p>
        </w:tc>
        <w:tc>
          <w:tcPr>
            <w:tcW w:type="dxa" w:w="75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Giá trị</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Port · DB</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8085 · notification_db</w:t>
            </w:r>
          </w:p>
        </w:tc>
      </w:tr>
      <w:tr>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Trách nhiệm</w:t>
            </w:r>
          </w:p>
        </w:tc>
        <w:tc>
          <w:tcPr>
            <w:tcW w:type="dxa" w:w="7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Thông báo hướng sự kiện; internal sync OTP delivery; neo hash qua email; weekly digest/integrity alert</w:t>
            </w:r>
          </w:p>
        </w:tc>
      </w:tr>
      <w:tr>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Aggregate</w:t>
            </w:r>
          </w:p>
        </w:tc>
        <w:tc>
          <w:tcPr>
            <w:tcW w:type="dxa" w:w="7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NotificationLog (dedup eventId + recipientEmail + notificationType; templateVersion)</w:t>
            </w:r>
          </w:p>
        </w:tc>
      </w:tr>
    </w:tbl>
    <w:p>
      <w:pPr>
        <w:spacing w:after="120" w:before="0" w:line="276"/>
        <w:jc w:val="both"/>
      </w:pPr>
      <w:r>
        <w:rPr>
          <w:rFonts w:ascii="Calibri" w:cs="Calibri" w:eastAsia="Calibri" w:hAnsi="Calibri"/>
          <w:b w:val="false"/>
          <w:bCs w:val="false"/>
          <w:i w:val="false"/>
          <w:iCs w:val="false"/>
          <w:color w:val="111827"/>
          <w:sz w:val="21"/>
          <w:szCs w:val="21"/>
        </w:rPr>
        <w:t xml:space="preserve">Notification nghiệp vụ/evidence là consumer RabbitMQ; riêng OTP dùng POST /internal/v1/notifications/otp-email từ contract-service để caller chỉ báo “đã gửi” khi provider đã nhận request. Publisher mang recipient email trong payload, notification không Feign ngược user-service. Retry async 3 lần exponential backoff trước DLX; idempotency theo (eventId, recipientEmail, notificationType). OTP plaintext không ghi log và không được gửi muộn sau khi caller đã nhận failure.</w:t>
      </w:r>
    </w:p>
    <w:p>
      <w:pPr>
        <w:pStyle w:val="Heading1"/>
        <w:pBdr>
          <w:bottom w:val="single" w:color="D1D5DB" w:sz="6" w:space="6"/>
        </w:pBdr>
        <w:spacing w:after="120" w:before="320"/>
      </w:pPr>
      <w:r>
        <w:rPr>
          <w:rFonts w:ascii="Calibri" w:cs="Calibri" w:eastAsia="Calibri" w:hAnsi="Calibri"/>
          <w:b/>
          <w:bCs/>
          <w:color w:val="1F2A37"/>
          <w:sz w:val="30"/>
          <w:szCs w:val="30"/>
        </w:rPr>
        <w:t xml:space="preserve">4. Giao tiếp và đảm bảo nhất quán</w:t>
      </w:r>
    </w:p>
    <w:p>
      <w:pPr>
        <w:pStyle w:val="Heading2"/>
        <w:spacing w:after="80" w:before="240"/>
      </w:pPr>
      <w:r>
        <w:rPr>
          <w:rFonts w:ascii="Calibri" w:cs="Calibri" w:eastAsia="Calibri" w:hAnsi="Calibri"/>
          <w:b/>
          <w:bCs/>
          <w:color w:val="1F2A37"/>
          <w:sz w:val="25"/>
          <w:szCs w:val="25"/>
        </w:rPr>
        <w:t xml:space="preserve">4.1 Đồng bộ vs bất đồng bộ</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3100"/>
        <w:gridCol w:w="4638"/>
      </w:tblGrid>
      <w:tr>
        <w:trPr>
          <w:tblHeader/>
        </w:trPr>
        <w:tc>
          <w:tcPr>
            <w:tcW w:type="dxa" w:w="19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Loại</w:t>
            </w:r>
          </w:p>
        </w:tc>
        <w:tc>
          <w:tcPr>
            <w:tcW w:type="dxa" w:w="3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Công cụ</w:t>
            </w:r>
          </w:p>
        </w:tc>
        <w:tc>
          <w:tcPr>
            <w:tcW w:type="dxa" w:w="46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Khi nào dùng · ví dụ</w:t>
            </w:r>
          </w:p>
        </w:tc>
      </w:tr>
      <w:tr>
        <w:tc>
          <w:tcPr>
            <w:tcW w:type="dxa" w:w="1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Sync REST</w:t>
            </w:r>
          </w:p>
        </w:tc>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Spring Cloud OpenFeign</w:t>
            </w:r>
          </w:p>
        </w:tc>
        <w:tc>
          <w:tcPr>
            <w:tcW w:type="dxa" w:w="46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Caller cần response ngay — vd contract-service validate user/KYC hoặc gọi internal OTP delivery trước khi báo OTP đã gửi</w:t>
            </w:r>
          </w:p>
        </w:tc>
      </w:tr>
      <w:tr>
        <w:tc>
          <w:tcPr>
            <w:tcW w:type="dxa" w:w="1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Async Event</w:t>
            </w:r>
          </w:p>
        </w:tc>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RabbitMQ + @RabbitListener</w:t>
            </w:r>
          </w:p>
        </w:tc>
        <w:tc>
          <w:tcPr>
            <w:tcW w:type="dxa" w:w="46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Trigger downstream không cần chờ kết quả — vd contract.signed → escrow lock; owner service → notification.*_requested để gửi mail</w:t>
            </w:r>
          </w:p>
        </w:tc>
      </w:tr>
    </w:tbl>
    <w:p>
      <w:pPr>
        <w:spacing w:after="120" w:before="0" w:line="276"/>
        <w:jc w:val="both"/>
      </w:pPr>
      <w:r>
        <w:rPr>
          <w:rFonts w:ascii="Calibri" w:cs="Calibri" w:eastAsia="Calibri" w:hAnsi="Calibri"/>
          <w:b w:val="false"/>
          <w:bCs w:val="false"/>
          <w:i w:val="false"/>
          <w:iCs w:val="false"/>
          <w:color w:val="111827"/>
          <w:sz w:val="21"/>
          <w:szCs w:val="21"/>
        </w:rPr>
        <w:t xml:space="preserve">Saga theo mô hình choreography: mỗi dịch vụ publish event khi hoàn thành một bước, dịch vụ tiếp theo subscribe và phản ứng — không orchestrator. Bù trừ (compensation) cũng qua event ngược, không rollback phân tán.</w:t>
      </w:r>
    </w:p>
    <w:p>
      <w:pPr>
        <w:pStyle w:val="Heading2"/>
        <w:spacing w:after="80" w:before="240"/>
      </w:pPr>
      <w:r>
        <w:rPr>
          <w:rFonts w:ascii="Calibri" w:cs="Calibri" w:eastAsia="Calibri" w:hAnsi="Calibri"/>
          <w:b/>
          <w:bCs/>
          <w:color w:val="1F2A37"/>
          <w:sz w:val="25"/>
          <w:szCs w:val="25"/>
        </w:rPr>
        <w:t xml:space="preserve">4.2 Transactional Outbox Pattern</w:t>
      </w:r>
    </w:p>
    <w:p>
      <w:pPr>
        <w:spacing w:after="120" w:before="0" w:line="276"/>
        <w:jc w:val="both"/>
      </w:pPr>
      <w:r>
        <w:rPr>
          <w:rFonts w:ascii="Calibri" w:cs="Calibri" w:eastAsia="Calibri" w:hAnsi="Calibri"/>
          <w:b w:val="false"/>
          <w:bCs w:val="false"/>
          <w:i w:val="false"/>
          <w:iCs w:val="false"/>
          <w:color w:val="111827"/>
          <w:sz w:val="21"/>
          <w:szCs w:val="21"/>
        </w:rPr>
        <w:t xml:space="preserve">Vấn đề cốt lõi: nếu một dịch vụ lưu DB thành công nhưng publish RabbitMQ thất bại (hoặc ngược lại), hệ thống rơi vào trạng thái inconsistent — đây là dual-write problem. Giải pháp: ghi event vào bảng outbox trong cùng transaction với việc đổi trạng thái nghiệp vụ; một @Scheduled poller đọc bảng này và publish lên RabbitMQ, đánh dấu PUBLISHED sau khi thành công. DB commit là atomic nên không bao giờ có chuyện đổi state mà thiếu event, hoặc gửi event mà state chưa đổi.</w:t>
      </w:r>
    </w:p>
    <w:p>
      <w:pPr>
        <w:spacing w:after="120" w:before="0" w:line="276"/>
        <w:jc w:val="both"/>
      </w:pPr>
      <w:r>
        <w:rPr>
          <w:rFonts w:ascii="Calibri" w:cs="Calibri" w:eastAsia="Calibri" w:hAnsi="Calibri"/>
          <w:b/>
          <w:bCs/>
          <w:i w:val="false"/>
          <w:iCs w:val="false"/>
          <w:color w:val="111827"/>
          <w:sz w:val="21"/>
          <w:szCs w:val="21"/>
        </w:rPr>
        <w:t xml:space="preserve">Hai biến thể trong hệ thống. </w:t>
      </w:r>
      <w:r>
        <w:rPr>
          <w:rFonts w:ascii="Calibri" w:cs="Calibri" w:eastAsia="Calibri" w:hAnsi="Calibri"/>
          <w:b w:val="false"/>
          <w:bCs w:val="false"/>
          <w:i w:val="false"/>
          <w:iCs w:val="false"/>
          <w:color w:val="111827"/>
          <w:sz w:val="21"/>
          <w:szCs w:val="21"/>
        </w:rPr>
        <w:t xml:space="preserve">Outbox qua RabbitMQ (giữa các dịch vụ, có network hop) và Local Outbox (đồng bộ Milestone → Contract trong cùng contract-service, không qua RabbitMQ — xem Mục 3.3). Cùng nguyên tắc atomic-commit-then-poll, khác phạm vi.</w:t>
      </w:r>
    </w:p>
    <w:p>
      <w:pPr>
        <w:pStyle w:val="Heading2"/>
        <w:spacing w:after="80" w:before="240"/>
      </w:pPr>
      <w:r>
        <w:rPr>
          <w:rFonts w:ascii="Calibri" w:cs="Calibri" w:eastAsia="Calibri" w:hAnsi="Calibri"/>
          <w:b/>
          <w:bCs/>
          <w:color w:val="1F2A37"/>
          <w:sz w:val="25"/>
          <w:szCs w:val="25"/>
        </w:rPr>
        <w:t xml:space="preserve">4.3 Idempotency</w:t>
      </w:r>
    </w:p>
    <w:p>
      <w:pPr>
        <w:spacing w:after="120" w:before="0" w:line="276"/>
        <w:jc w:val="both"/>
      </w:pPr>
      <w:r>
        <w:rPr>
          <w:rFonts w:ascii="Calibri" w:cs="Calibri" w:eastAsia="Calibri" w:hAnsi="Calibri"/>
          <w:b w:val="false"/>
          <w:bCs w:val="false"/>
          <w:i w:val="false"/>
          <w:iCs w:val="false"/>
          <w:color w:val="111827"/>
          <w:sz w:val="21"/>
          <w:szCs w:val="21"/>
        </w:rPr>
        <w:t xml:space="preserve">RabbitMQ đảm bảo at-least-once — consumer có thể nhận cùng message nhiều lần. Mỗi consumer nhạy cảm có khoá riêng: bank dùng sourceEventId, analytics dùng message_id, notification dùng (eventId, recipientEmail, notificationType) vì một event có thể gửi nhiều người/loại mail. Bank nhận trùng không insert lại nhưng vẫn re-publish confirmation để tránh caller treo khi confirmation cũ bị mất.</w:t>
      </w:r>
    </w:p>
    <w:p>
      <w:pPr>
        <w:pStyle w:val="Heading2"/>
        <w:spacing w:after="80" w:before="240"/>
      </w:pPr>
      <w:r>
        <w:rPr>
          <w:rFonts w:ascii="Calibri" w:cs="Calibri" w:eastAsia="Calibri" w:hAnsi="Calibri"/>
          <w:b/>
          <w:bCs/>
          <w:color w:val="1F2A37"/>
          <w:sz w:val="25"/>
          <w:szCs w:val="25"/>
        </w:rPr>
        <w:t xml:space="preserve">4.4 Các pattern chống lỗi bổ sung</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Optimistic locking </w:t>
      </w:r>
      <w:r>
        <w:rPr>
          <w:rFonts w:ascii="Calibri" w:cs="Calibri" w:eastAsia="Calibri" w:hAnsi="Calibri"/>
          <w:b w:val="false"/>
          <w:bCs w:val="false"/>
          <w:i w:val="false"/>
          <w:iCs w:val="false"/>
          <w:color w:val="111827"/>
          <w:sz w:val="21"/>
          <w:szCs w:val="21"/>
        </w:rPr>
        <w:t xml:space="preserve">(@Version trên ContractJpaEntity và EscrowAccountJpaEntity) — chống lost-update khi cập nhật đồng thời.</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Circuit breaker </w:t>
      </w:r>
      <w:r>
        <w:rPr>
          <w:rFonts w:ascii="Calibri" w:cs="Calibri" w:eastAsia="Calibri" w:hAnsi="Calibri"/>
          <w:b w:val="false"/>
          <w:bCs w:val="false"/>
          <w:i w:val="false"/>
          <w:iCs w:val="false"/>
          <w:color w:val="111827"/>
          <w:sz w:val="21"/>
          <w:szCs w:val="21"/>
        </w:rPr>
        <w:t xml:space="preserve">(Resilience4j @CircuitBreaker trên Feign call) — chặn cascading failure khi một dịch vụ downstream chậm/chết.</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Event schema versioning </w:t>
      </w:r>
      <w:r>
        <w:rPr>
          <w:rFonts w:ascii="Calibri" w:cs="Calibri" w:eastAsia="Calibri" w:hAnsi="Calibri"/>
          <w:b w:val="false"/>
          <w:bCs w:val="false"/>
          <w:i w:val="false"/>
          <w:iCs w:val="false"/>
          <w:color w:val="111827"/>
          <w:sz w:val="21"/>
          <w:szCs w:val="21"/>
        </w:rPr>
        <w:t xml:space="preserve">— khi payload event đổi, consumer cũ cần xử lý được version cũ lẫn mới (tolerant reader).</w:t>
      </w:r>
    </w:p>
    <w:p>
      <w:pPr>
        <w:pStyle w:val="Heading1"/>
        <w:pBdr>
          <w:bottom w:val="single" w:color="D1D5DB" w:sz="6" w:space="6"/>
        </w:pBdr>
        <w:spacing w:after="120" w:before="320"/>
      </w:pPr>
      <w:r>
        <w:rPr>
          <w:rFonts w:ascii="Calibri" w:cs="Calibri" w:eastAsia="Calibri" w:hAnsi="Calibri"/>
          <w:b/>
          <w:bCs/>
          <w:color w:val="1F2A37"/>
          <w:sz w:val="30"/>
          <w:szCs w:val="30"/>
        </w:rPr>
        <w:t xml:space="preserve">5. Event Catalog</w:t>
      </w:r>
    </w:p>
    <w:p>
      <w:pPr>
        <w:spacing w:after="120" w:before="0" w:line="276"/>
        <w:jc w:val="both"/>
      </w:pPr>
      <w:r>
        <w:rPr>
          <w:rFonts w:ascii="Calibri" w:cs="Calibri" w:eastAsia="Calibri" w:hAnsi="Calibri"/>
          <w:b w:val="false"/>
          <w:bCs w:val="false"/>
          <w:i w:val="false"/>
          <w:iCs w:val="false"/>
          <w:color w:val="111827"/>
          <w:sz w:val="21"/>
          <w:szCs w:val="21"/>
        </w:rPr>
        <w:t xml:space="preserve">Exchange theo aggregate (topic), cộng một dead-letter exchange (fanout) nhận message fail sau 3 retry. Mỗi message mang eventId (UUID) + occurredAt ở top-level để consumer dedup. Convention đặt tên: {aggregate}.{actor}_{past_tense_verb}.</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3100"/>
        <w:gridCol w:w="2400"/>
        <w:gridCol w:w="4138"/>
      </w:tblGrid>
      <w:tr>
        <w:trPr>
          <w:tblHeader/>
        </w:trPr>
        <w:tc>
          <w:tcPr>
            <w:tcW w:type="dxa" w:w="3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Routing key</w:t>
            </w:r>
          </w:p>
        </w:tc>
        <w:tc>
          <w:tcPr>
            <w:tcW w:type="dxa" w:w="2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Publisher</w:t>
            </w:r>
          </w:p>
        </w:tc>
        <w:tc>
          <w:tcPr>
            <w:tcW w:type="dxa" w:w="41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Consumer(s)</w:t>
            </w:r>
          </w:p>
        </w:tc>
      </w:tr>
      <w:tr>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contract.signed</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contract-service</w:t>
            </w:r>
          </w:p>
        </w:tc>
        <w:tc>
          <w:tcPr>
            <w:tcW w:type="dxa" w:w="4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escrow-service (trigger lock cọc, mang buyerDepositAmount/sellerDepositAmount tính sẵn), audit-service, analytics-service</w:t>
            </w:r>
          </w:p>
        </w:tc>
      </w:tr>
      <w:tr>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contract.settled</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contract-service</w:t>
            </w:r>
          </w:p>
        </w:tc>
        <w:tc>
          <w:tcPr>
            <w:tcW w:type="dxa" w:w="4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escrow-service (hoàn buyerDepositRate), reputation-service, analytics-service</w:t>
            </w:r>
          </w:p>
        </w:tc>
      </w:tr>
      <w:tr>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contract.cancelled</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contract-service</w:t>
            </w:r>
          </w:p>
        </w:tc>
        <w:tc>
          <w:tcPr>
            <w:tcW w:type="dxa" w:w="4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escrow-service (seize/refund cọc), analytics-service</w:t>
            </w:r>
          </w:p>
        </w:tc>
      </w:tr>
      <w:tr>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milestone.seller_weighed</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contract-service</w:t>
            </w:r>
          </w:p>
        </w:tc>
        <w:tc>
          <w:tcPr>
            <w:tcW w:type="dxa" w:w="4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file-service, audit-service</w:t>
            </w:r>
          </w:p>
        </w:tc>
      </w:tr>
      <w:tr>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milestone.buyer_confirmed</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contract-service</w:t>
            </w:r>
          </w:p>
        </w:tc>
        <w:tc>
          <w:tcPr>
            <w:tcW w:type="dxa" w:w="4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audit-service (sửa 08/07/2026 — bỏ escrow-service, tránh release tiền 2 lần; release thật đi qua milestone.settled)</w:t>
            </w:r>
          </w:p>
        </w:tc>
      </w:tr>
      <w:tr>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milestone.settled</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contract-service</w:t>
            </w:r>
          </w:p>
        </w:tc>
        <w:tc>
          <w:tcPr>
            <w:tcW w:type="dxa" w:w="4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escrow-service, reputation-service, analytics-service, audit-service</w:t>
            </w:r>
          </w:p>
        </w:tc>
      </w:tr>
      <w:tr>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milestone.cancelled_with_penalty</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contract-service</w:t>
            </w:r>
          </w:p>
        </w:tc>
        <w:tc>
          <w:tcPr>
            <w:tcW w:type="dxa" w:w="4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escrow-service, reputation-service (tính lockDurationDays), analytics-service, audit-service</w:t>
            </w:r>
          </w:p>
        </w:tc>
      </w:tr>
      <w:tr>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milestone.force_majeure_claimed / _resolved</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contract-service</w:t>
            </w:r>
          </w:p>
        </w:tc>
        <w:tc>
          <w:tcPr>
            <w:tcW w:type="dxa" w:w="4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escrow-service, audit-service</w:t>
            </w:r>
          </w:p>
        </w:tc>
      </w:tr>
      <w:tr>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milestone.dispute_resolved (mới, 08/07/2026)</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contract-service</w:t>
            </w:r>
          </w:p>
        </w:tc>
        <w:tc>
          <w:tcPr>
            <w:tcW w:type="dxa" w:w="4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reputation-service (tín hiệu chống lạm dụng FLAG_ISSUE, §3.7)</w:t>
            </w:r>
          </w:p>
        </w:tc>
      </w:tr>
      <w:tr>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milestone.level2_provisional_settled / _buffer_reconciled / _terminal_settled (mới, 08/07/2026)</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contract-service</w:t>
            </w:r>
          </w:p>
        </w:tc>
        <w:tc>
          <w:tcPr>
            <w:tcW w:type="dxa" w:w="4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escrow-service</w:t>
            </w:r>
          </w:p>
        </w:tc>
      </w:tr>
      <w:tr>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escrow.deposit_locked (mới, 08/07/2026)</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escrow-service</w:t>
            </w:r>
          </w:p>
        </w:tc>
        <w:tc>
          <w:tcPr>
            <w:tcW w:type="dxa" w:w="4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contract-service (chuyển ACTIVE); escrow-service tự dùng để lock batchAmount milestone đầu</w:t>
            </w:r>
          </w:p>
        </w:tc>
      </w:tr>
      <w:tr>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bank.lock_requested / release_ / seize_ / refund_ (entryType tách LOCK_BUYER_DEPOSIT/LOCK_SELLER_DEPOSIT, 08/07/2026)</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escrow-service</w:t>
            </w:r>
          </w:p>
        </w:tc>
        <w:tc>
          <w:tcPr>
            <w:tcW w:type="dxa" w:w="4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bank-service</w:t>
            </w:r>
          </w:p>
        </w:tc>
      </w:tr>
      <w:tr>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bank.lock_completed / _failed (+ release/seize/refund)</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bank-service</w:t>
            </w:r>
          </w:p>
        </w:tc>
        <w:tc>
          <w:tcPr>
            <w:tcW w:type="dxa" w:w="4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escrow-service</w:t>
            </w:r>
          </w:p>
        </w:tc>
      </w:tr>
      <w:tr>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bank.large_transaction_flagged (mới, 08/07/2026)</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bank-service</w:t>
            </w:r>
          </w:p>
        </w:tc>
        <w:tc>
          <w:tcPr>
            <w:tcW w:type="dxa" w:w="4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reputation-service (1 input AML), audit-service — báo cáo ≥500tr, không hold</w:t>
            </w:r>
          </w:p>
        </w:tc>
      </w:tr>
      <w:tr>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file.ready / file.failed</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file-service</w:t>
            </w:r>
          </w:p>
        </w:tc>
        <w:tc>
          <w:tcPr>
            <w:tcW w:type="dxa" w:w="41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dịch vụ sở hữu fileId tương ứng</w:t>
            </w:r>
          </w:p>
        </w:tc>
      </w:tr>
      <w:tr>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notification.*_requested</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user / contract / inspection / audit / bank</w:t>
            </w:r>
          </w:p>
        </w:tc>
        <w:tc>
          <w:tcPr>
            <w:tcW w:type="dxa" w:w="41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6"/>
                <w:szCs w:val="16"/>
              </w:rPr>
              <w:t xml:space="preserve">notification-service — payload đã có recipient + template data; không làm phình domain event</w:t>
            </w:r>
          </w:p>
        </w:tc>
      </w:tr>
    </w:tbl>
    <w:p>
      <w:pPr>
        <w:spacing w:after="120" w:before="0" w:line="276"/>
        <w:jc w:val="both"/>
      </w:pPr>
      <w:r>
        <w:rPr>
          <w:rFonts w:ascii="Calibri" w:cs="Calibri" w:eastAsia="Calibri" w:hAnsi="Calibri"/>
          <w:b/>
          <w:bCs/>
          <w:i w:val="false"/>
          <w:iCs w:val="false"/>
          <w:color w:val="111827"/>
          <w:sz w:val="21"/>
          <w:szCs w:val="21"/>
        </w:rPr>
        <w:t xml:space="preserve">Hai loại event tách cấp. </w:t>
      </w:r>
      <w:r>
        <w:rPr>
          <w:rFonts w:ascii="Calibri" w:cs="Calibri" w:eastAsia="Calibri" w:hAnsi="Calibri"/>
          <w:b w:val="false"/>
          <w:bCs w:val="false"/>
          <w:i w:val="false"/>
          <w:iCs w:val="false"/>
          <w:color w:val="111827"/>
          <w:sz w:val="21"/>
          <w:szCs w:val="21"/>
        </w:rPr>
        <w:t xml:space="preserve">Event cấp milestone (milestone.*) xử lý từng đợt giao hàng; event cấp contract (contract.settled/cancelled) xử lý phần buyerDepositRate ở cấp hợp đồng. Một lần Contract.cancel() bắn đúng một contract.cancelled cho phần cọc, độc lập với các milestone.cancelled_with_penalty riêng lẻ của từng đợt còn lại.</w:t>
      </w:r>
    </w:p>
    <w:p>
      <w:pPr>
        <w:pStyle w:val="Heading1"/>
        <w:pBdr>
          <w:bottom w:val="single" w:color="D1D5DB" w:sz="6" w:space="6"/>
        </w:pBdr>
        <w:spacing w:after="120" w:before="320"/>
      </w:pPr>
      <w:r>
        <w:rPr>
          <w:rFonts w:ascii="Calibri" w:cs="Calibri" w:eastAsia="Calibri" w:hAnsi="Calibri"/>
          <w:b/>
          <w:bCs/>
          <w:color w:val="1F2A37"/>
          <w:sz w:val="30"/>
          <w:szCs w:val="30"/>
        </w:rPr>
        <w:t xml:space="preserve">6. Thiết kế cơ sở dữ liệu</w:t>
      </w:r>
    </w:p>
    <w:p>
      <w:pPr>
        <w:pStyle w:val="Heading2"/>
        <w:spacing w:after="80" w:before="240"/>
      </w:pPr>
      <w:r>
        <w:rPr>
          <w:rFonts w:ascii="Calibri" w:cs="Calibri" w:eastAsia="Calibri" w:hAnsi="Calibri"/>
          <w:b/>
          <w:bCs/>
          <w:color w:val="1F2A37"/>
          <w:sz w:val="25"/>
          <w:szCs w:val="25"/>
        </w:rPr>
        <w:t xml:space="preserve">6.1 Nguyên tắc database-per-service</w:t>
      </w:r>
    </w:p>
    <w:p>
      <w:pPr>
        <w:spacing w:after="120" w:before="0" w:line="276"/>
        <w:jc w:val="both"/>
      </w:pPr>
      <w:r>
        <w:rPr>
          <w:rFonts w:ascii="Calibri" w:cs="Calibri" w:eastAsia="Calibri" w:hAnsi="Calibri"/>
          <w:b w:val="false"/>
          <w:bCs w:val="false"/>
          <w:i w:val="false"/>
          <w:iCs w:val="false"/>
          <w:color w:val="111827"/>
          <w:sz w:val="21"/>
          <w:szCs w:val="21"/>
        </w:rPr>
        <w:t xml:space="preserve">Mỗi dịch vụ sở hữu DB riêng, không dịch vụ nào truy cập DB của dịch vụ khác. Dữ liệu chia sẻ qua REST (sync), event (async), hoặc denormalization lúc tạo bản ghi. Mọi tham chiếu cross-service là plain UUID (userId, fileId, reportId…) — không REFERENCES cross-database, integrity giữ ở application layer.</w:t>
      </w:r>
    </w:p>
    <w:p>
      <w:pPr>
        <w:spacing w:after="120" w:before="0" w:line="276"/>
        <w:jc w:val="both"/>
      </w:pPr>
      <w:r>
        <w:rPr>
          <w:rFonts w:ascii="Calibri" w:cs="Calibri" w:eastAsia="Calibri" w:hAnsi="Calibri"/>
          <w:b/>
          <w:bCs/>
          <w:i w:val="false"/>
          <w:iCs w:val="false"/>
          <w:color w:val="111827"/>
          <w:sz w:val="21"/>
          <w:szCs w:val="21"/>
        </w:rPr>
        <w:t xml:space="preserve">Denormalization có chủ đích. </w:t>
      </w:r>
      <w:r>
        <w:rPr>
          <w:rFonts w:ascii="Calibri" w:cs="Calibri" w:eastAsia="Calibri" w:hAnsi="Calibri"/>
          <w:b w:val="false"/>
          <w:bCs w:val="false"/>
          <w:i w:val="false"/>
          <w:iCs w:val="false"/>
          <w:color w:val="111827"/>
          <w:sz w:val="21"/>
          <w:szCs w:val="21"/>
        </w:rPr>
        <w:t xml:space="preserve">Contract snapshot productName, quantity, agreedPrice, tên hai bên tại thời điểm tạo offer — đây là domain invariant: hợp đồng đã ký không đổi khi listing hay tên tổ chức bị sửa sau. Cùng nguyên tắc snapshot áp cho milestoneSchedule, ProductPlot, level2InspectorOrg.</w:t>
      </w:r>
    </w:p>
    <w:p>
      <w:pPr>
        <w:pStyle w:val="Heading2"/>
        <w:spacing w:after="80" w:before="240"/>
      </w:pPr>
      <w:r>
        <w:rPr>
          <w:rFonts w:ascii="Calibri" w:cs="Calibri" w:eastAsia="Calibri" w:hAnsi="Calibri"/>
          <w:b/>
          <w:bCs/>
          <w:color w:val="1F2A37"/>
          <w:sz w:val="25"/>
          <w:szCs w:val="25"/>
        </w:rPr>
        <w:t xml:space="preserve">6.2 Một số schema then chốt</w:t>
      </w:r>
    </w:p>
    <w:p>
      <w:pPr>
        <w:spacing w:after="120" w:before="0" w:line="276"/>
        <w:jc w:val="both"/>
      </w:pPr>
      <w:r>
        <w:rPr>
          <w:rFonts w:ascii="Calibri" w:cs="Calibri" w:eastAsia="Calibri" w:hAnsi="Calibri"/>
          <w:b w:val="false"/>
          <w:bCs w:val="false"/>
          <w:i w:val="false"/>
          <w:iCs w:val="false"/>
          <w:color w:val="111827"/>
          <w:sz w:val="21"/>
          <w:szCs w:val="21"/>
        </w:rPr>
        <w:t xml:space="preserve">Sổ cái tiền (bank-service) — append-only, số dư luôn derive từ SUM, không lưu sẵn:</w:t>
      </w:r>
    </w:p>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8"/>
          <w:szCs w:val="18"/>
        </w:rPr>
        <w:t xml:space="preserve">CREATE TABLE ledger_entry (</w:t>
      </w:r>
      <w:r>
        <w:rPr>
          <w:rFonts w:ascii="Consolas" w:cs="Consolas" w:eastAsia="Consolas" w:hAnsi="Consolas"/>
          <w:color w:val="374151"/>
          <w:sz w:val="18"/>
          <w:szCs w:val="18"/>
        </w:rPr>
        <w:br/>
        <w:t xml:space="preserve">  entry_id        UUID PRIMARY KEY,</w:t>
      </w:r>
      <w:r>
        <w:rPr>
          <w:rFonts w:ascii="Consolas" w:cs="Consolas" w:eastAsia="Consolas" w:hAnsi="Consolas"/>
          <w:color w:val="374151"/>
          <w:sz w:val="18"/>
          <w:szCs w:val="18"/>
        </w:rPr>
        <w:br/>
        <w:t xml:space="preserve">  source_event_id UUID NOT NULL UNIQUE,   -- idempotency key</w:t>
      </w:r>
      <w:r>
        <w:rPr>
          <w:rFonts w:ascii="Consolas" w:cs="Consolas" w:eastAsia="Consolas" w:hAnsi="Consolas"/>
          <w:color w:val="374151"/>
          <w:sz w:val="18"/>
          <w:szCs w:val="18"/>
        </w:rPr>
        <w:br/>
        <w:t xml:space="preserve">  contract_id     UUID NOT NULL,</w:t>
      </w:r>
      <w:r>
        <w:rPr>
          <w:rFonts w:ascii="Consolas" w:cs="Consolas" w:eastAsia="Consolas" w:hAnsi="Consolas"/>
          <w:color w:val="374151"/>
          <w:sz w:val="18"/>
          <w:szCs w:val="18"/>
        </w:rPr>
        <w:br/>
        <w:t xml:space="preserve">  milestone_id    UUID NULL,              -- NULL = buyerDepositRate</w:t>
      </w:r>
      <w:r>
        <w:rPr>
          <w:rFonts w:ascii="Consolas" w:cs="Consolas" w:eastAsia="Consolas" w:hAnsi="Consolas"/>
          <w:color w:val="374151"/>
          <w:sz w:val="18"/>
          <w:szCs w:val="18"/>
        </w:rPr>
        <w:br/>
        <w:t xml:space="preserve">  user_id         UUID NOT NULL,</w:t>
      </w:r>
      <w:r>
        <w:rPr>
          <w:rFonts w:ascii="Consolas" w:cs="Consolas" w:eastAsia="Consolas" w:hAnsi="Consolas"/>
          <w:color w:val="374151"/>
          <w:sz w:val="18"/>
          <w:szCs w:val="18"/>
        </w:rPr>
        <w:br/>
        <w:t xml:space="preserve">  entry_type      VARCHAR(20) NOT NULL,   -- LOCK_* | RELEASE_* | SEIZE_* | REFUND_*</w:t>
      </w:r>
      <w:r>
        <w:rPr>
          <w:rFonts w:ascii="Consolas" w:cs="Consolas" w:eastAsia="Consolas" w:hAnsi="Consolas"/>
          <w:color w:val="374151"/>
          <w:sz w:val="18"/>
          <w:szCs w:val="18"/>
        </w:rPr>
        <w:br/>
        <w:t xml:space="preserve">  amount          DECIMAL(15,2) NOT NULL,</w:t>
      </w:r>
      <w:r>
        <w:rPr>
          <w:rFonts w:ascii="Consolas" w:cs="Consolas" w:eastAsia="Consolas" w:hAnsi="Consolas"/>
          <w:color w:val="374151"/>
          <w:sz w:val="18"/>
          <w:szCs w:val="18"/>
        </w:rPr>
        <w:br/>
        <w:t xml:space="preserve">  created_at      TIMESTAMP NOT NULL DEFAULT now()</w:t>
      </w:r>
      <w:r>
        <w:rPr>
          <w:rFonts w:ascii="Consolas" w:cs="Consolas" w:eastAsia="Consolas" w:hAnsi="Consolas"/>
          <w:color w:val="374151"/>
          <w:sz w:val="18"/>
          <w:szCs w:val="18"/>
        </w:rPr>
        <w:br/>
        <w:t xml:space="preserve">);</w:t>
      </w:r>
    </w:p>
    <w:p>
      <w:pPr>
        <w:spacing w:after="120" w:before="0" w:line="276"/>
        <w:jc w:val="both"/>
      </w:pPr>
      <w:r>
        <w:rPr>
          <w:rFonts w:ascii="Calibri" w:cs="Calibri" w:eastAsia="Calibri" w:hAnsi="Calibri"/>
          <w:b w:val="false"/>
          <w:bCs w:val="false"/>
          <w:i w:val="false"/>
          <w:iCs w:val="false"/>
          <w:color w:val="111827"/>
          <w:sz w:val="21"/>
          <w:szCs w:val="21"/>
        </w:rPr>
        <w:t xml:space="preserve">Chuỗi hash audit (audit-service) — dual chain trên một bảng, DB user chỉ INSERT + SELECT:</w:t>
      </w:r>
    </w:p>
    <w:p>
      <w:pPr>
        <w:pBdr>
          <w:top w:val="single" w:color="D1D5DB" w:sz="2" w:space="4"/>
          <w:bottom w:val="single" w:color="D1D5DB" w:sz="2" w:space="4"/>
          <w:left w:val="single" w:color="D1D5DB" w:sz="2" w:space="4"/>
          <w:right w:val="single" w:color="D1D5DB" w:sz="2" w:space="4"/>
        </w:pBdr>
        <w:shd w:fill="F3F4F6" w:color="auto" w:val="clear"/>
        <w:spacing w:after="140" w:before="80" w:line="240"/>
        <w:ind w:left="60" w:right="60"/>
      </w:pPr>
      <w:r>
        <w:rPr>
          <w:rFonts w:ascii="Consolas" w:cs="Consolas" w:eastAsia="Consolas" w:hAnsi="Consolas"/>
          <w:color w:val="374151"/>
          <w:sz w:val="18"/>
          <w:szCs w:val="18"/>
        </w:rPr>
        <w:t xml:space="preserve">CREATE TABLE audit_record (</w:t>
      </w:r>
      <w:r>
        <w:rPr>
          <w:rFonts w:ascii="Consolas" w:cs="Consolas" w:eastAsia="Consolas" w:hAnsi="Consolas"/>
          <w:color w:val="374151"/>
          <w:sz w:val="18"/>
          <w:szCs w:val="18"/>
        </w:rPr>
        <w:br/>
        <w:t xml:space="preserve">  record_id         UUID PRIMARY KEY,</w:t>
      </w:r>
      <w:r>
        <w:rPr>
          <w:rFonts w:ascii="Consolas" w:cs="Consolas" w:eastAsia="Consolas" w:hAnsi="Consolas"/>
          <w:color w:val="374151"/>
          <w:sz w:val="18"/>
          <w:szCs w:val="18"/>
        </w:rPr>
        <w:br/>
        <w:t xml:space="preserve">  contract_id       UUID NOT NULL,</w:t>
      </w:r>
      <w:r>
        <w:rPr>
          <w:rFonts w:ascii="Consolas" w:cs="Consolas" w:eastAsia="Consolas" w:hAnsi="Consolas"/>
          <w:color w:val="374151"/>
          <w:sz w:val="18"/>
          <w:szCs w:val="18"/>
        </w:rPr>
        <w:br/>
        <w:t xml:space="preserve">  source_type       VARCHAR(50) NOT NULL,</w:t>
      </w:r>
      <w:r>
        <w:rPr>
          <w:rFonts w:ascii="Consolas" w:cs="Consolas" w:eastAsia="Consolas" w:hAnsi="Consolas"/>
          <w:color w:val="374151"/>
          <w:sz w:val="18"/>
          <w:szCs w:val="18"/>
        </w:rPr>
        <w:br/>
        <w:t xml:space="preserve">  content           JSON NOT NULL,</w:t>
      </w:r>
      <w:r>
        <w:rPr>
          <w:rFonts w:ascii="Consolas" w:cs="Consolas" w:eastAsia="Consolas" w:hAnsi="Consolas"/>
          <w:color w:val="374151"/>
          <w:sz w:val="18"/>
          <w:szCs w:val="18"/>
        </w:rPr>
        <w:br/>
        <w:t xml:space="preserve">  record_hash       VARCHAR(64) NOT NULL,</w:t>
      </w:r>
      <w:r>
        <w:rPr>
          <w:rFonts w:ascii="Consolas" w:cs="Consolas" w:eastAsia="Consolas" w:hAnsi="Consolas"/>
          <w:color w:val="374151"/>
          <w:sz w:val="18"/>
          <w:szCs w:val="18"/>
        </w:rPr>
        <w:br/>
        <w:t xml:space="preserve">  prev_hash_global  VARCHAR(64),   -- chuỗi toàn cục</w:t>
      </w:r>
      <w:r>
        <w:rPr>
          <w:rFonts w:ascii="Consolas" w:cs="Consolas" w:eastAsia="Consolas" w:hAnsi="Consolas"/>
          <w:color w:val="374151"/>
          <w:sz w:val="18"/>
          <w:szCs w:val="18"/>
        </w:rPr>
        <w:br/>
        <w:t xml:space="preserve">  prev_hash_contract VARCHAR(64),  -- chuỗi per-contract</w:t>
      </w:r>
      <w:r>
        <w:rPr>
          <w:rFonts w:ascii="Consolas" w:cs="Consolas" w:eastAsia="Consolas" w:hAnsi="Consolas"/>
          <w:color w:val="374151"/>
          <w:sz w:val="18"/>
          <w:szCs w:val="18"/>
        </w:rPr>
        <w:br/>
        <w:t xml:space="preserve">  ots_proof         BLOB NULL      -- OpenTimestamps</w:t>
      </w:r>
      <w:r>
        <w:rPr>
          <w:rFonts w:ascii="Consolas" w:cs="Consolas" w:eastAsia="Consolas" w:hAnsi="Consolas"/>
          <w:color w:val="374151"/>
          <w:sz w:val="18"/>
          <w:szCs w:val="18"/>
        </w:rPr>
        <w:br/>
        <w:t xml:space="preserv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7238"/>
      </w:tblGrid>
      <w:tr>
        <w:trPr>
          <w:tblHeader/>
        </w:trPr>
        <w:tc>
          <w:tcPr>
            <w:tcW w:type="dxa" w:w="2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Database</w:t>
            </w:r>
          </w:p>
        </w:tc>
        <w:tc>
          <w:tcPr>
            <w:tcW w:type="dxa" w:w="72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Bảng chính</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user_db</w:t>
            </w:r>
          </w:p>
        </w:tc>
        <w:tc>
          <w:tcPr>
            <w:tcW w:type="dxa" w:w="7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user_profiles (userId = Keycloak sub, authorization_expires_at)</w:t>
            </w:r>
          </w:p>
        </w:tc>
      </w:tr>
      <w:tr>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product_db</w:t>
            </w:r>
          </w:p>
        </w:tc>
        <w:tc>
          <w:tcPr>
            <w:tcW w:type="dxa" w:w="7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products (+ variety_name), listings, product_plot (GEOMETRY), plot_registry_entry (GEOMETRY)</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contract_db</w:t>
            </w:r>
          </w:p>
        </w:tc>
        <w:tc>
          <w:tcPr>
            <w:tcW w:type="dxa" w:w="7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contracts, contract_terms, milestones, signatures, contract_domain_events (Outbox), milestone_sync_outbox (Local Outbox)</w:t>
            </w:r>
          </w:p>
        </w:tc>
      </w:tr>
      <w:tr>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escrow_db</w:t>
            </w:r>
          </w:p>
        </w:tc>
        <w:tc>
          <w:tcPr>
            <w:tcW w:type="dxa" w:w="7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escrow_accounts, escrow_milestones (state-only)</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bank_db</w:t>
            </w:r>
          </w:p>
        </w:tc>
        <w:tc>
          <w:tcPr>
            <w:tcW w:type="dxa" w:w="7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ledger_entry (append-only)</w:t>
            </w:r>
          </w:p>
        </w:tc>
      </w:tr>
      <w:tr>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inspection_db</w:t>
            </w:r>
          </w:p>
        </w:tc>
        <w:tc>
          <w:tcPr>
            <w:tcW w:type="dxa" w:w="7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inspection_report, level2_inspection_commission</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reputation_db</w:t>
            </w:r>
          </w:p>
        </w:tc>
        <w:tc>
          <w:tcPr>
            <w:tcW w:type="dxa" w:w="7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lock_entry (insert-only), reputation_score</w:t>
            </w:r>
          </w:p>
        </w:tc>
      </w:tr>
      <w:tr>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file_db</w:t>
            </w:r>
          </w:p>
        </w:tc>
        <w:tc>
          <w:tcPr>
            <w:tcW w:type="dxa" w:w="7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file, email_parse_failure</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pricing_db</w:t>
            </w:r>
          </w:p>
        </w:tc>
        <w:tc>
          <w:tcPr>
            <w:tcW w:type="dxa" w:w="7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price_history (append-only), price_ingestion_failure</w:t>
            </w:r>
          </w:p>
        </w:tc>
      </w:tr>
      <w:tr>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audit_db</w:t>
            </w:r>
          </w:p>
        </w:tc>
        <w:tc>
          <w:tcPr>
            <w:tcW w:type="dxa" w:w="7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audit_record (dual chain, INSERT+SELECT only)</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analytics_db</w:t>
            </w:r>
          </w:p>
        </w:tc>
        <w:tc>
          <w:tcPr>
            <w:tcW w:type="dxa" w:w="7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dim_contract, fact_*, agg_monthly_commodity_stats, analytics_idempotency_log</w:t>
            </w:r>
          </w:p>
        </w:tc>
      </w:tr>
      <w:tr>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notification_db</w:t>
            </w:r>
          </w:p>
        </w:tc>
        <w:tc>
          <w:tcPr>
            <w:tcW w:type="dxa" w:w="7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notification_logs (eventId + recipientEmail + notificationType dedup; templateVersion; providerMessageId)</w:t>
            </w:r>
          </w:p>
        </w:tc>
      </w:tr>
    </w:tbl>
    <w:p>
      <w:pPr>
        <w:pStyle w:val="Heading1"/>
        <w:pBdr>
          <w:bottom w:val="single" w:color="D1D5DB" w:sz="6" w:space="6"/>
        </w:pBdr>
        <w:spacing w:after="120" w:before="320"/>
      </w:pPr>
      <w:r>
        <w:rPr>
          <w:rFonts w:ascii="Calibri" w:cs="Calibri" w:eastAsia="Calibri" w:hAnsi="Calibri"/>
          <w:b/>
          <w:bCs/>
          <w:color w:val="1F2A37"/>
          <w:sz w:val="30"/>
          <w:szCs w:val="30"/>
        </w:rPr>
        <w:t xml:space="preserve">7. Luồng nghiệp vụ chính — Choreography Saga</w:t>
      </w:r>
    </w:p>
    <w:p>
      <w:pPr>
        <w:spacing w:after="120" w:before="0" w:line="276"/>
        <w:jc w:val="both"/>
      </w:pPr>
      <w:r>
        <w:rPr>
          <w:rFonts w:ascii="Calibri" w:cs="Calibri" w:eastAsia="Calibri" w:hAnsi="Calibri"/>
          <w:b w:val="false"/>
          <w:bCs w:val="false"/>
          <w:i w:val="false"/>
          <w:iCs w:val="false"/>
          <w:color w:val="111827"/>
          <w:sz w:val="21"/>
          <w:szCs w:val="21"/>
        </w:rPr>
        <w:t xml:space="preserve">Luồng đầy đủ của một milestone từ lúc hợp đồng kích hoạt tới khi quyết toán, minh hoạ cách các dịch vụ phản ứng dây chuyền qua event mà không có điều phối trung tâm:</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700"/>
        <w:gridCol w:w="2500"/>
        <w:gridCol w:w="3400"/>
        <w:gridCol w:w="3038"/>
      </w:tblGrid>
      <w:tr>
        <w:trPr>
          <w:tblHeader/>
        </w:trPr>
        <w:tc>
          <w:tcPr>
            <w:tcW w:type="dxa" w:w="7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w:t>
            </w:r>
          </w:p>
        </w:tc>
        <w:tc>
          <w:tcPr>
            <w:tcW w:type="dxa" w:w="25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Actor / Dịch vụ</w:t>
            </w:r>
          </w:p>
        </w:tc>
        <w:tc>
          <w:tcPr>
            <w:tcW w:type="dxa" w:w="3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Hành động / Event</w:t>
            </w:r>
          </w:p>
        </w:tc>
        <w:tc>
          <w:tcPr>
            <w:tcW w:type="dxa" w:w="30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Kết quả</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1</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Hợp đồng đủ 2 chữ ký → publish contract.signed</w:t>
            </w:r>
          </w:p>
        </w:tc>
        <w:tc>
          <w:tcPr>
            <w:tcW w:type="dxa" w:w="3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buyerDepositRate (+ sellerDepositRate nếu có) được yêu cầu khoá</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2</w:t>
            </w:r>
          </w:p>
        </w:tc>
        <w:tc>
          <w:tcPr>
            <w:tcW w:type="dxa" w:w="2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 bank-service</w:t>
            </w:r>
          </w:p>
        </w:tc>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bank.lock_requested (LOCK_BUYER_DEPOSIT, + LOCK_SELLER_DEPOSIT nếu có) → bank.lock_completed → publish escrow.deposit_locked</w:t>
            </w:r>
          </w:p>
        </w:tc>
        <w:tc>
          <w:tcPr>
            <w:tcW w:type="dxa" w:w="3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Ledger ghi LOCK_BUYER_DEPOSIT/LOCK_SELLER_DEPOSIT; contract ACTIVE</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3</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 bank-service</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Khoá batchAmount milestone đầu (lock sớm)</w:t>
            </w:r>
          </w:p>
        </w:tc>
        <w:tc>
          <w:tcPr>
            <w:tcW w:type="dxa" w:w="3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Ledger ghi LOCK_MILESTONE</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4</w:t>
            </w:r>
          </w:p>
        </w:tc>
        <w:tc>
          <w:tcPr>
            <w:tcW w:type="dxa" w:w="2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Seller (API)</w:t>
            </w:r>
          </w:p>
        </w:tc>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Cân hàng + upload ảnh → milestone.seller_weighed</w:t>
            </w:r>
          </w:p>
        </w:tc>
        <w:tc>
          <w:tcPr>
            <w:tcW w:type="dxa" w:w="3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file-service lưu evidence; audit ghi hash</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5</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Buyer (API)</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Cân lại + upload ảnh → milestone.buyer_confirmed / CONFIRM_CLEAN</w:t>
            </w:r>
          </w:p>
        </w:tc>
        <w:tc>
          <w:tcPr>
            <w:tcW w:type="dxa" w:w="3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Tính pro-rata Delta 2</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6</w:t>
            </w:r>
          </w:p>
        </w:tc>
        <w:tc>
          <w:tcPr>
            <w:tcW w:type="dxa" w:w="2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 bank-service</w:t>
            </w:r>
          </w:p>
        </w:tc>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milestone.settled (lockedAmount, actualAmount) → RELEASE_TO_SELLER (+ REFUND_TO_BUYER nếu chênh)</w:t>
            </w:r>
          </w:p>
        </w:tc>
        <w:tc>
          <w:tcPr>
            <w:tcW w:type="dxa" w:w="3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Ledger ghi release/refund; milestone SETTLED</w:t>
            </w:r>
          </w:p>
        </w:tc>
      </w:tr>
      <w:tr>
        <w:tc>
          <w:tcPr>
            <w:tcW w:type="dxa" w:w="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7</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contract-service</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Milestone cuối SETTLED → Local Outbox → completeAllMilestones()</w:t>
            </w:r>
          </w:p>
        </w:tc>
        <w:tc>
          <w:tcPr>
            <w:tcW w:type="dxa" w:w="3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 SETTLED; publish contract.settled</w:t>
            </w:r>
          </w:p>
        </w:tc>
      </w:tr>
      <w:tr>
        <w:tc>
          <w:tcPr>
            <w:tcW w:type="dxa" w:w="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7"/>
                <w:szCs w:val="17"/>
              </w:rPr>
              <w:t xml:space="preserve">8</w:t>
            </w:r>
          </w:p>
        </w:tc>
        <w:tc>
          <w:tcPr>
            <w:tcW w:type="dxa" w:w="2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escrow → bank-service</w:t>
            </w:r>
          </w:p>
        </w:tc>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contract.settled → REFUND_TO_BUYER (buyerDepositRate) + RELEASE_TO_SELLER (sellerDepositRate nếu có)</w:t>
            </w:r>
          </w:p>
        </w:tc>
        <w:tc>
          <w:tcPr>
            <w:tcW w:type="dxa" w:w="3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Hoàn/giải cọc; reputation ghi input tích cực</w:t>
            </w:r>
          </w:p>
        </w:tc>
      </w:tr>
    </w:tbl>
    <w:p>
      <w:pPr>
        <w:spacing w:after="120" w:before="0" w:line="276"/>
        <w:jc w:val="both"/>
      </w:pPr>
      <w:r>
        <w:rPr>
          <w:rFonts w:ascii="Calibri" w:cs="Calibri" w:eastAsia="Calibri" w:hAnsi="Calibri"/>
          <w:b w:val="false"/>
          <w:bCs w:val="false"/>
          <w:i w:val="false"/>
          <w:iCs w:val="false"/>
          <w:color w:val="111827"/>
          <w:sz w:val="21"/>
          <w:szCs w:val="21"/>
        </w:rPr>
        <w:t xml:space="preserve">Nhánh bù trừ: nếu buyer flag vấn đề ở bước 5, milestone vào AWAITING_SELLER_RESPONSE; seller im lặng quá hạn → auto-settle theo số buyer báo, hoặc contest → DisputeRoutingService (INSPECTOR 3 cấp). Nếu một bên cancel, contract.cancelled kích hoạt seize/refund cọc theo initiatedBy; các milestone chưa settle bắn milestone.cancelled_with_penalty riêng.</w:t>
      </w:r>
    </w:p>
    <w:p>
      <w:pPr>
        <w:pStyle w:val="Heading1"/>
        <w:pBdr>
          <w:bottom w:val="single" w:color="D1D5DB" w:sz="6" w:space="6"/>
        </w:pBdr>
        <w:spacing w:after="120" w:before="320"/>
      </w:pPr>
      <w:r>
        <w:rPr>
          <w:rFonts w:ascii="Calibri" w:cs="Calibri" w:eastAsia="Calibri" w:hAnsi="Calibri"/>
          <w:b/>
          <w:bCs/>
          <w:color w:val="1F2A37"/>
          <w:sz w:val="30"/>
          <w:szCs w:val="30"/>
        </w:rPr>
        <w:t xml:space="preserve">8. Mô hình bảo mật</w:t>
      </w:r>
    </w:p>
    <w:p>
      <w:pPr>
        <w:pStyle w:val="Heading2"/>
        <w:spacing w:after="80" w:before="240"/>
      </w:pPr>
      <w:r>
        <w:rPr>
          <w:rFonts w:ascii="Calibri" w:cs="Calibri" w:eastAsia="Calibri" w:hAnsi="Calibri"/>
          <w:b/>
          <w:bCs/>
          <w:color w:val="1F2A37"/>
          <w:sz w:val="25"/>
          <w:szCs w:val="25"/>
        </w:rPr>
        <w:t xml:space="preserve">8.1 Xác thực và phân quyền</w:t>
      </w:r>
    </w:p>
    <w:p>
      <w:pPr>
        <w:spacing w:after="120" w:before="0" w:line="276"/>
        <w:jc w:val="both"/>
      </w:pPr>
      <w:r>
        <w:rPr>
          <w:rFonts w:ascii="Calibri" w:cs="Calibri" w:eastAsia="Calibri" w:hAnsi="Calibri"/>
          <w:b w:val="false"/>
          <w:bCs w:val="false"/>
          <w:i w:val="false"/>
          <w:iCs w:val="false"/>
          <w:color w:val="111827"/>
          <w:sz w:val="21"/>
          <w:szCs w:val="21"/>
        </w:rPr>
        <w:t xml:space="preserve">Keycloak (:8180, realm agricontract) là IAM server, cấp JWT RS256 với các vai trò BUYER/SELLER/ADMIN/INSPECTOR. Luồng: Frontend đăng nhập Keycloak → nhận JWT → gửi kèm Authorization: Bearer → Nginx → API Gateway validate token qua Keycloak JWKS → tiêm định danh (X-User-Id, X-User-Email, X-User-Role) xuống downstream. Downstream tin các header này vì request đến từ Gateway trong mạng nội bộ; ranh giới tin cậy nội bộ được siết bằng X-Internal-Secret, tiến hoá lên mTLS khi triển khai thật.</w:t>
      </w:r>
    </w:p>
    <w:p>
      <w:pPr>
        <w:spacing w:after="120" w:before="0" w:line="276"/>
        <w:jc w:val="both"/>
      </w:pPr>
      <w:r>
        <w:rPr>
          <w:rFonts w:ascii="Calibri" w:cs="Calibri" w:eastAsia="Calibri" w:hAnsi="Calibri"/>
          <w:b w:val="false"/>
          <w:bCs w:val="false"/>
          <w:i w:val="false"/>
          <w:iCs w:val="false"/>
          <w:color w:val="111827"/>
          <w:sz w:val="21"/>
          <w:szCs w:val="21"/>
        </w:rPr>
        <w:t xml:space="preserve">Gateway dùng explicit route policy: public chỉ GET listing/product catalog, pricing, public reputation summary và audit-hash; còn lại authenticated mặc định, các prefix Admin/Inspector gate role thô. Mọi header X-User-* và internal secret từ client bị xoá rồi inject lại từ JWT/deployment secret. /internal/**, raw file API và OTP API không có external route. Ownership, KYC, lock và contract state vẫn do domain service enforce — Gateway không gọi user-service trên mọi request.</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500"/>
        <w:gridCol w:w="3100"/>
        <w:gridCol w:w="4038"/>
      </w:tblGrid>
      <w:tr>
        <w:trPr>
          <w:tblHeader/>
        </w:trPr>
        <w:tc>
          <w:tcPr>
            <w:tcW w:type="dxa" w:w="25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Nhóm route</w:t>
            </w:r>
          </w:p>
        </w:tc>
        <w:tc>
          <w:tcPr>
            <w:tcW w:type="dxa" w:w="3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Ví dụ</w:t>
            </w:r>
          </w:p>
        </w:tc>
        <w:tc>
          <w:tcPr>
            <w:tcW w:type="dxa" w:w="40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Policy</w:t>
            </w:r>
          </w:p>
        </w:tc>
      </w:tr>
      <w:tr>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Public read</w:t>
            </w:r>
          </w:p>
        </w:tc>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GET listings/products catalog; prices; reputation public-summary; security/audit-hash</w:t>
            </w:r>
          </w:p>
        </w:tc>
        <w:tc>
          <w:tcPr>
            <w:tcW w:type="dxa" w:w="4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Exact method + path; audit-hash dùng API key + rate limit</w:t>
            </w:r>
          </w:p>
        </w:tc>
      </w:tr>
      <w:tr>
        <w:tc>
          <w:tcPr>
            <w:tcW w:type="dxa" w:w="2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Authenticated</w:t>
            </w:r>
          </w:p>
        </w:tc>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users, products/listings write, contracts/milestones, escrow, inspections, reputation</w:t>
            </w:r>
          </w:p>
        </w:tc>
        <w:tc>
          <w:tcPr>
            <w:tcW w:type="dxa" w:w="4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JWT bắt buộc; ownership/state ở owner service</w:t>
            </w:r>
          </w:p>
        </w:tc>
      </w:tr>
      <w:tr>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Role-gated</w:t>
            </w:r>
          </w:p>
        </w:tc>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/api/v1/admin/**; /api/v1/inspector/**</w:t>
            </w:r>
          </w:p>
        </w:tc>
        <w:tc>
          <w:tcPr>
            <w:tcW w:type="dxa" w:w="4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Gateway gate ADMIN/INSPECTOR + service kiểm resource assignment</w:t>
            </w:r>
          </w:p>
        </w:tc>
      </w:tr>
      <w:tr>
        <w:tc>
          <w:tcPr>
            <w:tcW w:type="dxa" w:w="2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External Verifier</w:t>
            </w:r>
          </w:p>
        </w:tc>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POST security/emergency-lock | emergency-unlock</w:t>
            </w:r>
          </w:p>
        </w:tc>
        <w:tc>
          <w:tcPr>
            <w:tcW w:type="dxa" w:w="4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Chữ ký bất đối xứng; không JWT/Admin bypass; Gateway không retry</w:t>
            </w:r>
          </w:p>
        </w:tc>
      </w:tr>
      <w:tr>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Internal-only</w:t>
            </w:r>
          </w:p>
        </w:tc>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/internal/v1/users/**; /internal/v1/notifications/**; raw file/bank commands</w:t>
            </w:r>
          </w:p>
        </w:tc>
        <w:tc>
          <w:tcPr>
            <w:tcW w:type="dxa" w:w="4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Không external route; request ngoài trả 404/403</w:t>
            </w:r>
          </w:p>
        </w:tc>
      </w:tr>
    </w:tbl>
    <w:p>
      <w:pPr>
        <w:pStyle w:val="Heading2"/>
        <w:spacing w:after="80" w:before="240"/>
      </w:pPr>
      <w:r>
        <w:rPr>
          <w:rFonts w:ascii="Calibri" w:cs="Calibri" w:eastAsia="Calibri" w:hAnsi="Calibri"/>
          <w:b/>
          <w:bCs/>
          <w:color w:val="1F2A37"/>
          <w:sz w:val="25"/>
          <w:szCs w:val="25"/>
        </w:rPr>
        <w:t xml:space="preserve">8.2 Bảo vệ tính toàn vẹn và chống chối bỏ</w:t>
      </w:r>
    </w:p>
    <w:p>
      <w:pPr>
        <w:spacing w:after="120" w:before="0" w:line="276"/>
        <w:jc w:val="both"/>
      </w:pPr>
      <w:r>
        <w:rPr>
          <w:rFonts w:ascii="Calibri" w:cs="Calibri" w:eastAsia="Calibri" w:hAnsi="Calibri"/>
          <w:b w:val="false"/>
          <w:bCs w:val="false"/>
          <w:i w:val="false"/>
          <w:iCs w:val="false"/>
          <w:color w:val="111827"/>
          <w:sz w:val="21"/>
          <w:szCs w:val="21"/>
        </w:rPr>
        <w:t xml:space="preserve">Sáu lớp phối hợp, mỗi lớp phủ một attack vector khác nhau:</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Hash nội dung hợp đồng — SHA-256 toàn bộ ContractTerms lúc ký; mọi state transition sau đó verify hash trước khi proceed. Sửa DB → hash mismatch → operation reject.</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Chuỗi hash audit trail — previousHash + recordHash; DB user chỉ INSERT + SELECT; verify khi export EUDR và định kỳ hàng tuần.</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Hash inspection report — SHA-256(content + timestamp + inspectorId) lúc submit; contract-service verify trước khi advance state; bất biến sau submit.</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Lưu hash nhiều nơi — signedContentHash và reportHash lưu độc lập ở contract_db, audit_db, và file gửi hai bên; attacker phải compromise cả ba cùng lúc.</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Neo timestamp qua email + Bitcoin — email cho hai bên sau mỗi lần ký/submit là điểm neo ngoài platform; OTS neo hash cam kết toàn cục lên Bitcoin, tồn tại độc lập kể cả khi platform sập.</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Emergency Lock — Zero-Trust Kill Switch cho External Verifier (mới, 08/07/2026) — REST endpoint ký bất đối xứng (RSA/ECDSA), độc lập RabbitMQ, không qua Admin. Chỉ 1 gate chặn (system_lock trước mọi bank.*_requested) vì escrow-service là actor duy nhất gọi bank-service. Đóng băng toàn hệ thống khi External Verifier tự phát hiện tampering qua self-service query hash — không phụ thuộc duy nhất vào job nội bộ platform (chi tiết bank-service §3.5).</w:t>
      </w:r>
    </w:p>
    <w:p>
      <w:pPr>
        <w:spacing w:after="120" w:before="0" w:line="276"/>
        <w:jc w:val="both"/>
      </w:pPr>
      <w:r>
        <w:rPr>
          <w:rFonts w:ascii="Calibri" w:cs="Calibri" w:eastAsia="Calibri" w:hAnsi="Calibri"/>
          <w:b/>
          <w:bCs/>
          <w:i w:val="false"/>
          <w:iCs w:val="false"/>
          <w:color w:val="111827"/>
          <w:sz w:val="21"/>
          <w:szCs w:val="21"/>
        </w:rPr>
        <w:t xml:space="preserve">Vì sao hash thay vì blockchain. </w:t>
      </w:r>
      <w:r>
        <w:rPr>
          <w:rFonts w:ascii="Calibri" w:cs="Calibri" w:eastAsia="Calibri" w:hAnsi="Calibri"/>
          <w:b w:val="false"/>
          <w:bCs w:val="false"/>
          <w:i w:val="false"/>
          <w:iCs w:val="false"/>
          <w:color w:val="111827"/>
          <w:sz w:val="21"/>
          <w:szCs w:val="21"/>
        </w:rPr>
        <w:t xml:space="preserve">Platform có trusted operator (hiệp hội/DN triển khai) — bài toán trustless consensus không tồn tại. Sáu lớp phủ được attack vector tương đương blockchain với chi phí thấp hơn nhiều, phù hợp ràng buộc 5 tháng của dự án. Kill Switch thu hẹp — không đóng hoàn toàn — giới hạn collusion Admin+External Verifier vẫn là giới hạn cố hữu của mô hình trusted-operator (§11).</w:t>
      </w:r>
    </w:p>
    <w:p>
      <w:pPr>
        <w:pStyle w:val="Heading1"/>
        <w:pBdr>
          <w:bottom w:val="single" w:color="D1D5DB" w:sz="6" w:space="6"/>
        </w:pBdr>
        <w:spacing w:after="120" w:before="320"/>
      </w:pPr>
      <w:r>
        <w:rPr>
          <w:rFonts w:ascii="Calibri" w:cs="Calibri" w:eastAsia="Calibri" w:hAnsi="Calibri"/>
          <w:b/>
          <w:bCs/>
          <w:color w:val="1F2A37"/>
          <w:sz w:val="30"/>
          <w:szCs w:val="30"/>
        </w:rPr>
        <w:t xml:space="preserve">9. Hạ tầng và triển khai</w:t>
      </w:r>
    </w:p>
    <w:p>
      <w:pPr>
        <w:pStyle w:val="Heading2"/>
        <w:spacing w:after="80" w:before="240"/>
      </w:pPr>
      <w:r>
        <w:rPr>
          <w:rFonts w:ascii="Calibri" w:cs="Calibri" w:eastAsia="Calibri" w:hAnsi="Calibri"/>
          <w:b/>
          <w:bCs/>
          <w:color w:val="1F2A37"/>
          <w:sz w:val="25"/>
          <w:szCs w:val="25"/>
        </w:rPr>
        <w:t xml:space="preserve">9.1 Thành phần triển khai</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2000"/>
        <w:gridCol w:w="5038"/>
      </w:tblGrid>
      <w:tr>
        <w:trPr>
          <w:tblHeader/>
        </w:trPr>
        <w:tc>
          <w:tcPr>
            <w:tcW w:type="dxa" w:w="26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Thành phần</w:t>
            </w:r>
          </w:p>
        </w:tc>
        <w:tc>
          <w:tcPr>
            <w:tcW w:type="dxa" w:w="20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Port</w:t>
            </w:r>
          </w:p>
        </w:tc>
        <w:tc>
          <w:tcPr>
            <w:tcW w:type="dxa" w:w="50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Ghi chú</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nginx</w:t>
            </w:r>
          </w:p>
        </w:tc>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80</w:t>
            </w:r>
          </w:p>
        </w:tc>
        <w:tc>
          <w:tcPr>
            <w:tcW w:type="dxa" w:w="5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Reverse proxy, rate limit per IP — điểm vào; tiến hoá: Cloudflare WAF</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api-gateway</w:t>
            </w:r>
          </w:p>
        </w:tc>
        <w:tc>
          <w:tcPr>
            <w:tcW w:type="dxa" w:w="2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8080</w:t>
            </w:r>
          </w:p>
        </w:tc>
        <w:tc>
          <w:tcPr>
            <w:tcW w:type="dxa" w:w="5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Spring Cloud Gateway; validate JWT, định tuyến, tiêm định danh</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12 dịch vụ nghiệp vụ</w:t>
            </w:r>
          </w:p>
        </w:tc>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8081–8089, 8091–8093</w:t>
            </w:r>
          </w:p>
        </w:tc>
        <w:tc>
          <w:tcPr>
            <w:tcW w:type="dxa" w:w="5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custom Spring Boot build</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keycloak</w:t>
            </w:r>
          </w:p>
        </w:tc>
        <w:tc>
          <w:tcPr>
            <w:tcW w:type="dxa" w:w="2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8180</w:t>
            </w:r>
          </w:p>
        </w:tc>
        <w:tc>
          <w:tcPr>
            <w:tcW w:type="dxa" w:w="5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IAM server, RBAC</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rabbitmq</w:t>
            </w:r>
          </w:p>
        </w:tc>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5672 / 15672</w:t>
            </w:r>
          </w:p>
        </w:tc>
        <w:tc>
          <w:tcPr>
            <w:tcW w:type="dxa" w:w="5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Message broker (Saga + Outbox); 15672 = management UI</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mysql (per-service)</w:t>
            </w:r>
          </w:p>
        </w:tc>
        <w:tc>
          <w:tcPr>
            <w:tcW w:type="dxa" w:w="2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w:t>
            </w:r>
          </w:p>
        </w:tc>
        <w:tc>
          <w:tcPr>
            <w:tcW w:type="dxa" w:w="5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Mỗi dịch vụ một container MySQL riêng; bật binlog ROW cho CDC tương lai</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MinIO</w:t>
            </w:r>
          </w:p>
        </w:tc>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w:t>
            </w:r>
          </w:p>
        </w:tc>
        <w:tc>
          <w:tcPr>
            <w:tcW w:type="dxa" w:w="5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Object storage cho file-service</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Redis</w:t>
            </w:r>
          </w:p>
        </w:tc>
        <w:tc>
          <w:tcPr>
            <w:tcW w:type="dxa" w:w="2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w:t>
            </w:r>
          </w:p>
        </w:tc>
        <w:tc>
          <w:tcPr>
            <w:tcW w:type="dxa" w:w="50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Cache pricing, rate-limit, token blacklist, pub-sub</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SendGrid</w:t>
            </w:r>
          </w:p>
        </w:tc>
        <w:tc>
          <w:tcPr>
            <w:tcW w:type="dxa" w:w="2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w:t>
            </w:r>
          </w:p>
        </w:tc>
        <w:tc>
          <w:tcPr>
            <w:tcW w:type="dxa" w:w="50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Email + Inbound Parse (report Level 2); thay MailHog</w:t>
            </w:r>
          </w:p>
        </w:tc>
      </w:tr>
    </w:tbl>
    <w:p>
      <w:pPr>
        <w:spacing w:after="120" w:before="0" w:line="276"/>
        <w:jc w:val="both"/>
      </w:pPr>
      <w:r>
        <w:rPr>
          <w:rFonts w:ascii="Calibri" w:cs="Calibri" w:eastAsia="Calibri" w:hAnsi="Calibri"/>
          <w:b w:val="false"/>
          <w:bCs w:val="false"/>
          <w:i w:val="false"/>
          <w:iCs w:val="false"/>
          <w:color w:val="111827"/>
          <w:sz w:val="21"/>
          <w:szCs w:val="21"/>
        </w:rPr>
        <w:t xml:space="preserve">Tất cả container trên cùng bridge network, giao tiếp bằng service name. Dịch vụ Spring Boot depends_on MySQL và RabbitMQ với condition service_healthy.</w:t>
      </w:r>
    </w:p>
    <w:p>
      <w:pPr>
        <w:pStyle w:val="Heading2"/>
        <w:spacing w:after="80" w:before="240"/>
      </w:pPr>
      <w:r>
        <w:rPr>
          <w:rFonts w:ascii="Calibri" w:cs="Calibri" w:eastAsia="Calibri" w:hAnsi="Calibri"/>
          <w:b/>
          <w:bCs/>
          <w:color w:val="1F2A37"/>
          <w:sz w:val="25"/>
          <w:szCs w:val="25"/>
        </w:rPr>
        <w:t xml:space="preserve">9.2 Hướng tiến hoá hạ tầng</w:t>
      </w:r>
    </w:p>
    <w:p>
      <w:pPr>
        <w:spacing w:after="120" w:before="0" w:line="276"/>
        <w:jc w:val="both"/>
      </w:pPr>
      <w:r>
        <w:rPr>
          <w:rFonts w:ascii="Calibri" w:cs="Calibri" w:eastAsia="Calibri" w:hAnsi="Calibri"/>
          <w:b w:val="false"/>
          <w:bCs w:val="false"/>
          <w:i w:val="false"/>
          <w:iCs w:val="false"/>
          <w:color w:val="111827"/>
          <w:sz w:val="21"/>
          <w:szCs w:val="21"/>
        </w:rPr>
        <w:t xml:space="preserve">Các quyết định pragmatic phục vụ phạm vi đồ án, có đường nâng cấp rõ ràng: Docker Compose → Kubernetes (replicas); @Scheduled Outbox Poller → Debezium CDC (đọc binlog thay vì poll); X-Internal-Secret → mTLS; Nginx → Cloudflare WAF; thêm Zipkin + Spring Cloud Sleuth (distributed tracing), ELK (log aggregation), Prometheus + Grafana (metrics).</w:t>
      </w:r>
    </w:p>
    <w:p>
      <w:pPr>
        <w:pStyle w:val="Heading2"/>
        <w:spacing w:after="80" w:before="240"/>
      </w:pPr>
      <w:r>
        <w:rPr>
          <w:rFonts w:ascii="Calibri" w:cs="Calibri" w:eastAsia="Calibri" w:hAnsi="Calibri"/>
          <w:b/>
          <w:bCs/>
          <w:color w:val="1F2A37"/>
          <w:sz w:val="25"/>
          <w:szCs w:val="25"/>
        </w:rPr>
        <w:t xml:space="preserve">9.3 Mô hình triển khai custodian — bank-service là adapter, không phải điểm mù</w:t>
      </w:r>
    </w:p>
    <w:p>
      <w:pPr>
        <w:spacing w:after="120" w:before="0" w:line="276"/>
        <w:jc w:val="both"/>
      </w:pPr>
      <w:r>
        <w:rPr>
          <w:rFonts w:ascii="Calibri" w:cs="Calibri" w:eastAsia="Calibri" w:hAnsi="Calibri"/>
          <w:b/>
          <w:bCs/>
          <w:i w:val="false"/>
          <w:iCs w:val="false"/>
          <w:color w:val="111827"/>
          <w:sz w:val="21"/>
          <w:szCs w:val="21"/>
        </w:rPr>
        <w:t xml:space="preserve">bank-service mock là quyết định kiến trúc có chủ đích, và kiến trúc đã trả giá sẵn cho ngày thay thật: </w:t>
      </w:r>
      <w:r>
        <w:rPr>
          <w:rFonts w:ascii="Calibri" w:cs="Calibri" w:eastAsia="Calibri" w:hAnsi="Calibri"/>
          <w:b w:val="false"/>
          <w:bCs w:val="false"/>
          <w:i w:val="false"/>
          <w:iCs w:val="false"/>
          <w:color w:val="111827"/>
          <w:sz w:val="21"/>
          <w:szCs w:val="21"/>
        </w:rPr>
        <w:t xml:space="preserve">escrow-service là sole caller của bank-service; ledger FBO/Omnibus append-only là nguồn sự thật đối soát độc lập với custodian; mọi operation đi qua một interface hẹp (lock/release/refund, idempotent theo sourceEventId). Thay mock bằng tích hợp thật là thay một adapter — không tầng nào khác của hệ thống thay đổi.</w:t>
      </w:r>
    </w:p>
    <w:p>
      <w:pPr>
        <w:spacing w:after="120" w:before="0" w:line="276"/>
        <w:jc w:val="both"/>
      </w:pPr>
      <w:r>
        <w:rPr>
          <w:rFonts w:ascii="Calibri" w:cs="Calibri" w:eastAsia="Calibri" w:hAnsi="Calibri"/>
          <w:b w:val="false"/>
          <w:bCs w:val="false"/>
          <w:i w:val="false"/>
          <w:iCs w:val="false"/>
          <w:color w:val="111827"/>
          <w:sz w:val="21"/>
          <w:szCs w:val="21"/>
        </w:rPr>
        <w:t xml:space="preserve">Ba phương án pháp lý khi thương mại hoá, xếp theo mức ưu tiên của nhóm:</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(a) Hợp tác ngân hàng — phương án chính. </w:t>
      </w:r>
      <w:r>
        <w:rPr>
          <w:rFonts w:ascii="Calibri" w:cs="Calibri" w:eastAsia="Calibri" w:hAnsi="Calibri"/>
          <w:b w:val="false"/>
          <w:bCs w:val="false"/>
          <w:i w:val="false"/>
          <w:iCs w:val="false"/>
          <w:color w:val="111827"/>
          <w:sz w:val="21"/>
          <w:szCs w:val="21"/>
        </w:rPr>
        <w:t xml:space="preserve">Tiền của các bên nằm trong tài khoản chuyên biệt/phong toả mở tại ngân hàng đối tác; nền tảng không chạm tiền, chỉ ra lệnh lock/release qua API ngân hàng theo đúng logic hợp đồng, và đối soát bằng ledger nội bộ. Ngân hàng là bên có phép giữ tiền; nền tảng bán tầng logic. Đây là mô hình các nền tảng escrow thương mại vận hành hợp pháp mà không cần tự xin giấy phép.</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(b) Giấy phép trung gian thanh toán (Nghị định 52/2024). </w:t>
      </w:r>
      <w:r>
        <w:rPr>
          <w:rFonts w:ascii="Calibri" w:cs="Calibri" w:eastAsia="Calibri" w:hAnsi="Calibri"/>
          <w:b w:val="false"/>
          <w:bCs w:val="false"/>
          <w:i w:val="false"/>
          <w:iCs w:val="false"/>
          <w:color w:val="111827"/>
          <w:sz w:val="21"/>
          <w:szCs w:val="21"/>
        </w:rPr>
        <w:t xml:space="preserve">Tự vận hành ví/thanh toán — chủ động nhất nhưng chi phí xin phép, vốn pháp định và nghĩa vụ tuân thủ nặng nhất; chỉ hợp lý khi quy mô giao dịch đã chứng minh. Ghi nhận là hướng dài hạn, không phải điều kiện khởi động.</w:t>
      </w:r>
    </w:p>
    <w:p>
      <w:pPr>
        <w:pStyle w:val="ListParagraph"/>
        <w:numPr>
          <w:ilvl w:val="0"/>
          <w:numId w:val="2"/>
        </w:numPr>
        <w:spacing w:after="60" w:line="276"/>
      </w:pPr>
      <w:r>
        <w:rPr>
          <w:rFonts w:ascii="Calibri" w:cs="Calibri" w:eastAsia="Calibri" w:hAnsi="Calibri"/>
          <w:b/>
          <w:bCs/>
          <w:i w:val="false"/>
          <w:iCs w:val="false"/>
          <w:color w:val="111827"/>
          <w:sz w:val="21"/>
          <w:szCs w:val="21"/>
        </w:rPr>
        <w:t xml:space="preserve">(c) Không chạm tiền. </w:t>
      </w:r>
      <w:r>
        <w:rPr>
          <w:rFonts w:ascii="Calibri" w:cs="Calibri" w:eastAsia="Calibri" w:hAnsi="Calibri"/>
          <w:b w:val="false"/>
          <w:bCs w:val="false"/>
          <w:i w:val="false"/>
          <w:iCs w:val="false"/>
          <w:color w:val="111827"/>
          <w:sz w:val="21"/>
          <w:szCs w:val="21"/>
        </w:rPr>
        <w:t xml:space="preserve">Nền tảng chỉ làm hợp đồng + bằng chứng + đối soát; hai bên tự thanh toán ngoài hệ thống. Bỏ được toàn bộ rủi ro giấy phép nhưng mất cơ chế tự thực thi — escrow chính là thứ khiến penalty có răng. Giữ làm phương án lùi, không phải mặc định.</w:t>
      </w:r>
    </w:p>
    <w:p>
      <w:pPr>
        <w:spacing w:after="120" w:before="0" w:line="276"/>
        <w:jc w:val="both"/>
      </w:pPr>
      <w:r>
        <w:rPr>
          <w:rFonts w:ascii="Calibri" w:cs="Calibri" w:eastAsia="Calibri" w:hAnsi="Calibri"/>
          <w:b w:val="false"/>
          <w:bCs w:val="false"/>
          <w:i w:val="false"/>
          <w:iCs w:val="false"/>
          <w:color w:val="111827"/>
          <w:sz w:val="21"/>
          <w:szCs w:val="21"/>
        </w:rPr>
        <w:t xml:space="preserve">Vì sao chọn (a): giữ trọn giá trị tự thực thi của escrow với rủi ro pháp lý thấp nhất, và khớp đúng đường cắt kiến trúc hiện tại — bank-service mock hôm nay chính là chỗ đứng của API ngân hàng đối tác ngày mai, cùng interface, cùng ledger đối soát.</w:t>
      </w:r>
    </w:p>
    <w:p>
      <w:pPr>
        <w:pStyle w:val="Heading1"/>
        <w:pBdr>
          <w:bottom w:val="single" w:color="D1D5DB" w:sz="6" w:space="6"/>
        </w:pBdr>
        <w:spacing w:after="120" w:before="320"/>
      </w:pPr>
      <w:r>
        <w:rPr>
          <w:rFonts w:ascii="Calibri" w:cs="Calibri" w:eastAsia="Calibri" w:hAnsi="Calibri"/>
          <w:b/>
          <w:bCs/>
          <w:color w:val="1F2A37"/>
          <w:sz w:val="30"/>
          <w:szCs w:val="30"/>
        </w:rPr>
        <w:t xml:space="preserve">10. Frontend</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2600"/>
        <w:gridCol w:w="4638"/>
      </w:tblGrid>
      <w:tr>
        <w:trPr>
          <w:tblHeader/>
        </w:trPr>
        <w:tc>
          <w:tcPr>
            <w:tcW w:type="dxa" w:w="2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Hạng mục</w:t>
            </w:r>
          </w:p>
        </w:tc>
        <w:tc>
          <w:tcPr>
            <w:tcW w:type="dxa" w:w="26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Quyết định</w:t>
            </w:r>
          </w:p>
        </w:tc>
        <w:tc>
          <w:tcPr>
            <w:tcW w:type="dxa" w:w="46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Lý do</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Framework</w:t>
            </w:r>
          </w:p>
        </w:tc>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React + Vite</w:t>
            </w:r>
          </w:p>
        </w:tc>
        <w:tc>
          <w:tcPr>
            <w:tcW w:type="dxa" w:w="46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SPA, dev server nhanh, HMR</w:t>
            </w:r>
          </w:p>
        </w:tc>
      </w:tr>
      <w:tr>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Ngôn ngữ</w:t>
            </w:r>
          </w:p>
        </w:tc>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TypeScript (bắt buộc)</w:t>
            </w:r>
          </w:p>
        </w:tc>
        <w:tc>
          <w:tcPr>
            <w:tcW w:type="dxa" w:w="46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State machine hợp đồng phức tạp — bắt lỗi lúc compile thay vì runtime</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State management</w:t>
            </w:r>
          </w:p>
        </w:tc>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Zustand</w:t>
            </w:r>
          </w:p>
        </w:tc>
        <w:tc>
          <w:tcPr>
            <w:tcW w:type="dxa" w:w="46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Lightweight, không boilerplate; tránh re-render toàn cây như Context API</w:t>
            </w:r>
          </w:p>
        </w:tc>
      </w:tr>
      <w:tr>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HTTP client</w:t>
            </w:r>
          </w:p>
        </w:tc>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Axios</w:t>
            </w:r>
          </w:p>
        </w:tc>
        <w:tc>
          <w:tcPr>
            <w:tcW w:type="dxa" w:w="46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Interceptor auto-attach JWT, global error handling</w:t>
            </w:r>
          </w:p>
        </w:tc>
      </w:tr>
      <w:tr>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Auth</w:t>
            </w:r>
          </w:p>
        </w:tc>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Keycloak JS adapter</w:t>
            </w:r>
          </w:p>
        </w:tc>
        <w:tc>
          <w:tcPr>
            <w:tcW w:type="dxa" w:w="46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Login redirect → JWT lưu trong memory (không localStorage)</w:t>
            </w:r>
          </w:p>
        </w:tc>
      </w:tr>
      <w:tr>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Routing</w:t>
            </w:r>
          </w:p>
        </w:tc>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React Router v6</w:t>
            </w:r>
          </w:p>
        </w:tc>
        <w:tc>
          <w:tcPr>
            <w:tcW w:type="dxa" w:w="46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Route-level code splitting</w:t>
            </w:r>
          </w:p>
        </w:tc>
      </w:tr>
    </w:tbl>
    <w:p>
      <w:pPr>
        <w:spacing w:after="120" w:before="0" w:line="276"/>
        <w:jc w:val="both"/>
      </w:pPr>
      <w:r>
        <w:rPr>
          <w:rFonts w:ascii="Calibri" w:cs="Calibri" w:eastAsia="Calibri" w:hAnsi="Calibri"/>
          <w:b w:val="false"/>
          <w:bCs w:val="false"/>
          <w:i w:val="false"/>
          <w:iCs w:val="false"/>
          <w:color w:val="111827"/>
          <w:sz w:val="21"/>
          <w:szCs w:val="21"/>
        </w:rPr>
        <w:t xml:space="preserve">Mọi call đều qua API Gateway (không gọi trực tiếp service port). JWT lưu trong memory thay vì localStorage để giảm bề mặt tấn công XSS.</w:t>
      </w:r>
    </w:p>
    <w:p>
      <w:pPr>
        <w:pStyle w:val="Heading1"/>
        <w:pBdr>
          <w:bottom w:val="single" w:color="D1D5DB" w:sz="6" w:space="6"/>
        </w:pBdr>
        <w:spacing w:after="120" w:before="320"/>
      </w:pPr>
      <w:r>
        <w:rPr>
          <w:rFonts w:ascii="Calibri" w:cs="Calibri" w:eastAsia="Calibri" w:hAnsi="Calibri"/>
          <w:b/>
          <w:bCs/>
          <w:color w:val="1F2A37"/>
          <w:sz w:val="30"/>
          <w:szCs w:val="30"/>
        </w:rPr>
        <w:t xml:space="preserve">11. Giới hạn kiến trúc và hướng mở rộng</w:t>
      </w:r>
    </w:p>
    <w:p>
      <w:pPr>
        <w:spacing w:after="120" w:before="0" w:line="276"/>
        <w:jc w:val="both"/>
      </w:pPr>
      <w:r>
        <w:rPr>
          <w:rFonts w:ascii="Calibri" w:cs="Calibri" w:eastAsia="Calibri" w:hAnsi="Calibri"/>
          <w:b w:val="false"/>
          <w:bCs w:val="false"/>
          <w:i w:val="false"/>
          <w:iCs w:val="false"/>
          <w:color w:val="111827"/>
          <w:sz w:val="21"/>
          <w:szCs w:val="21"/>
        </w:rPr>
        <w:t xml:space="preserve">Các giới hạn có chủ đích, đánh đổi phù hợp ràng buộc thời gian/nhân lực của dự án — không phải điểm mù.</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3100"/>
        <w:gridCol w:w="3300"/>
        <w:gridCol w:w="3238"/>
      </w:tblGrid>
      <w:tr>
        <w:trPr>
          <w:tblHeader/>
        </w:trPr>
        <w:tc>
          <w:tcPr>
            <w:tcW w:type="dxa" w:w="3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Giới hạn</w:t>
            </w:r>
          </w:p>
        </w:tc>
        <w:tc>
          <w:tcPr>
            <w:tcW w:type="dxa" w:w="33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Vì sao chấp nhận được</w:t>
            </w:r>
          </w:p>
        </w:tc>
        <w:tc>
          <w:tcPr>
            <w:tcW w:type="dxa" w:w="32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Hướng mở rộng</w:t>
            </w:r>
          </w:p>
        </w:tc>
      </w:tr>
      <w:tr>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bank-service là mock, không tích hợp ngân hàng thật</w:t>
            </w:r>
          </w:p>
        </w:tc>
        <w:tc>
          <w:tcPr>
            <w:tcW w:type="dxa" w:w="3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Không tổ chức tín dụng nào ký API cho đồ án; interface (event contract) thiết kế sạch, business logic không đổi khi swap</w:t>
            </w:r>
          </w:p>
        </w:tc>
        <w:tc>
          <w:tcPr>
            <w:tcW w:type="dxa" w:w="3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Tích hợp Agribank/BIDV API — chỉ thay implementation bên trong bank-service</w:t>
            </w:r>
          </w:p>
        </w:tc>
      </w:tr>
      <w:tr>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Outbox Poller dùng @Scheduled (latency ~1–2s)</w:t>
            </w:r>
          </w:p>
        </w:tc>
        <w:tc>
          <w:tcPr>
            <w:tcW w:type="dxa" w:w="3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Functional correctness đảm bảo; độ trễ chấp nhận được</w:t>
            </w:r>
          </w:p>
        </w:tc>
        <w:tc>
          <w:tcPr>
            <w:tcW w:type="dxa" w:w="3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Debezium CDC đọc binlog</w:t>
            </w:r>
          </w:p>
        </w:tc>
      </w:tr>
      <w:tr>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Eventual consistency ở read side (analytics, reputation score)</w:t>
            </w:r>
          </w:p>
        </w:tc>
        <w:tc>
          <w:tcPr>
            <w:tcW w:type="dxa" w:w="3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Non-critical path; đánh đổi kinh điển của CQRS/event-driven</w:t>
            </w:r>
          </w:p>
        </w:tc>
        <w:tc>
          <w:tcPr>
            <w:tcW w:type="dxa" w:w="3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Chấp nhận có chủ đích; tài liệu hoá rõ data lag</w:t>
            </w:r>
          </w:p>
        </w:tc>
      </w:tr>
      <w:tr>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Chống thông đồng Admin + External Verifier (mới, 08/07/2026 — thay khung cũ "Admin + đa số Software Buyer")</w:t>
            </w:r>
          </w:p>
        </w:tc>
        <w:tc>
          <w:tcPr>
            <w:tcW w:type="dxa" w:w="3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Kill Switch (bank-service §3.5, bảo mật §8.2) đã thu hẹp: 1 bên độc lập ngoài platform tự query hash + tự đóng băng được, không phụ thuộc duy nhất vào job nội bộ. Nhưng nếu chính External Verifier thông đồng với Admin thì vẫn hở — đúng bài toán trustless consensus mà nhóm chủ đích không theo hướng blockchain</w:t>
            </w:r>
          </w:p>
        </w:tc>
        <w:tc>
          <w:tcPr>
            <w:tcW w:type="dxa" w:w="3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Neo email + Bitcoin đảm bảo bằng chứng tồn tại độc lập cho bên thứ ba kiểm tra; đa External Verifier (quorum) là hướng mở rộng nếu cần siết thêm</w:t>
            </w:r>
          </w:p>
        </w:tc>
      </w:tr>
      <w:tr>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Chữ ký điện tử cơ bản, chưa có chứng thư CA</w:t>
            </w:r>
          </w:p>
        </w:tc>
        <w:tc>
          <w:tcPr>
            <w:tcW w:type="dxa" w:w="3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Hợp đồng vẫn hiệu lực; gánh nặng chứng minh bù bằng audit trail</w:t>
            </w:r>
          </w:p>
        </w:tc>
        <w:tc>
          <w:tcPr>
            <w:tcW w:type="dxa" w:w="3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Tích hợp chữ ký số CA / WebAuthn — nâng chất lượng bằng chứng</w:t>
            </w:r>
          </w:p>
        </w:tc>
      </w:tr>
      <w:tr>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PII user-service từng lộ qua DTO dùng chung</w:t>
            </w:r>
          </w:p>
        </w:tc>
        <w:tc>
          <w:tcPr>
            <w:tcW w:type="dxa" w:w="3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Đã đóng ở design Phase 2 bằng boundary rõ</w:t>
            </w:r>
          </w:p>
        </w:tc>
        <w:tc>
          <w:tcPr>
            <w:tcW w:type="dxa" w:w="3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7"/>
                <w:szCs w:val="17"/>
              </w:rPr>
              <w:t xml:space="preserve">/users/me trả contact chính chủ; /users/{id} không email/phone/address; /internal/v1/users/{id} chỉ service-to-service và Gateway không route</w:t>
            </w:r>
          </w:p>
        </w:tc>
      </w:tr>
    </w:tbl>
    <w:p>
      <w:pPr>
        <w:pStyle w:val="Heading1"/>
        <w:pBdr>
          <w:bottom w:val="single" w:color="D1D5DB" w:sz="6" w:space="6"/>
        </w:pBdr>
        <w:spacing w:after="120" w:before="320"/>
      </w:pPr>
      <w:r>
        <w:rPr>
          <w:rFonts w:ascii="Calibri" w:cs="Calibri" w:eastAsia="Calibri" w:hAnsi="Calibri"/>
          <w:b/>
          <w:bCs/>
          <w:color w:val="1F2A37"/>
          <w:sz w:val="30"/>
          <w:szCs w:val="30"/>
        </w:rPr>
        <w:t xml:space="preserve">12. Tham chiếu</w:t>
      </w:r>
    </w:p>
    <w:p>
      <w:pPr>
        <w:pStyle w:val="Heading3"/>
        <w:spacing w:after="60" w:before="180"/>
      </w:pPr>
      <w:r>
        <w:rPr>
          <w:rFonts w:ascii="Calibri" w:cs="Calibri" w:eastAsia="Calibri" w:hAnsi="Calibri"/>
          <w:b/>
          <w:bCs/>
          <w:color w:val="374151"/>
          <w:sz w:val="22"/>
          <w:szCs w:val="22"/>
        </w:rPr>
        <w:t xml:space="preserve">Nguyên tắc &amp; pattern</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Chris Richardson — Microservices Patterns (decompose by business capability, Saga, Transactional Outbox, API Gateway).</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Vaughn Vernon — Implementing Domain-Driven Design (Effective Aggregate Design).</w:t>
      </w:r>
    </w:p>
    <w:p>
      <w:pPr>
        <w:pStyle w:val="Heading3"/>
        <w:spacing w:after="60" w:before="180"/>
      </w:pPr>
      <w:r>
        <w:rPr>
          <w:rFonts w:ascii="Calibri" w:cs="Calibri" w:eastAsia="Calibri" w:hAnsi="Calibri"/>
          <w:b/>
          <w:bCs/>
          <w:color w:val="374151"/>
          <w:sz w:val="22"/>
          <w:szCs w:val="22"/>
        </w:rPr>
        <w:t xml:space="preserve">Văn bản pháp luật liên quan tới quyết định kiến trúc</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Luật Giao dịch Điện tử 2023 (20/2023/QH15) — Điều 14.2, 22–23, 34.</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Nghị định 52/2024/NĐ-CP — Điều 8 (trung gian thanh toán, bảo mật thông tin).</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Nghị định 98/2018/NĐ-CP — Điều 15 (giải quyết tranh chấp).</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Bộ luật Dân sự 2015 — Điều 142, 156, 351.</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EU 2023/1115 sửa đổi 2025/2650 (EUDR) — retention và truy xuất geolocation.</w:t>
      </w:r>
    </w:p>
    <w:p>
      <w:pPr>
        <w:pBdr>
          <w:top w:val="single" w:color="D1D5DB" w:sz="6" w:space="6"/>
        </w:pBdr>
        <w:spacing w:before="300"/>
      </w:pPr>
      <w:r>
        <w:rPr>
          <w:rFonts w:ascii="Calibri" w:cs="Calibri" w:eastAsia="Calibri" w:hAnsi="Calibri"/>
          <w:i/>
          <w:iCs/>
          <w:color w:val="6B7280"/>
          <w:sz w:val="19"/>
          <w:szCs w:val="19"/>
        </w:rPr>
        <w:t xml:space="preserve">— Hết tài liệu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6B7280"/>
        <w:sz w:val="16"/>
        <w:szCs w:val="16"/>
      </w:rPr>
      <w:t xml:space="preserve">v2.0 · Tháng 7/2026 · Trang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6B7280"/>
        <w:sz w:val="16"/>
        <w:szCs w:val="16"/>
      </w:rPr>
      <w:t xml:space="preserve">AgriContract · Kiến trúc kỹ thuật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74151"/>
      </w:r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37"/>
      <w:sz w:val="30"/>
      <w:szCs w:val="30"/>
    </w:rPr>
  </w:style>
  <w:style w:type="paragraph" w:styleId="Heading2">
    <w:name w:val="Heading 2"/>
    <w:basedOn w:val="Normal"/>
    <w:next w:val="Normal"/>
    <w:qFormat/>
    <w:pPr>
      <w:outlineLvl w:val="1"/>
    </w:pPr>
    <w:rPr>
      <w:rFonts w:ascii="Calibri" w:cs="Calibri" w:eastAsia="Calibri" w:hAnsi="Calibri"/>
      <w:b/>
      <w:bCs/>
      <w:color w:val="1F2A37"/>
      <w:sz w:val="25"/>
      <w:szCs w:val="25"/>
    </w:rPr>
  </w:style>
  <w:style w:type="paragraph" w:styleId="Heading3">
    <w:name w:val="Heading 3"/>
    <w:basedOn w:val="Normal"/>
    <w:next w:val="Normal"/>
    <w:qFormat/>
    <w:pPr>
      <w:outlineLvl w:val="2"/>
    </w:pPr>
    <w:rPr>
      <w:rFonts w:ascii="Calibri" w:cs="Calibri" w:eastAsia="Calibri" w:hAnsi="Calibri"/>
      <w:b/>
      <w:bCs/>
      <w:color w:val="374151"/>
      <w:sz w:val="22"/>
      <w:szCs w:val="22"/>
    </w:rPr>
  </w:style>
  <w:style w:type="paragraph" w:styleId="Heading4">
    <w:name w:val="Heading 4"/>
    <w:basedOn w:val="Normal"/>
    <w:next w:val="Normal"/>
    <w:qFormat/>
    <w:pPr>
      <w:outlineLvl w:val="3"/>
    </w:pPr>
    <w:rPr>
      <w:rFonts w:ascii="Calibri" w:cs="Calibri" w:eastAsia="Calibri" w:hAnsi="Calibri"/>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AgriContract — Kiến Trúc Kỹ Thuật Hệ Thống v2.0</dc:title>
  <dc:creator>AgriContract</dc:creator>
  <cp:lastModifiedBy>Un-named</cp:lastModifiedBy>
  <cp:revision>1</cp:revision>
  <dcterms:created xsi:type="dcterms:W3CDTF">2026-07-16T16:05:37.657Z</dcterms:created>
  <dcterms:modified xsi:type="dcterms:W3CDTF">2026-07-16T16:05:37.657Z</dcterms:modified>
</cp:coreProperties>
</file>

<file path=docProps/custom.xml><?xml version="1.0" encoding="utf-8"?>
<Properties xmlns="http://schemas.openxmlformats.org/officeDocument/2006/custom-properties" xmlns:vt="http://schemas.openxmlformats.org/officeDocument/2006/docPropsVTypes"/>
</file>