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Arial" w:cs="Arial" w:eastAsia="Arial" w:hAnsi="Arial"/>
          <w:b/>
          <w:bCs/>
          <w:color w:val="1B5E20"/>
          <w:sz w:val="48"/>
          <w:szCs w:val="48"/>
        </w:rPr>
        <w:t xml:space="preserve">AgriContract</w:t>
      </w:r>
    </w:p>
    <w:p>
      <w:pPr>
        <w:spacing w:after="80" w:before="80"/>
        <w:jc w:val="center"/>
      </w:pPr>
      <w:r>
        <w:rPr>
          <w:rFonts w:ascii="Arial" w:cs="Arial" w:eastAsia="Arial" w:hAnsi="Arial"/>
          <w:b/>
          <w:bCs/>
          <w:color w:val="388E3C"/>
          <w:sz w:val="28"/>
          <w:szCs w:val="28"/>
        </w:rPr>
        <w:t xml:space="preserve">Phân Tích Thị Trường &amp; Luận Cứ Kinh Doanh</w:t>
      </w:r>
    </w:p>
    <w:p>
      <w:pPr>
        <w:spacing w:after="400" w:before="80"/>
        <w:jc w:val="center"/>
      </w:pPr>
      <w:r>
        <w:rPr>
          <w:rFonts w:ascii="Arial" w:cs="Arial" w:eastAsia="Arial" w:hAnsi="Arial"/>
          <w:i/>
          <w:iCs/>
          <w:color w:val="999999"/>
          <w:sz w:val="20"/>
          <w:szCs w:val="20"/>
        </w:rPr>
        <w:t xml:space="preserve">Tài liệu nội bộ — Đồ Án Tốt Nghiệp</w:t>
      </w:r>
    </w:p>
    <w:p>
      <w:pPr>
        <w:pStyle w:val="Heading1"/>
        <w:spacing w:after="160" w:before="400"/>
      </w:pPr>
      <w:r>
        <w:rPr>
          <w:rFonts w:ascii="Arial" w:cs="Arial" w:eastAsia="Arial" w:hAnsi="Arial"/>
          <w:b/>
          <w:bCs/>
          <w:color w:val="1B5E20"/>
          <w:sz w:val="32"/>
          <w:szCs w:val="32"/>
        </w:rPr>
        <w:t xml:space="preserve">1. Tại Sao Nông Sản — Không Phải Ngành Khác</w:t>
      </w:r>
    </w:p>
    <w:p>
      <w:pPr>
        <w:spacing w:after="80" w:before="80"/>
      </w:pPr>
      <w:r>
        <w:rPr>
          <w:rFonts w:ascii="Arial" w:cs="Arial" w:eastAsia="Arial" w:hAnsi="Arial"/>
          <w:sz w:val="22"/>
          <w:szCs w:val="22"/>
        </w:rPr>
        <w:t xml:space="preserve">AgriContract giới hạn phạm vi ở thị trường nông sản B2B Việt Nam. Đây không phải quyết định tùy tiện — nông sản có ba đặc thù cấu trúc mà các ngành khác không có, khiến bài toán hợp đồng và thanh toán trở nên cấp bách hơn bất kỳ lĩnh vực nào.</w:t>
      </w:r>
    </w:p>
    <w:p>
      <w:pPr>
        <w:spacing w:after="80" w:before="80"/>
      </w:pPr>
      <w:r>
        <w:t xml:space="preserve"/>
      </w:r>
    </w:p>
    <w:p>
      <w:pPr>
        <w:spacing w:after="80" w:before="200"/>
      </w:pPr>
      <w:r>
        <w:rPr>
          <w:rFonts w:ascii="Arial" w:cs="Arial" w:eastAsia="Arial" w:hAnsi="Arial"/>
          <w:b/>
          <w:bCs/>
          <w:color w:val="388E3C"/>
          <w:sz w:val="23"/>
          <w:szCs w:val="23"/>
        </w:rPr>
        <w:t xml:space="preserve">1.1 Tính Mùa Vụ — Bẻ Kèo Là Incentive Có Thật</w:t>
      </w:r>
    </w:p>
    <w:p>
      <w:pPr>
        <w:spacing w:after="80" w:before="80"/>
      </w:pPr>
      <w:r>
        <w:rPr>
          <w:rFonts w:ascii="Arial" w:cs="Arial" w:eastAsia="Arial" w:hAnsi="Arial"/>
          <w:sz w:val="22"/>
          <w:szCs w:val="22"/>
        </w:rPr>
        <w:t xml:space="preserve">Hợp đồng nông sản thường được ký trước thời điểm thu hoạch từ 3 đến 6 tháng. Trong khoảng thời gian đó, giá thị trường có thể thay đổi hoàn toàn. Khi giá tăng, nông dân/HTX có động cơ bán cho thương lái giá cao hơn và bỏ hợp đồng đã ký. Khi giá giảm, doanh nghiệp thu mua có động cơ từ chối nhận hàng hoặc ép giá lại.</w:t>
      </w:r>
    </w:p>
    <w:p>
      <w:pPr>
        <w:spacing w:after="60" w:before="60"/>
        <w:ind w:left="720"/>
      </w:pPr>
      <w:r>
        <w:rPr>
          <w:rFonts w:ascii="Arial" w:cs="Arial" w:eastAsia="Arial" w:hAnsi="Arial"/>
          <w:i/>
          <w:iCs/>
          <w:color w:val="444444"/>
          <w:sz w:val="20"/>
          <w:szCs w:val="20"/>
        </w:rPr>
        <w:t xml:space="preserve">"Khi giá thị trường tăng cao, nhiều nông dân lén bán hàng cho thương lái, nhưng lúc giá rớt lại dồn hàng cho HTX. Điều này đẩy toàn bộ rủi ro về phía đơn vị bao tiêu."</w:t>
      </w:r>
    </w:p>
    <w:p>
      <w:pPr>
        <w:spacing w:after="100" w:before="40"/>
        <w:ind w:left="720"/>
      </w:pPr>
      <w:r>
        <w:rPr>
          <w:rFonts w:ascii="Arial" w:cs="Arial" w:eastAsia="Arial" w:hAnsi="Arial"/>
          <w:i/>
          <w:iCs/>
          <w:color w:val="777777"/>
          <w:sz w:val="18"/>
          <w:szCs w:val="18"/>
        </w:rPr>
        <w:t xml:space="preserve">Nguồn: VOV — Nạn bẻ kèo trong nông nghiệp, nông dân tự cắt đứt cơ hội xuất khẩu, 2026</w:t>
      </w:r>
    </w:p>
    <w:p>
      <w:pPr>
        <w:spacing w:after="60" w:before="60"/>
        <w:ind w:left="720"/>
      </w:pPr>
      <w:r>
        <w:rPr>
          <w:rFonts w:ascii="Arial" w:cs="Arial" w:eastAsia="Arial" w:hAnsi="Arial"/>
          <w:i/>
          <w:iCs/>
          <w:color w:val="444444"/>
          <w:sz w:val="20"/>
          <w:szCs w:val="20"/>
        </w:rPr>
        <w:t xml:space="preserve">"Phần lớn tranh chấp xảy ra khi giá thị trường biến động hoặc bên mua từ chối thu mua hàng đã sản xuất."</w:t>
      </w:r>
    </w:p>
    <w:p>
      <w:pPr>
        <w:spacing w:after="100" w:before="40"/>
        <w:ind w:left="720"/>
      </w:pPr>
      <w:r>
        <w:rPr>
          <w:rFonts w:ascii="Arial" w:cs="Arial" w:eastAsia="Arial" w:hAnsi="Arial"/>
          <w:i/>
          <w:iCs/>
          <w:color w:val="777777"/>
          <w:sz w:val="18"/>
          <w:szCs w:val="18"/>
        </w:rPr>
        <w:t xml:space="preserve">Nguồn: mauhopdong.vn — Hợp đồng nguyên tắc mua bán nông sản, 2025</w:t>
      </w:r>
    </w:p>
    <w:p>
      <w:pPr>
        <w:spacing w:after="80" w:before="80"/>
      </w:pPr>
      <w:r>
        <w:t xml:space="preserve"/>
      </w:r>
    </w:p>
    <w:p>
      <w:pPr>
        <w:spacing w:after="80" w:before="200"/>
      </w:pPr>
      <w:r>
        <w:rPr>
          <w:rFonts w:ascii="Arial" w:cs="Arial" w:eastAsia="Arial" w:hAnsi="Arial"/>
          <w:b/>
          <w:bCs/>
          <w:color w:val="388E3C"/>
          <w:sz w:val="23"/>
          <w:szCs w:val="23"/>
        </w:rPr>
        <w:t xml:space="preserve">1.2 Hàng Dễ Hỏng — Tranh Chấp Không Thể Chờ</w:t>
      </w:r>
    </w:p>
    <w:p>
      <w:pPr>
        <w:spacing w:after="80" w:before="80"/>
      </w:pPr>
      <w:r>
        <w:rPr>
          <w:rFonts w:ascii="Arial" w:cs="Arial" w:eastAsia="Arial" w:hAnsi="Arial"/>
          <w:sz w:val="22"/>
          <w:szCs w:val="22"/>
        </w:rPr>
        <w:t xml:space="preserve">Không như thép, xi măng, hay hàng công nghiệp, nông sản không thể chờ. Khi tranh chấp xảy ra tại thời điểm giao hàng, tòa án thương mại Việt Nam có thể mất 1-3 năm để phán xử — trong khi hàng hóa đã hỏng hoàn toàn. Cơ chế escrow và dispute resolution nhanh là đặc biệt cần thiết với nông sản, không phải vì tiện lợi mà vì tính chất vật lý của hàng hóa.</w:t>
      </w:r>
    </w:p>
    <w:p>
      <w:pPr>
        <w:spacing w:after="60" w:before="60"/>
        <w:ind w:left="720"/>
      </w:pPr>
      <w:r>
        <w:rPr>
          <w:rFonts w:ascii="Arial" w:cs="Arial" w:eastAsia="Arial" w:hAnsi="Arial"/>
          <w:i/>
          <w:iCs/>
          <w:color w:val="444444"/>
          <w:sz w:val="20"/>
          <w:szCs w:val="20"/>
        </w:rPr>
        <w:t xml:space="preserve">"Quy trình kéo dài, tốn kém. Ảnh hưởng đến quan hệ kinh doanh." — Đây là lý do phần lớn tranh chấp nhỏ trong nông sản không được giải quyết chính thức; bên yếu thế chịu thiệt và tiếp tục chu kỳ bất công.</w:t>
      </w:r>
    </w:p>
    <w:p>
      <w:pPr>
        <w:spacing w:after="100" w:before="40"/>
        <w:ind w:left="720"/>
      </w:pPr>
      <w:r>
        <w:rPr>
          <w:rFonts w:ascii="Arial" w:cs="Arial" w:eastAsia="Arial" w:hAnsi="Arial"/>
          <w:i/>
          <w:iCs/>
          <w:color w:val="777777"/>
          <w:sz w:val="18"/>
          <w:szCs w:val="18"/>
        </w:rPr>
        <w:t xml:space="preserve">Nguồn: Youth &amp; Partners Law — Giải quyết tranh chấp hợp đồng thương mại, 2024</w:t>
      </w:r>
    </w:p>
    <w:p>
      <w:pPr>
        <w:spacing w:after="80" w:before="80"/>
      </w:pPr>
      <w:r>
        <w:t xml:space="preserve"/>
      </w:r>
    </w:p>
    <w:p>
      <w:pPr>
        <w:spacing w:after="80" w:before="200"/>
      </w:pPr>
      <w:r>
        <w:rPr>
          <w:rFonts w:ascii="Arial" w:cs="Arial" w:eastAsia="Arial" w:hAnsi="Arial"/>
          <w:b/>
          <w:bCs/>
          <w:color w:val="388E3C"/>
          <w:sz w:val="23"/>
          <w:szCs w:val="23"/>
        </w:rPr>
        <w:t xml:space="preserve">1.3 Bất Đối Xứng Quyền Lực — HTX Nhỏ vs Doanh Nghiệp Lớn</w:t>
      </w:r>
    </w:p>
    <w:p>
      <w:pPr>
        <w:spacing w:after="80" w:before="80"/>
      </w:pPr>
      <w:r>
        <w:rPr>
          <w:rFonts w:ascii="Arial" w:cs="Arial" w:eastAsia="Arial" w:hAnsi="Arial"/>
          <w:sz w:val="22"/>
          <w:szCs w:val="22"/>
        </w:rPr>
        <w:t xml:space="preserve">Đây là đặc thù sâu nhất và được ghi nhận rộng rãi nhất trong nghiên cứu học thuật quốc tế về chuỗi cung ứng nông sản Đông Nam Á. HTX và nông dân không có thông tin thị trường, không có legal resource để kiện, và hoàn toàn phụ thuộc vào doanh nghiệp thu mua lớn hơn nhiều lần. Escrow là cơ chế tự bảo vệ không cần luật sư — đây là lý do nó đặc biệt có ý nghĩa với nông sản hơn bất kỳ ngành nào khác.</w:t>
      </w:r>
    </w:p>
    <w:p>
      <w:pPr>
        <w:spacing w:after="60" w:before="60"/>
        <w:ind w:left="720"/>
      </w:pPr>
      <w:r>
        <w:rPr>
          <w:rFonts w:ascii="Arial" w:cs="Arial" w:eastAsia="Arial" w:hAnsi="Arial"/>
          <w:i/>
          <w:iCs/>
          <w:color w:val="444444"/>
          <w:sz w:val="20"/>
          <w:szCs w:val="20"/>
        </w:rPr>
        <w:t xml:space="preserve">"Traders dominate this stage (93% of paddy purchases). Few rice processing enterprises buy paddy directly from farmers."</w:t>
      </w:r>
    </w:p>
    <w:p>
      <w:pPr>
        <w:spacing w:after="100" w:before="40"/>
        <w:ind w:left="720"/>
      </w:pPr>
      <w:r>
        <w:rPr>
          <w:rFonts w:ascii="Arial" w:cs="Arial" w:eastAsia="Arial" w:hAnsi="Arial"/>
          <w:i/>
          <w:iCs/>
          <w:color w:val="777777"/>
          <w:sz w:val="18"/>
          <w:szCs w:val="18"/>
        </w:rPr>
        <w:t xml:space="preserve">Nguồn: Springer — The Domestic Rice Value Chain in the Mekong Delta, 2020</w:t>
      </w:r>
    </w:p>
    <w:p>
      <w:pPr>
        <w:spacing w:after="60" w:before="60"/>
        <w:ind w:left="720"/>
      </w:pPr>
      <w:r>
        <w:rPr>
          <w:rFonts w:ascii="Arial" w:cs="Arial" w:eastAsia="Arial" w:hAnsi="Arial"/>
          <w:i/>
          <w:iCs/>
          <w:color w:val="444444"/>
          <w:sz w:val="20"/>
          <w:szCs w:val="20"/>
        </w:rPr>
        <w:t xml:space="preserve">"Smallholder farmers sell more to informal channels i.e. local traders and input dealers, and typically receive lower prices from them compared to government-set minimum support prices."</w:t>
      </w:r>
    </w:p>
    <w:p>
      <w:pPr>
        <w:spacing w:after="100" w:before="40"/>
        <w:ind w:left="720"/>
      </w:pPr>
      <w:r>
        <w:rPr>
          <w:rFonts w:ascii="Arial" w:cs="Arial" w:eastAsia="Arial" w:hAnsi="Arial"/>
          <w:i/>
          <w:iCs/>
          <w:color w:val="777777"/>
          <w:sz w:val="18"/>
          <w:szCs w:val="18"/>
        </w:rPr>
        <w:t xml:space="preserve">Nguồn: ResearchGate — Modern agricultural value chains and the future of smallholder farming systems, 2021</w:t>
      </w:r>
    </w:p>
    <w:p>
      <w:pPr>
        <w:pBdr>
          <w:bottom w:val="single" w:color="C8E6C9" w:sz="4"/>
        </w:pBdr>
        <w:spacing w:after="200" w:before="200"/>
      </w:pPr>
      <w:r>
        <w:t xml:space="preserve"/>
      </w:r>
    </w:p>
    <w:p>
      <w:pPr>
        <w:pStyle w:val="Heading1"/>
        <w:spacing w:after="160" w:before="400"/>
      </w:pPr>
      <w:r>
        <w:rPr>
          <w:rFonts w:ascii="Arial" w:cs="Arial" w:eastAsia="Arial" w:hAnsi="Arial"/>
          <w:b/>
          <w:bCs/>
          <w:color w:val="1B5E20"/>
          <w:sz w:val="32"/>
          <w:szCs w:val="32"/>
        </w:rPr>
        <w:t xml:space="preserve">2. Chuỗi Cung Ứng Nông Sản Việt Nam Hoạt Động Như Thế Nào</w:t>
      </w:r>
    </w:p>
    <w:p>
      <w:pPr>
        <w:spacing w:after="80" w:before="80"/>
      </w:pPr>
      <w:r>
        <w:rPr>
          <w:rFonts w:ascii="Arial" w:cs="Arial" w:eastAsia="Arial" w:hAnsi="Arial"/>
          <w:sz w:val="22"/>
          <w:szCs w:val="22"/>
        </w:rPr>
        <w:t xml:space="preserve">Để hiểu bài toán AgriContract giải quyết, cần hiểu chuỗi cung ứng nông sản B2B Việt Nam thực sự vận hành như thế nào — không phải theo lý thuyết, mà theo thực tế được ghi nhận trong nghiên cứu.</w:t>
      </w:r>
    </w:p>
    <w:p>
      <w:pPr>
        <w:spacing w:after="80" w:before="80"/>
      </w:pPr>
      <w:r>
        <w:t xml:space="preserve"/>
      </w:r>
    </w:p>
    <w:p>
      <w:pPr>
        <w:pStyle w:val="Heading2"/>
        <w:spacing w:after="120" w:before="280"/>
      </w:pPr>
      <w:r>
        <w:rPr>
          <w:rFonts w:ascii="Arial" w:cs="Arial" w:eastAsia="Arial" w:hAnsi="Arial"/>
          <w:b/>
          <w:bCs/>
          <w:color w:val="2E7D32"/>
          <w:sz w:val="26"/>
          <w:szCs w:val="26"/>
        </w:rPr>
        <w:t xml:space="preserve">2.1 Cấu Trúc Chuỗi Tổng Quát</w:t>
      </w:r>
    </w:p>
    <w:p>
      <w:pPr>
        <w:spacing w:after="80" w:before="80"/>
      </w:pPr>
      <w:r>
        <w:rPr>
          <w:rFonts w:ascii="Arial" w:cs="Arial" w:eastAsia="Arial" w:hAnsi="Arial"/>
          <w:sz w:val="22"/>
          <w:szCs w:val="22"/>
        </w:rPr>
        <w:t xml:space="preserve">Chuỗi giá trị nông sản Việt Nam hiện nay bao gồm các khâu chính: sản xuất, thu gom, sơ chế/chế biến, thương mại và tiêu thụ. Trong thực tế, chuỗi này có nhiều lớp trung gian hơn lý thuyết, đặc biệt ở khâu thu gom.</w:t>
      </w:r>
    </w:p>
    <w:p>
      <w:pPr>
        <w:spacing w:after="60" w:before="60"/>
        <w:ind w:left="720"/>
      </w:pPr>
      <w:r>
        <w:rPr>
          <w:rFonts w:ascii="Arial" w:cs="Arial" w:eastAsia="Arial" w:hAnsi="Arial"/>
          <w:i/>
          <w:iCs/>
          <w:color w:val="444444"/>
          <w:sz w:val="20"/>
          <w:szCs w:val="20"/>
        </w:rPr>
        <w:t xml:space="preserve">"Chuỗi giá trị nông sản ở Việt Nam hiện nay thường bao gồm các công đoạn chính: Cung cấp đầu vào, sản xuất, thu gom, chế biến, thương mại và tiêu thụ."</w:t>
      </w:r>
    </w:p>
    <w:p>
      <w:pPr>
        <w:spacing w:after="100" w:before="40"/>
        <w:ind w:left="720"/>
      </w:pPr>
      <w:r>
        <w:rPr>
          <w:rFonts w:ascii="Arial" w:cs="Arial" w:eastAsia="Arial" w:hAnsi="Arial"/>
          <w:i/>
          <w:iCs/>
          <w:color w:val="777777"/>
          <w:sz w:val="18"/>
          <w:szCs w:val="18"/>
        </w:rPr>
        <w:t xml:space="preserve">Nguồn: Tạp chí Ngân hàng — Chuỗi giá trị nông sản và vai trò của các chủ thể, 2022</w:t>
      </w:r>
    </w:p>
    <w:p>
      <w:pPr>
        <w:spacing w:after="80" w:before="80"/>
      </w:pPr>
      <w:r>
        <w:t xml:space="preserve"/>
      </w:r>
    </w:p>
    <w:p>
      <w:pPr>
        <w:pStyle w:val="Heading2"/>
        <w:spacing w:after="120" w:before="280"/>
      </w:pPr>
      <w:r>
        <w:rPr>
          <w:rFonts w:ascii="Arial" w:cs="Arial" w:eastAsia="Arial" w:hAnsi="Arial"/>
          <w:b/>
          <w:bCs/>
          <w:color w:val="2E7D32"/>
          <w:sz w:val="26"/>
          <w:szCs w:val="26"/>
        </w:rPr>
        <w:t xml:space="preserve">2.2 Vai Trò Của Thương Lái — Middleware Của Chuỗi</w:t>
      </w:r>
    </w:p>
    <w:p>
      <w:pPr>
        <w:spacing w:after="80" w:before="80"/>
      </w:pPr>
      <w:r>
        <w:rPr>
          <w:rFonts w:ascii="Arial" w:cs="Arial" w:eastAsia="Arial" w:hAnsi="Arial"/>
          <w:sz w:val="22"/>
          <w:szCs w:val="22"/>
        </w:rPr>
        <w:t xml:space="preserve">Thương lái (middlemen/collectors) là mắt xích trung tâm trong chuỗi cung ứng nông sản Việt Nam. Họ là cầu nối giữa nông dân/HTX và doanh nghiệp thu mua lớn, đồng thời là nguồn thông tin thị trường gần như duy nhất mà nông dân tiếp cận được.</w:t>
      </w:r>
    </w:p>
    <w:p>
      <w:pPr>
        <w:spacing w:after="60" w:before="60"/>
        <w:ind w:left="720"/>
      </w:pPr>
      <w:r>
        <w:rPr>
          <w:rFonts w:ascii="Arial" w:cs="Arial" w:eastAsia="Arial" w:hAnsi="Arial"/>
          <w:i/>
          <w:iCs/>
          <w:color w:val="444444"/>
          <w:sz w:val="20"/>
          <w:szCs w:val="20"/>
        </w:rPr>
        <w:t xml:space="preserve">"Hơn 90% nông dân coi thương lái là nguồn thông tin duy nhất về thị trường, và cũng là đối tượng thu mua nông sản duy nhất của họ."</w:t>
      </w:r>
    </w:p>
    <w:p>
      <w:pPr>
        <w:spacing w:after="100" w:before="40"/>
        <w:ind w:left="720"/>
      </w:pPr>
      <w:r>
        <w:rPr>
          <w:rFonts w:ascii="Arial" w:cs="Arial" w:eastAsia="Arial" w:hAnsi="Arial"/>
          <w:i/>
          <w:iCs/>
          <w:color w:val="777777"/>
          <w:sz w:val="18"/>
          <w:szCs w:val="18"/>
        </w:rPr>
        <w:t xml:space="preserve">Nguồn: logistics4vn.com — Xây dựng chuỗi cung ứng cho nông sản xuất khẩu</w:t>
      </w:r>
    </w:p>
    <w:p>
      <w:pPr>
        <w:spacing w:after="60" w:before="60"/>
        <w:ind w:left="720"/>
      </w:pPr>
      <w:r>
        <w:rPr>
          <w:rFonts w:ascii="Arial" w:cs="Arial" w:eastAsia="Arial" w:hAnsi="Arial"/>
          <w:i/>
          <w:iCs/>
          <w:color w:val="444444"/>
          <w:sz w:val="20"/>
          <w:szCs w:val="20"/>
        </w:rPr>
        <w:t xml:space="preserve">"Thực tế tại miền Tây cho thấy doanh nghiệp thích mua lúa qua thương lái vì đỡ căng thẳng hơn về tiền vốn bỏ ra do không phải ứng tiền trước cho nông dân trong thời gian dài (2-3 tháng). Còn nông dân đơn lẻ thích bán cho thương lái vì có ngay tiền tươi."</w:t>
      </w:r>
    </w:p>
    <w:p>
      <w:pPr>
        <w:spacing w:after="100" w:before="40"/>
        <w:ind w:left="720"/>
      </w:pPr>
      <w:r>
        <w:rPr>
          <w:rFonts w:ascii="Arial" w:cs="Arial" w:eastAsia="Arial" w:hAnsi="Arial"/>
          <w:i/>
          <w:iCs/>
          <w:color w:val="777777"/>
          <w:sz w:val="18"/>
          <w:szCs w:val="18"/>
        </w:rPr>
        <w:t xml:space="preserve">Nguồn: VOV — Nhìn nhận vai trò thương lái trong tiêu thụ nông sản tại vựa lúa miền Tây, 2024</w:t>
      </w:r>
    </w:p>
    <w:p>
      <w:pPr>
        <w:spacing w:after="80" w:before="80"/>
      </w:pPr>
      <w:r>
        <w:t xml:space="preserve"/>
      </w:r>
    </w:p>
    <w:p>
      <w:pPr>
        <w:spacing w:after="80" w:before="80"/>
      </w:pPr>
      <w:r>
        <w:rPr>
          <w:rFonts w:ascii="Arial" w:cs="Arial" w:eastAsia="Arial" w:hAnsi="Arial"/>
          <w:sz w:val="22"/>
          <w:szCs w:val="22"/>
        </w:rPr>
        <w:t xml:space="preserve">Đối với lúa gạo tại ĐBSCL — ngành hàng lớn nhất Việt Nam — nghiên cứu học thuật cho thấy mức độ phụ thuộc vào thương lái rất cao:</w:t>
      </w:r>
    </w:p>
    <w:p>
      <w:pPr>
        <w:spacing w:after="60" w:before="60"/>
        <w:ind w:left="720"/>
      </w:pPr>
      <w:r>
        <w:rPr>
          <w:rFonts w:ascii="Arial" w:cs="Arial" w:eastAsia="Arial" w:hAnsi="Arial"/>
          <w:i/>
          <w:iCs/>
          <w:color w:val="444444"/>
          <w:sz w:val="20"/>
          <w:szCs w:val="20"/>
        </w:rPr>
        <w:t xml:space="preserve">"Trading through paddy brokers, who acted as local collectors, accounted for 55% of purchases. Only 4% of the paddy produced was purchased directly by millers."</w:t>
      </w:r>
    </w:p>
    <w:p>
      <w:pPr>
        <w:spacing w:after="100" w:before="40"/>
        <w:ind w:left="720"/>
      </w:pPr>
      <w:r>
        <w:rPr>
          <w:rFonts w:ascii="Arial" w:cs="Arial" w:eastAsia="Arial" w:hAnsi="Arial"/>
          <w:i/>
          <w:iCs/>
          <w:color w:val="777777"/>
          <w:sz w:val="18"/>
          <w:szCs w:val="18"/>
        </w:rPr>
        <w:t xml:space="preserve">Nguồn: Springer — The Domestic Rice Value Chain in the Mekong Delta, 2020</w:t>
      </w:r>
    </w:p>
    <w:p>
      <w:pPr>
        <w:spacing w:after="80" w:before="80"/>
      </w:pPr>
      <w:r>
        <w:t xml:space="preserve"/>
      </w:r>
    </w:p>
    <w:p>
      <w:pPr>
        <w:spacing w:after="80" w:before="80"/>
      </w:pPr>
      <w:r>
        <w:rPr>
          <w:rFonts w:ascii="Arial" w:cs="Arial" w:eastAsia="Arial" w:hAnsi="Arial"/>
          <w:sz w:val="22"/>
          <w:szCs w:val="22"/>
        </w:rPr>
        <w:t xml:space="preserve">Đối với cà phê tại Đắk Lắk — mặt hàng xuất khẩu chiến lược nhất Việt Nam:</w:t>
      </w:r>
    </w:p>
    <w:p>
      <w:pPr>
        <w:spacing w:after="60" w:before="60"/>
        <w:ind w:left="720"/>
      </w:pPr>
      <w:r>
        <w:rPr>
          <w:rFonts w:ascii="Arial" w:cs="Arial" w:eastAsia="Arial" w:hAnsi="Arial"/>
          <w:i/>
          <w:iCs/>
          <w:color w:val="444444"/>
          <w:sz w:val="20"/>
          <w:szCs w:val="20"/>
        </w:rPr>
        <w:t xml:space="preserve">"A network of 2,000 to 3,000 middlemen-collectors visit villages and collect what coffee there is to buy. Either self-employed, salaried by an exporter, or working for a state-owned farm/exporter."</w:t>
      </w:r>
    </w:p>
    <w:p>
      <w:pPr>
        <w:spacing w:after="100" w:before="40"/>
        <w:ind w:left="720"/>
      </w:pPr>
      <w:r>
        <w:rPr>
          <w:rFonts w:ascii="Arial" w:cs="Arial" w:eastAsia="Arial" w:hAnsi="Arial"/>
          <w:i/>
          <w:iCs/>
          <w:color w:val="777777"/>
          <w:sz w:val="18"/>
          <w:szCs w:val="18"/>
        </w:rPr>
        <w:t xml:space="preserve">Nguồn: Solidaridad Network — Coffee producer country profile: Vietnam, 2024</w:t>
      </w:r>
    </w:p>
    <w:p>
      <w:pPr>
        <w:spacing w:after="60" w:before="60"/>
        <w:ind w:left="720"/>
      </w:pPr>
      <w:r>
        <w:rPr>
          <w:rFonts w:ascii="Arial" w:cs="Arial" w:eastAsia="Arial" w:hAnsi="Arial"/>
          <w:i/>
          <w:iCs/>
          <w:color w:val="444444"/>
          <w:sz w:val="20"/>
          <w:szCs w:val="20"/>
        </w:rPr>
        <w:t xml:space="preserve">"There are reportedly about 500 small-scale collectors/traders at the district and commune levels, 301 roasters/processors, and 11 exporters in Dak Lak province."</w:t>
      </w:r>
    </w:p>
    <w:p>
      <w:pPr>
        <w:spacing w:after="100" w:before="40"/>
        <w:ind w:left="720"/>
      </w:pPr>
      <w:r>
        <w:rPr>
          <w:rFonts w:ascii="Arial" w:cs="Arial" w:eastAsia="Arial" w:hAnsi="Arial"/>
          <w:i/>
          <w:iCs/>
          <w:color w:val="777777"/>
          <w:sz w:val="18"/>
          <w:szCs w:val="18"/>
        </w:rPr>
        <w:t xml:space="preserve">Nguồn: TVSEP Case Study — Coffee in Dak Lak Province, Hannover University, 2018</w:t>
      </w:r>
    </w:p>
    <w:p>
      <w:pPr>
        <w:spacing w:after="80" w:before="80"/>
      </w:pPr>
      <w:r>
        <w:t xml:space="preserve"/>
      </w:r>
    </w:p>
    <w:p>
      <w:pPr>
        <w:pStyle w:val="Heading2"/>
        <w:spacing w:after="120" w:before="280"/>
      </w:pPr>
      <w:r>
        <w:rPr>
          <w:rFonts w:ascii="Arial" w:cs="Arial" w:eastAsia="Arial" w:hAnsi="Arial"/>
          <w:b/>
          <w:bCs/>
          <w:color w:val="2E7D32"/>
          <w:sz w:val="26"/>
          <w:szCs w:val="26"/>
        </w:rPr>
        <w:t xml:space="preserve">2.3 Luồng Giao Dịch Thực Tế: Nông Dân → Thương Lái → Doanh Nghiệp</w:t>
      </w:r>
    </w:p>
    <w:p>
      <w:pPr>
        <w:spacing w:after="80" w:before="80"/>
      </w:pPr>
      <w:r>
        <w:rPr>
          <w:rFonts w:ascii="Arial" w:cs="Arial" w:eastAsia="Arial" w:hAnsi="Arial"/>
          <w:sz w:val="22"/>
          <w:szCs w:val="22"/>
        </w:rPr>
        <w:t xml:space="preserve">Dựa trên nghiên cứu về lúa gạo tại Đồng Tháp — một trong những tỉnh nông nghiệp lớn nhất ĐBSCL:</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4526"/>
        <w:gridCol w:w="1700"/>
      </w:tblGrid>
      <w:tr>
        <w:tc>
          <w:tcPr>
            <w:tcW w:type="dxa" w:w="2800"/>
            <w:tcBorders>
              <w:top w:val="single" w:color="1B5E20" w:sz="1"/>
              <w:left w:val="single" w:color="1B5E20" w:sz="1"/>
              <w:bottom w:val="single" w:color="1B5E20" w:sz="1"/>
              <w:right w:val="single" w:color="1B5E20" w:sz="1"/>
            </w:tcBorders>
            <w:shd w:fill="C8E6C9" w:val="clear"/>
            <w:tcMar>
              <w:top w:type="dxa" w:w="80"/>
              <w:left w:type="dxa" w:w="120"/>
              <w:bottom w:type="dxa" w:w="80"/>
              <w:right w:type="dxa" w:w="120"/>
            </w:tcMar>
          </w:tcPr>
          <w:p>
            <w:r>
              <w:rPr>
                <w:rFonts w:ascii="Arial" w:cs="Arial" w:eastAsia="Arial" w:hAnsi="Arial"/>
                <w:b/>
                <w:bCs/>
                <w:sz w:val="20"/>
                <w:szCs w:val="20"/>
              </w:rPr>
              <w:t xml:space="preserve">Kênh</w:t>
            </w:r>
          </w:p>
        </w:tc>
        <w:tc>
          <w:tcPr>
            <w:tcW w:type="dxa" w:w="4526"/>
            <w:tcBorders>
              <w:top w:val="single" w:color="1B5E20" w:sz="1"/>
              <w:left w:val="single" w:color="1B5E20" w:sz="1"/>
              <w:bottom w:val="single" w:color="1B5E20" w:sz="1"/>
              <w:right w:val="single" w:color="1B5E20" w:sz="1"/>
            </w:tcBorders>
            <w:shd w:fill="C8E6C9" w:val="clear"/>
            <w:tcMar>
              <w:top w:type="dxa" w:w="80"/>
              <w:left w:type="dxa" w:w="120"/>
              <w:bottom w:type="dxa" w:w="80"/>
              <w:right w:type="dxa" w:w="120"/>
            </w:tcMar>
          </w:tcPr>
          <w:p>
            <w:r>
              <w:rPr>
                <w:rFonts w:ascii="Arial" w:cs="Arial" w:eastAsia="Arial" w:hAnsi="Arial"/>
                <w:b/>
                <w:bCs/>
                <w:sz w:val="20"/>
                <w:szCs w:val="20"/>
              </w:rPr>
              <w:t xml:space="preserve">Mô tả</w:t>
            </w:r>
          </w:p>
        </w:tc>
        <w:tc>
          <w:tcPr>
            <w:tcW w:type="dxa" w:w="1700"/>
            <w:tcBorders>
              <w:top w:val="single" w:color="1B5E20" w:sz="1"/>
              <w:left w:val="single" w:color="1B5E20" w:sz="1"/>
              <w:bottom w:val="single" w:color="1B5E20" w:sz="1"/>
              <w:right w:val="single" w:color="1B5E20" w:sz="1"/>
            </w:tcBorders>
            <w:shd w:fill="C8E6C9" w:val="clear"/>
            <w:tcMar>
              <w:top w:type="dxa" w:w="80"/>
              <w:left w:type="dxa" w:w="120"/>
              <w:bottom w:type="dxa" w:w="80"/>
              <w:right w:type="dxa" w:w="120"/>
            </w:tcMar>
          </w:tcPr>
          <w:p>
            <w:r>
              <w:rPr>
                <w:rFonts w:ascii="Arial" w:cs="Arial" w:eastAsia="Arial" w:hAnsi="Arial"/>
                <w:b/>
                <w:bCs/>
                <w:sz w:val="20"/>
                <w:szCs w:val="20"/>
              </w:rPr>
              <w:t xml:space="preserve">Tỷ lệ</w:t>
            </w:r>
          </w:p>
        </w:tc>
      </w:tr>
      <w:tr>
        <w:tc>
          <w:tcPr>
            <w:tcW w:type="dxa" w:w="2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Kênh 1 (chính)</w:t>
            </w:r>
          </w:p>
        </w:tc>
        <w:tc>
          <w:tcPr>
            <w:tcW w:type="dxa" w:w="4526"/>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Nông dân → Thương lái → Nhà máy xay xát → Doanh nghiệp xuất khẩu</w:t>
            </w:r>
          </w:p>
        </w:tc>
        <w:tc>
          <w:tcPr>
            <w:tcW w:type="dxa" w:w="17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~60%</w:t>
            </w:r>
          </w:p>
        </w:tc>
      </w:tr>
      <w:tr>
        <w:tc>
          <w:tcPr>
            <w:tcW w:type="dxa" w:w="2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Kênh 2</w:t>
            </w:r>
          </w:p>
        </w:tc>
        <w:tc>
          <w:tcPr>
            <w:tcW w:type="dxa" w:w="4526"/>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Nông dân → HTX → Doanh nghiệp thu mua/xuất khẩu</w:t>
            </w:r>
          </w:p>
        </w:tc>
        <w:tc>
          <w:tcPr>
            <w:tcW w:type="dxa" w:w="17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~25%</w:t>
            </w:r>
          </w:p>
        </w:tc>
      </w:tr>
      <w:tr>
        <w:tc>
          <w:tcPr>
            <w:tcW w:type="dxa" w:w="2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Kênh 3</w:t>
            </w:r>
          </w:p>
        </w:tc>
        <w:tc>
          <w:tcPr>
            <w:tcW w:type="dxa" w:w="4526"/>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Nông dân → Doanh nghiệp thu mua trực tiếp</w:t>
            </w:r>
          </w:p>
        </w:tc>
        <w:tc>
          <w:tcPr>
            <w:tcW w:type="dxa" w:w="17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~15%</w:t>
            </w:r>
          </w:p>
        </w:tc>
      </w:tr>
    </w:tbl>
    <w:p>
      <w:pPr>
        <w:spacing w:after="80" w:before="80"/>
      </w:pPr>
      <w:r>
        <w:t xml:space="preserve"/>
      </w:r>
    </w:p>
    <w:p>
      <w:pPr>
        <w:spacing w:after="100" w:before="40"/>
        <w:ind w:left="720"/>
      </w:pPr>
      <w:r>
        <w:rPr>
          <w:rFonts w:ascii="Arial" w:cs="Arial" w:eastAsia="Arial" w:hAnsi="Arial"/>
          <w:i/>
          <w:iCs/>
          <w:color w:val="777777"/>
          <w:sz w:val="18"/>
          <w:szCs w:val="18"/>
        </w:rPr>
        <w:t xml:space="preserve">Nguồn: FFTC — Rice Value Chain Operation in Dong Thap Province, 2022</w:t>
      </w:r>
    </w:p>
    <w:p>
      <w:pPr>
        <w:spacing w:after="60" w:before="60"/>
        <w:ind w:left="720"/>
      </w:pPr>
      <w:r>
        <w:rPr>
          <w:rFonts w:ascii="Arial" w:cs="Arial" w:eastAsia="Arial" w:hAnsi="Arial"/>
          <w:i/>
          <w:iCs/>
          <w:color w:val="444444"/>
          <w:sz w:val="20"/>
          <w:szCs w:val="20"/>
        </w:rPr>
        <w:t xml:space="preserve">"Most traders buy fresh rice directly from farmers without contracts, or only verbally. Consumption through traders is riskier for both farmers as well as Vietnam's rice export value chain."</w:t>
      </w:r>
    </w:p>
    <w:p>
      <w:pPr>
        <w:spacing w:after="100" w:before="40"/>
        <w:ind w:left="720"/>
      </w:pPr>
      <w:r>
        <w:rPr>
          <w:rFonts w:ascii="Arial" w:cs="Arial" w:eastAsia="Arial" w:hAnsi="Arial"/>
          <w:i/>
          <w:iCs/>
          <w:color w:val="777777"/>
          <w:sz w:val="18"/>
          <w:szCs w:val="18"/>
        </w:rPr>
        <w:t xml:space="preserve">Nguồn: FFTC — Rice Value Chain Operation in Dong Thap Province, 2022</w:t>
      </w:r>
    </w:p>
    <w:p>
      <w:pPr>
        <w:spacing w:after="80" w:before="80"/>
      </w:pPr>
      <w:r>
        <w:t xml:space="preserve"/>
      </w:r>
    </w:p>
    <w:p>
      <w:pPr>
        <w:pStyle w:val="Heading2"/>
        <w:spacing w:after="120" w:before="280"/>
      </w:pPr>
      <w:r>
        <w:rPr>
          <w:rFonts w:ascii="Arial" w:cs="Arial" w:eastAsia="Arial" w:hAnsi="Arial"/>
          <w:b/>
          <w:bCs/>
          <w:color w:val="2E7D32"/>
          <w:sz w:val="26"/>
          <w:szCs w:val="26"/>
        </w:rPr>
        <w:t xml:space="preserve">2.4 Vấn Đề Cốt Lõi: Giao Dịch Không Có Hợp Đồng</w:t>
      </w:r>
    </w:p>
    <w:p>
      <w:pPr>
        <w:spacing w:after="80" w:before="80"/>
      </w:pPr>
      <w:r>
        <w:rPr>
          <w:rFonts w:ascii="Arial" w:cs="Arial" w:eastAsia="Arial" w:hAnsi="Arial"/>
          <w:sz w:val="22"/>
          <w:szCs w:val="22"/>
        </w:rPr>
        <w:t xml:space="preserve">Điểm chung xuyên suốt tất cả các ngành hàng nông sản Việt Nam là: phần lớn giao dịch diễn ra không có hợp đồng chính thức, hoặc chỉ có hợp đồng miệng.</w:t>
      </w:r>
    </w:p>
    <w:p>
      <w:pPr>
        <w:spacing w:after="60" w:before="60"/>
        <w:ind w:left="720"/>
      </w:pPr>
      <w:r>
        <w:rPr>
          <w:rFonts w:ascii="Arial" w:cs="Arial" w:eastAsia="Arial" w:hAnsi="Arial"/>
          <w:i/>
          <w:iCs/>
          <w:color w:val="444444"/>
          <w:sz w:val="20"/>
          <w:szCs w:val="20"/>
        </w:rPr>
        <w:t xml:space="preserve">"Chỉ khoảng 35% trong số hơn 4,2 triệu hộ sản xuất nông nghiệp liên kết với doanh nghiệp có hợp đồng nguyên tắc rõ ràng."</w:t>
      </w:r>
    </w:p>
    <w:p>
      <w:pPr>
        <w:spacing w:after="100" w:before="40"/>
        <w:ind w:left="720"/>
      </w:pPr>
      <w:r>
        <w:rPr>
          <w:rFonts w:ascii="Arial" w:cs="Arial" w:eastAsia="Arial" w:hAnsi="Arial"/>
          <w:i/>
          <w:iCs/>
          <w:color w:val="777777"/>
          <w:sz w:val="18"/>
          <w:szCs w:val="18"/>
        </w:rPr>
        <w:t xml:space="preserve">Nguồn: mauhopdong.vn, 2025 — trích dẫn số liệu giai đoạn 2022-2024</w:t>
      </w:r>
    </w:p>
    <w:p>
      <w:pPr>
        <w:spacing w:after="60" w:before="60"/>
        <w:ind w:left="720"/>
      </w:pPr>
      <w:r>
        <w:rPr>
          <w:rFonts w:ascii="Arial" w:cs="Arial" w:eastAsia="Arial" w:hAnsi="Arial"/>
          <w:i/>
          <w:iCs/>
          <w:color w:val="444444"/>
          <w:sz w:val="20"/>
          <w:szCs w:val="20"/>
        </w:rPr>
        <w:t xml:space="preserve">"Nông dân chủ yếu bán nông sản cho các thương lái, đại lý thu mua. Do khâu thu gom và chế biến chưa được thực hiện theo đúng quy trình kỹ thuật nên chất lượng nông sản chưa cao, giá thành thấp."</w:t>
      </w:r>
    </w:p>
    <w:p>
      <w:pPr>
        <w:spacing w:after="100" w:before="40"/>
        <w:ind w:left="720"/>
      </w:pPr>
      <w:r>
        <w:rPr>
          <w:rFonts w:ascii="Arial" w:cs="Arial" w:eastAsia="Arial" w:hAnsi="Arial"/>
          <w:i/>
          <w:iCs/>
          <w:color w:val="777777"/>
          <w:sz w:val="18"/>
          <w:szCs w:val="18"/>
        </w:rPr>
        <w:t xml:space="preserve">Nguồn: Tạp chí Kinh tế và Dự báo — Chuỗi cung ứng nông sản xuất khẩu của Việt Nam, 2024</w:t>
      </w:r>
    </w:p>
    <w:p>
      <w:pPr>
        <w:spacing w:after="60" w:before="60"/>
        <w:ind w:left="720"/>
      </w:pPr>
      <w:r>
        <w:rPr>
          <w:rFonts w:ascii="Arial" w:cs="Arial" w:eastAsia="Arial" w:hAnsi="Arial"/>
          <w:i/>
          <w:iCs/>
          <w:color w:val="444444"/>
          <w:sz w:val="20"/>
          <w:szCs w:val="20"/>
        </w:rPr>
        <w:t xml:space="preserve">"Người nông dân và các doanh nghiệp chưa thực sự tìm được tiếng nói chung mặc dù từ phía cơ quan quản lý nhà nước đã có nhiều nỗ lực để kết nối tiêu thụ."</w:t>
      </w:r>
    </w:p>
    <w:p>
      <w:pPr>
        <w:spacing w:after="100" w:before="40"/>
        <w:ind w:left="720"/>
      </w:pPr>
      <w:r>
        <w:rPr>
          <w:rFonts w:ascii="Arial" w:cs="Arial" w:eastAsia="Arial" w:hAnsi="Arial"/>
          <w:i/>
          <w:iCs/>
          <w:color w:val="777777"/>
          <w:sz w:val="18"/>
          <w:szCs w:val="18"/>
        </w:rPr>
        <w:t xml:space="preserve">Nguồn: Tạp chí Kinh tế và Dự báo — Chuỗi cung ứng nông sản xuất khẩu của Việt Nam, 2024</w:t>
      </w:r>
    </w:p>
    <w:p>
      <w:pPr>
        <w:pBdr>
          <w:bottom w:val="single" w:color="C8E6C9" w:sz="4"/>
        </w:pBdr>
        <w:spacing w:after="200" w:before="200"/>
      </w:pPr>
      <w:r>
        <w:t xml:space="preserve"/>
      </w:r>
    </w:p>
    <w:p>
      <w:pPr>
        <w:pStyle w:val="Heading1"/>
        <w:spacing w:after="160" w:before="400"/>
      </w:pPr>
      <w:r>
        <w:rPr>
          <w:rFonts w:ascii="Arial" w:cs="Arial" w:eastAsia="Arial" w:hAnsi="Arial"/>
          <w:b/>
          <w:bCs/>
          <w:color w:val="1B5E20"/>
          <w:sz w:val="32"/>
          <w:szCs w:val="32"/>
        </w:rPr>
        <w:t xml:space="preserve">3. Ba Pain Point Hệ Thống</w:t>
      </w:r>
    </w:p>
    <w:p>
      <w:pPr>
        <w:spacing w:after="80" w:before="80"/>
      </w:pPr>
      <w:r>
        <w:rPr>
          <w:rFonts w:ascii="Arial" w:cs="Arial" w:eastAsia="Arial" w:hAnsi="Arial"/>
          <w:sz w:val="22"/>
          <w:szCs w:val="22"/>
        </w:rPr>
        <w:t xml:space="preserve">Từ thực tế chuỗi cung ứng trên, ba vấn đề cốt lõi nổi lên trong hầu hết nghiên cứu về giao dịch nông sản B2B Việt Nam:</w:t>
      </w:r>
    </w:p>
    <w:p>
      <w:pPr>
        <w:spacing w:after="80" w:before="80"/>
      </w:pPr>
      <w:r>
        <w:t xml:space="preserve"/>
      </w:r>
    </w:p>
    <w:p>
      <w:pPr>
        <w:pStyle w:val="Heading2"/>
        <w:spacing w:after="120" w:before="280"/>
      </w:pPr>
      <w:r>
        <w:rPr>
          <w:rFonts w:ascii="Arial" w:cs="Arial" w:eastAsia="Arial" w:hAnsi="Arial"/>
          <w:b/>
          <w:bCs/>
          <w:color w:val="2E7D32"/>
          <w:sz w:val="26"/>
          <w:szCs w:val="26"/>
        </w:rPr>
        <w:t xml:space="preserve">3.1 Thiếu Bằng Chứng Hợp Đồng</w:t>
      </w:r>
    </w:p>
    <w:p>
      <w:pPr>
        <w:spacing w:after="80" w:before="80"/>
      </w:pPr>
      <w:r>
        <w:rPr>
          <w:rFonts w:ascii="Arial" w:cs="Arial" w:eastAsia="Arial" w:hAnsi="Arial"/>
          <w:sz w:val="22"/>
          <w:szCs w:val="22"/>
        </w:rPr>
        <w:t xml:space="preserve">Hợp đồng miệng và tin nhắn chiếm phần lớn giao dịch giữa HTX/nông dân và doanh nghiệp. Khi tranh chấp xảy ra, không có bằng chứng pháp lý để phân xử.</w:t>
      </w:r>
    </w:p>
    <w:p>
      <w:pPr>
        <w:spacing w:after="60" w:before="60"/>
        <w:ind w:left="720"/>
      </w:pPr>
      <w:r>
        <w:rPr>
          <w:rFonts w:ascii="Arial" w:cs="Arial" w:eastAsia="Arial" w:hAnsi="Arial"/>
          <w:i/>
          <w:iCs/>
          <w:color w:val="444444"/>
          <w:sz w:val="20"/>
          <w:szCs w:val="20"/>
        </w:rPr>
        <w:t xml:space="preserve">"Thông thường, hợp đồng tiêu thụ sản phẩm được xác lập bằng hình thức văn bản đối với chủ thể một bên là doanh nghiệp, hợp tác xã. Tuy nhiên, đối với những cá nhân, hộ gia đình sản xuất nhỏ lẻ thì hợp đồng thường được giao kết bằng lời nói."</w:t>
      </w:r>
    </w:p>
    <w:p>
      <w:pPr>
        <w:spacing w:after="100" w:before="40"/>
        <w:ind w:left="720"/>
      </w:pPr>
      <w:r>
        <w:rPr>
          <w:rFonts w:ascii="Arial" w:cs="Arial" w:eastAsia="Arial" w:hAnsi="Arial"/>
          <w:i/>
          <w:iCs/>
          <w:color w:val="777777"/>
          <w:sz w:val="18"/>
          <w:szCs w:val="18"/>
        </w:rPr>
        <w:t xml:space="preserve">Nguồn: Luật DFC / Luật Gia Bùi — Hướng dẫn soạn thảo hợp đồng mua bán nông sản, 2023</w:t>
      </w:r>
    </w:p>
    <w:p>
      <w:pPr>
        <w:spacing w:after="80" w:before="80"/>
      </w:pPr>
      <w:r>
        <w:t xml:space="preserve"/>
      </w:r>
    </w:p>
    <w:p>
      <w:pPr>
        <w:pStyle w:val="Heading2"/>
        <w:spacing w:after="120" w:before="280"/>
      </w:pPr>
      <w:r>
        <w:rPr>
          <w:rFonts w:ascii="Arial" w:cs="Arial" w:eastAsia="Arial" w:hAnsi="Arial"/>
          <w:b/>
          <w:bCs/>
          <w:color w:val="2E7D32"/>
          <w:sz w:val="26"/>
          <w:szCs w:val="26"/>
        </w:rPr>
        <w:t xml:space="preserve">3.2 Không Có Cơ Chế Escrow</w:t>
      </w:r>
    </w:p>
    <w:p>
      <w:pPr>
        <w:spacing w:after="80" w:before="80"/>
      </w:pPr>
      <w:r>
        <w:rPr>
          <w:rFonts w:ascii="Arial" w:cs="Arial" w:eastAsia="Arial" w:hAnsi="Arial"/>
          <w:sz w:val="22"/>
          <w:szCs w:val="22"/>
        </w:rPr>
        <w:t xml:space="preserve">Không có bên thứ ba giữ tiền trung lập. Bên có tiền (thường là doanh nghiệp lớn) có thể trì hoãn thanh toán hoặc từ chối nhận hàng sau khi HTX đã thu hoạch. Bên có hàng (HTX) có thể bán cho thương lái giá cao hơn và bỏ hợp đồng.</w:t>
      </w:r>
    </w:p>
    <w:p>
      <w:pPr>
        <w:spacing w:after="60" w:before="60"/>
        <w:ind w:left="720"/>
      </w:pPr>
      <w:r>
        <w:rPr>
          <w:rFonts w:ascii="Arial" w:cs="Arial" w:eastAsia="Arial" w:hAnsi="Arial"/>
          <w:i/>
          <w:iCs/>
          <w:color w:val="444444"/>
          <w:sz w:val="20"/>
          <w:szCs w:val="20"/>
        </w:rPr>
        <w:t xml:space="preserve">"Các dạng tranh chấp phổ biến bao gồm: sản phẩm không đạt chất lượng như cam kết, doanh nghiệp không thu mua đúng số lượng, chậm thanh toán, hoặc hộ nông dân không bàn giao sản phẩm theo cam kết."</w:t>
      </w:r>
    </w:p>
    <w:p>
      <w:pPr>
        <w:spacing w:after="100" w:before="40"/>
        <w:ind w:left="720"/>
      </w:pPr>
      <w:r>
        <w:rPr>
          <w:rFonts w:ascii="Arial" w:cs="Arial" w:eastAsia="Arial" w:hAnsi="Arial"/>
          <w:i/>
          <w:iCs/>
          <w:color w:val="777777"/>
          <w:sz w:val="18"/>
          <w:szCs w:val="18"/>
        </w:rPr>
        <w:t xml:space="preserve">Nguồn: Công ty Luật DEDICA — Hợp đồng hợp tác kinh doanh trong ngành nông nghiệp tại Việt Nam, 2024</w:t>
      </w:r>
    </w:p>
    <w:p>
      <w:pPr>
        <w:spacing w:after="80" w:before="80"/>
      </w:pPr>
      <w:r>
        <w:t xml:space="preserve"/>
      </w:r>
    </w:p>
    <w:p>
      <w:pPr>
        <w:pStyle w:val="Heading2"/>
        <w:spacing w:after="120" w:before="280"/>
      </w:pPr>
      <w:r>
        <w:rPr>
          <w:rFonts w:ascii="Arial" w:cs="Arial" w:eastAsia="Arial" w:hAnsi="Arial"/>
          <w:b/>
          <w:bCs/>
          <w:color w:val="2E7D32"/>
          <w:sz w:val="26"/>
          <w:szCs w:val="26"/>
        </w:rPr>
        <w:t xml:space="preserve">3.3 Thông Tin Uy Tín Đối Tác Không Minh Bạch</w:t>
      </w:r>
    </w:p>
    <w:p>
      <w:pPr>
        <w:spacing w:after="80" w:before="80"/>
      </w:pPr>
      <w:r>
        <w:rPr>
          <w:rFonts w:ascii="Arial" w:cs="Arial" w:eastAsia="Arial" w:hAnsi="Arial"/>
          <w:sz w:val="22"/>
          <w:szCs w:val="22"/>
        </w:rPr>
        <w:t xml:space="preserve">Không có hệ thống đánh giá lịch sử giao dịch giữa các bên. HTX lần đầu deal với doanh nghiệp mới không có công cụ nào để đánh giá độ tin cậy — phụ thuộc hoàn toàn vào truyền miệng và quan hệ cá nhân.</w:t>
      </w:r>
    </w:p>
    <w:p>
      <w:pPr>
        <w:spacing w:after="60" w:before="60"/>
        <w:ind w:left="720"/>
      </w:pPr>
      <w:r>
        <w:rPr>
          <w:rFonts w:ascii="Arial" w:cs="Arial" w:eastAsia="Arial" w:hAnsi="Arial"/>
          <w:i/>
          <w:iCs/>
          <w:color w:val="444444"/>
          <w:sz w:val="20"/>
          <w:szCs w:val="20"/>
        </w:rPr>
        <w:t xml:space="preserve">"Farmers are uninformed about downstream wholesale and retail prices. Information had negligible average effects on farmgate sales and revenues, but increased pass-through from wholesale to farmgate prices."</w:t>
      </w:r>
    </w:p>
    <w:p>
      <w:pPr>
        <w:spacing w:after="100" w:before="40"/>
        <w:ind w:left="720"/>
      </w:pPr>
      <w:r>
        <w:rPr>
          <w:rFonts w:ascii="Arial" w:cs="Arial" w:eastAsia="Arial" w:hAnsi="Arial"/>
          <w:i/>
          <w:iCs/>
          <w:color w:val="777777"/>
          <w:sz w:val="18"/>
          <w:szCs w:val="18"/>
        </w:rPr>
        <w:t xml:space="preserve">Nguồn: ResearchGate — Modern agricultural value chains and the future of smallholder farming systems, 2021</w:t>
      </w:r>
    </w:p>
    <w:p>
      <w:pPr>
        <w:spacing w:after="60" w:before="60"/>
        <w:ind w:left="720"/>
      </w:pPr>
      <w:r>
        <w:rPr>
          <w:rFonts w:ascii="Arial" w:cs="Arial" w:eastAsia="Arial" w:hAnsi="Arial"/>
          <w:i/>
          <w:iCs/>
          <w:color w:val="444444"/>
          <w:sz w:val="20"/>
          <w:szCs w:val="20"/>
        </w:rPr>
        <w:t xml:space="preserve">"The understanding and knowledge of cooperatives can be limited, which decreases the influence of cooperatives on farmers."</w:t>
      </w:r>
    </w:p>
    <w:p>
      <w:pPr>
        <w:spacing w:after="100" w:before="40"/>
        <w:ind w:left="720"/>
      </w:pPr>
      <w:r>
        <w:rPr>
          <w:rFonts w:ascii="Arial" w:cs="Arial" w:eastAsia="Arial" w:hAnsi="Arial"/>
          <w:i/>
          <w:iCs/>
          <w:color w:val="777777"/>
          <w:sz w:val="18"/>
          <w:szCs w:val="18"/>
        </w:rPr>
        <w:t xml:space="preserve">Nguồn: ILO — Coffee farmers in Viet Nam face a wide range of risks and vulnerabilities, 2025</w:t>
      </w:r>
    </w:p>
    <w:p>
      <w:pPr>
        <w:pBdr>
          <w:bottom w:val="single" w:color="C8E6C9" w:sz="4"/>
        </w:pBdr>
        <w:spacing w:after="200" w:before="200"/>
      </w:pPr>
      <w:r>
        <w:t xml:space="preserve"/>
      </w:r>
    </w:p>
    <w:p>
      <w:pPr>
        <w:pStyle w:val="Heading1"/>
        <w:spacing w:after="160" w:before="400"/>
      </w:pPr>
      <w:r>
        <w:rPr>
          <w:rFonts w:ascii="Arial" w:cs="Arial" w:eastAsia="Arial" w:hAnsi="Arial"/>
          <w:b/>
          <w:bCs/>
          <w:color w:val="1B5E20"/>
          <w:sz w:val="32"/>
          <w:szCs w:val="32"/>
        </w:rPr>
        <w:t xml:space="preserve">4. Tại Sao Bây Giờ — Ba Yếu Tố Hội Tụ</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4526"/>
        <w:gridCol w:w="2500"/>
      </w:tblGrid>
      <w:tr>
        <w:tc>
          <w:tcPr>
            <w:tcW w:type="dxa" w:w="2000"/>
            <w:tcBorders>
              <w:top w:val="single" w:color="1B5E20" w:sz="1"/>
              <w:left w:val="single" w:color="1B5E20" w:sz="1"/>
              <w:bottom w:val="single" w:color="1B5E20" w:sz="1"/>
              <w:right w:val="single" w:color="1B5E20" w:sz="1"/>
            </w:tcBorders>
            <w:shd w:fill="C8E6C9" w:val="clear"/>
            <w:tcMar>
              <w:top w:type="dxa" w:w="80"/>
              <w:left w:type="dxa" w:w="120"/>
              <w:bottom w:type="dxa" w:w="80"/>
              <w:right w:type="dxa" w:w="120"/>
            </w:tcMar>
          </w:tcPr>
          <w:p>
            <w:r>
              <w:rPr>
                <w:rFonts w:ascii="Arial" w:cs="Arial" w:eastAsia="Arial" w:hAnsi="Arial"/>
                <w:b/>
                <w:bCs/>
                <w:sz w:val="20"/>
                <w:szCs w:val="20"/>
              </w:rPr>
              <w:t xml:space="preserve">Yếu tố</w:t>
            </w:r>
          </w:p>
        </w:tc>
        <w:tc>
          <w:tcPr>
            <w:tcW w:type="dxa" w:w="4526"/>
            <w:tcBorders>
              <w:top w:val="single" w:color="1B5E20" w:sz="1"/>
              <w:left w:val="single" w:color="1B5E20" w:sz="1"/>
              <w:bottom w:val="single" w:color="1B5E20" w:sz="1"/>
              <w:right w:val="single" w:color="1B5E20" w:sz="1"/>
            </w:tcBorders>
            <w:shd w:fill="C8E6C9" w:val="clear"/>
            <w:tcMar>
              <w:top w:type="dxa" w:w="80"/>
              <w:left w:type="dxa" w:w="120"/>
              <w:bottom w:type="dxa" w:w="80"/>
              <w:right w:type="dxa" w:w="120"/>
            </w:tcMar>
          </w:tcPr>
          <w:p>
            <w:r>
              <w:rPr>
                <w:rFonts w:ascii="Arial" w:cs="Arial" w:eastAsia="Arial" w:hAnsi="Arial"/>
                <w:b/>
                <w:bCs/>
                <w:sz w:val="20"/>
                <w:szCs w:val="20"/>
              </w:rPr>
              <w:t xml:space="preserve">Nội dung</w:t>
            </w:r>
          </w:p>
        </w:tc>
        <w:tc>
          <w:tcPr>
            <w:tcW w:type="dxa" w:w="2500"/>
            <w:tcBorders>
              <w:top w:val="single" w:color="1B5E20" w:sz="1"/>
              <w:left w:val="single" w:color="1B5E20" w:sz="1"/>
              <w:bottom w:val="single" w:color="1B5E20" w:sz="1"/>
              <w:right w:val="single" w:color="1B5E20" w:sz="1"/>
            </w:tcBorders>
            <w:shd w:fill="C8E6C9" w:val="clear"/>
            <w:tcMar>
              <w:top w:type="dxa" w:w="80"/>
              <w:left w:type="dxa" w:w="120"/>
              <w:bottom w:type="dxa" w:w="80"/>
              <w:right w:type="dxa" w:w="120"/>
            </w:tcMar>
          </w:tcPr>
          <w:p>
            <w:r>
              <w:rPr>
                <w:rFonts w:ascii="Arial" w:cs="Arial" w:eastAsia="Arial" w:hAnsi="Arial"/>
                <w:b/>
                <w:bCs/>
                <w:sz w:val="20"/>
                <w:szCs w:val="20"/>
              </w:rPr>
              <w:t xml:space="preserve">Nguồn</w:t>
            </w:r>
          </w:p>
        </w:tc>
      </w:tr>
      <w:tr>
        <w:tc>
          <w:tcPr>
            <w:tcW w:type="dxa" w:w="2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EUDR 2026</w:t>
            </w:r>
          </w:p>
        </w:tc>
        <w:tc>
          <w:tcPr>
            <w:tcW w:type="dxa" w:w="4526"/>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EU Deforestation Regulation áp dụng cho cà phê, cao su, gỗ, ca cao xuất khẩu vào EU. Deadline 30/12/2026 cho doanh nghiệp lớn. Yêu cầu audit trail đầy đủ cho toàn bộ supply chain — hợp đồng điện tử là một thành phần bắt buộc.</w:t>
            </w:r>
          </w:p>
        </w:tc>
        <w:tc>
          <w:tcPr>
            <w:tcW w:type="dxa" w:w="25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EC Regulation 2023/1115; EY Vietnam, 2025; UNDP Vietnam, 2024</w:t>
            </w:r>
          </w:p>
        </w:tc>
      </w:tr>
      <w:tr>
        <w:tc>
          <w:tcPr>
            <w:tcW w:type="dxa" w:w="2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Quy mô xuất khẩu nông sản VN</w:t>
            </w:r>
          </w:p>
        </w:tc>
        <w:tc>
          <w:tcPr>
            <w:tcW w:type="dxa" w:w="4526"/>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Kim ngạch xuất khẩu nông nghiệp đạt hơn 70 tỷ USD năm 2025. Việt Nam là nước xuất khẩu cà phê lớn thứ hai thế giới (EU chiếm ~40% kim ngạch), cao su lớn thứ ba. Áp lực chuẩn hóa giao dịch là rất lớn.</w:t>
            </w:r>
          </w:p>
        </w:tc>
        <w:tc>
          <w:tcPr>
            <w:tcW w:type="dxa" w:w="25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Bộ NN&amp;MT, 2026; VICOFA; koltiva.com, 2025</w:t>
            </w:r>
          </w:p>
        </w:tc>
      </w:tr>
      <w:tr>
        <w:tc>
          <w:tcPr>
            <w:tcW w:type="dxa" w:w="2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Chính sách số hóa nông nghiệp</w:t>
            </w:r>
          </w:p>
        </w:tc>
        <w:tc>
          <w:tcPr>
            <w:tcW w:type="dxa" w:w="4526"/>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Nông nghiệp là 1 trong 8 lĩnh vực ưu tiên chuyển đổi số quốc gia theo Đề án 06. Thủ tướng đối thoại nông dân 2025 đặt mục tiêu xây dựng sàn giao dịch online riêng cho nông dân và HTX.</w:t>
            </w:r>
          </w:p>
        </w:tc>
        <w:tc>
          <w:tcPr>
            <w:tcW w:type="dxa" w:w="25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Chính phủ VN — Đề án 06; xaydungchinhsach.chinhphu.vn, 2025</w:t>
            </w:r>
          </w:p>
        </w:tc>
      </w:tr>
      <w:tr>
        <w:tc>
          <w:tcPr>
            <w:tcW w:type="dxa" w:w="2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Khoảng trống thị trường</w:t>
            </w:r>
          </w:p>
        </w:tc>
        <w:tc>
          <w:tcPr>
            <w:tcW w:type="dxa" w:w="4526"/>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Chưa có giải pháp nào tại Việt Nam giải quyết đúng bài toán hợp đồng + escrow ở tầng HTX/SME nông sản. Các platform hiện tại tập trung vào logistics và bán lẻ, không giải quyết contract layer.</w:t>
            </w:r>
          </w:p>
        </w:tc>
        <w:tc>
          <w:tcPr>
            <w:tcW w:type="dxa" w:w="25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Phân tích thị trường, 2024-2025</w:t>
            </w:r>
          </w:p>
        </w:tc>
      </w:tr>
    </w:tbl>
    <w:p>
      <w:pPr>
        <w:spacing w:after="80" w:before="80"/>
      </w:pPr>
      <w:r>
        <w:t xml:space="preserve"/>
      </w:r>
    </w:p>
    <w:p>
      <w:pPr>
        <w:pBdr>
          <w:bottom w:val="single" w:color="C8E6C9" w:sz="4"/>
        </w:pBdr>
        <w:spacing w:after="200" w:before="200"/>
      </w:pPr>
      <w:r>
        <w:t xml:space="preserve"/>
      </w:r>
    </w:p>
    <w:p>
      <w:pPr>
        <w:pStyle w:val="Heading1"/>
        <w:spacing w:after="160" w:before="400"/>
      </w:pPr>
      <w:r>
        <w:rPr>
          <w:rFonts w:ascii="Arial" w:cs="Arial" w:eastAsia="Arial" w:hAnsi="Arial"/>
          <w:b/>
          <w:bCs/>
          <w:color w:val="1B5E20"/>
          <w:sz w:val="32"/>
          <w:szCs w:val="32"/>
        </w:rPr>
        <w:t xml:space="preserve">5. Quy Mô Thị Trường Mục Tiêu</w:t>
      </w:r>
    </w:p>
    <w:p>
      <w:pPr>
        <w:spacing w:after="80" w:before="80"/>
      </w:pPr>
      <w:r>
        <w:rPr>
          <w:rFonts w:ascii="Arial" w:cs="Arial" w:eastAsia="Arial" w:hAnsi="Arial"/>
          <w:sz w:val="22"/>
          <w:szCs w:val="22"/>
        </w:rPr>
        <w:t xml:space="preserve">AgriContract không nhắm đến toàn bộ chuỗi cung ứng nông sản — mà nhắm cụ thể vào layer giao dịch B2B giữa HTX/doanh nghiệp thu mua tầm vừa, nơi mà hợp đồng miệng vẫn chiếm đa số và đang chịu áp lực chuyển đổi số.</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3526"/>
        <w:gridCol w:w="2000"/>
      </w:tblGrid>
      <w:tr>
        <w:tc>
          <w:tcPr>
            <w:tcW w:type="dxa" w:w="3500"/>
            <w:tcBorders>
              <w:top w:val="single" w:color="1B5E20" w:sz="1"/>
              <w:left w:val="single" w:color="1B5E20" w:sz="1"/>
              <w:bottom w:val="single" w:color="1B5E20" w:sz="1"/>
              <w:right w:val="single" w:color="1B5E20" w:sz="1"/>
            </w:tcBorders>
            <w:shd w:fill="C8E6C9" w:val="clear"/>
            <w:tcMar>
              <w:top w:type="dxa" w:w="80"/>
              <w:left w:type="dxa" w:w="120"/>
              <w:bottom w:type="dxa" w:w="80"/>
              <w:right w:type="dxa" w:w="120"/>
            </w:tcMar>
          </w:tcPr>
          <w:p>
            <w:r>
              <w:rPr>
                <w:rFonts w:ascii="Arial" w:cs="Arial" w:eastAsia="Arial" w:hAnsi="Arial"/>
                <w:b/>
                <w:bCs/>
                <w:sz w:val="20"/>
                <w:szCs w:val="20"/>
              </w:rPr>
              <w:t xml:space="preserve">Chỉ số</w:t>
            </w:r>
          </w:p>
        </w:tc>
        <w:tc>
          <w:tcPr>
            <w:tcW w:type="dxa" w:w="3526"/>
            <w:tcBorders>
              <w:top w:val="single" w:color="1B5E20" w:sz="1"/>
              <w:left w:val="single" w:color="1B5E20" w:sz="1"/>
              <w:bottom w:val="single" w:color="1B5E20" w:sz="1"/>
              <w:right w:val="single" w:color="1B5E20" w:sz="1"/>
            </w:tcBorders>
            <w:shd w:fill="C8E6C9" w:val="clear"/>
            <w:tcMar>
              <w:top w:type="dxa" w:w="80"/>
              <w:left w:type="dxa" w:w="120"/>
              <w:bottom w:type="dxa" w:w="80"/>
              <w:right w:type="dxa" w:w="120"/>
            </w:tcMar>
          </w:tcPr>
          <w:p>
            <w:r>
              <w:rPr>
                <w:rFonts w:ascii="Arial" w:cs="Arial" w:eastAsia="Arial" w:hAnsi="Arial"/>
                <w:b/>
                <w:bCs/>
                <w:sz w:val="20"/>
                <w:szCs w:val="20"/>
              </w:rPr>
              <w:t xml:space="preserve">Số liệu</w:t>
            </w:r>
          </w:p>
        </w:tc>
        <w:tc>
          <w:tcPr>
            <w:tcW w:type="dxa" w:w="2000"/>
            <w:tcBorders>
              <w:top w:val="single" w:color="1B5E20" w:sz="1"/>
              <w:left w:val="single" w:color="1B5E20" w:sz="1"/>
              <w:bottom w:val="single" w:color="1B5E20" w:sz="1"/>
              <w:right w:val="single" w:color="1B5E20" w:sz="1"/>
            </w:tcBorders>
            <w:shd w:fill="C8E6C9" w:val="clear"/>
            <w:tcMar>
              <w:top w:type="dxa" w:w="80"/>
              <w:left w:type="dxa" w:w="120"/>
              <w:bottom w:type="dxa" w:w="80"/>
              <w:right w:type="dxa" w:w="120"/>
            </w:tcMar>
          </w:tcPr>
          <w:p>
            <w:r>
              <w:rPr>
                <w:rFonts w:ascii="Arial" w:cs="Arial" w:eastAsia="Arial" w:hAnsi="Arial"/>
                <w:b/>
                <w:bCs/>
                <w:sz w:val="20"/>
                <w:szCs w:val="20"/>
              </w:rPr>
              <w:t xml:space="preserve">Nguồn</w:t>
            </w:r>
          </w:p>
        </w:tc>
      </w:tr>
      <w:tr>
        <w:tc>
          <w:tcPr>
            <w:tcW w:type="dxa" w:w="35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HTX nông nghiệp có liên kết với doanh nghiệp</w:t>
            </w:r>
          </w:p>
        </w:tc>
        <w:tc>
          <w:tcPr>
            <w:tcW w:type="dxa" w:w="3526"/>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815 chuỗi liên kết, 290 HTX tham gia sản xuất theo chuỗi (tính đến 2024)</w:t>
            </w:r>
          </w:p>
        </w:tc>
        <w:tc>
          <w:tcPr>
            <w:tcW w:type="dxa" w:w="2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Bộ NN&amp;PTNT, Thứ trưởng Phùng Đức Tiến, 2024</w:t>
            </w:r>
          </w:p>
        </w:tc>
      </w:tr>
      <w:tr>
        <w:tc>
          <w:tcPr>
            <w:tcW w:type="dxa" w:w="35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Tỷ lệ có hợp đồng rõ ràng</w:t>
            </w:r>
          </w:p>
        </w:tc>
        <w:tc>
          <w:tcPr>
            <w:tcW w:type="dxa" w:w="3526"/>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Chỉ ~35% trong số 4,2 triệu hộ liên kết có hợp đồng nguyên tắc rõ ràng</w:t>
            </w:r>
          </w:p>
        </w:tc>
        <w:tc>
          <w:tcPr>
            <w:tcW w:type="dxa" w:w="2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mauhopdong.vn, 2025</w:t>
            </w:r>
          </w:p>
        </w:tc>
      </w:tr>
      <w:tr>
        <w:tc>
          <w:tcPr>
            <w:tcW w:type="dxa" w:w="35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Kim ngạch xuất khẩu nông sản</w:t>
            </w:r>
          </w:p>
        </w:tc>
        <w:tc>
          <w:tcPr>
            <w:tcW w:type="dxa" w:w="3526"/>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Hơn 70 tỷ USD năm 2025</w:t>
            </w:r>
          </w:p>
        </w:tc>
        <w:tc>
          <w:tcPr>
            <w:tcW w:type="dxa" w:w="2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Bộ NN&amp;MT, 2026</w:t>
            </w:r>
          </w:p>
        </w:tc>
      </w:tr>
      <w:tr>
        <w:tc>
          <w:tcPr>
            <w:tcW w:type="dxa" w:w="35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Tỷ lệ giao dịch qua thương lái (lúa gạo ĐBSCL)</w:t>
            </w:r>
          </w:p>
        </w:tc>
        <w:tc>
          <w:tcPr>
            <w:tcW w:type="dxa" w:w="3526"/>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~55-60% qua thương lái thu gom không có hợp đồng</w:t>
            </w:r>
          </w:p>
        </w:tc>
        <w:tc>
          <w:tcPr>
            <w:tcW w:type="dxa" w:w="2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Springer / FFTC, 2020-2022</w:t>
            </w:r>
          </w:p>
        </w:tc>
      </w:tr>
      <w:tr>
        <w:tc>
          <w:tcPr>
            <w:tcW w:type="dxa" w:w="35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Mạng lưới thương lái cà phê Đắk Lắk</w:t>
            </w:r>
          </w:p>
        </w:tc>
        <w:tc>
          <w:tcPr>
            <w:tcW w:type="dxa" w:w="3526"/>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2.000-3.000 thương lái thu gom hoạt động không chính thức</w:t>
            </w:r>
          </w:p>
        </w:tc>
        <w:tc>
          <w:tcPr>
            <w:tcW w:type="dxa" w:w="2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Solidaridad Network, 2024</w:t>
            </w:r>
          </w:p>
        </w:tc>
      </w:tr>
    </w:tbl>
    <w:p>
      <w:pPr>
        <w:spacing w:after="120" w:before="120"/>
      </w:pPr>
      <w:r>
        <w:t xml:space="preserve"/>
      </w:r>
    </w:p>
    <w:p>
      <w:pPr>
        <w:pBdr>
          <w:top w:val="single" w:color="C8E6C9" w:sz="4"/>
        </w:pBdr>
        <w:spacing w:after="80" w:before="400"/>
      </w:pPr>
      <w:r>
        <w:rPr>
          <w:rFonts w:ascii="Arial" w:cs="Arial" w:eastAsia="Arial" w:hAnsi="Arial"/>
          <w:i/>
          <w:iCs/>
          <w:color w:val="999999"/>
          <w:sz w:val="18"/>
          <w:szCs w:val="18"/>
        </w:rPr>
        <w:t xml:space="preserve">AgriContract — Phân Tích Thị Trường &amp; Luận Cứ Kinh Doanh | Tài liệu nội bộ Đồ Án Tốt Nghiệp</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B5E20"/>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2E7D32"/>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2026-06-03T23:05:13.137Z</dcterms:created>
  <dcterms:modified xsi:type="dcterms:W3CDTF">2026-06-03T23:05:13.137Z</dcterms:modified>
</cp:coreProperties>
</file>

<file path=docProps/custom.xml><?xml version="1.0" encoding="utf-8"?>
<Properties xmlns="http://schemas.openxmlformats.org/officeDocument/2006/custom-properties" xmlns:vt="http://schemas.openxmlformats.org/officeDocument/2006/docPropsVTypes"/>
</file>