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0D47A1"/>
          <w:sz w:val="48"/>
          <w:szCs w:val="48"/>
        </w:rPr>
        <w:t xml:space="preserve">AgriContract</w:t>
      </w:r>
    </w:p>
    <w:p>
      <w:pPr>
        <w:spacing w:after="80" w:before="80"/>
        <w:jc w:val="center"/>
      </w:pPr>
      <w:r>
        <w:rPr>
          <w:rFonts w:ascii="Arial" w:cs="Arial" w:eastAsia="Arial" w:hAnsi="Arial"/>
          <w:b/>
          <w:bCs/>
          <w:color w:val="1565C0"/>
          <w:sz w:val="28"/>
          <w:szCs w:val="28"/>
        </w:rPr>
        <w:t xml:space="preserve">Giải Pháp, Mục Tiêu &amp; Mô Hình Kinh Doanh</w:t>
      </w:r>
    </w:p>
    <w:p>
      <w:pPr>
        <w:spacing w:after="400" w:before="80"/>
        <w:jc w:val="center"/>
      </w:pPr>
      <w:r>
        <w:rPr>
          <w:rFonts w:ascii="Arial" w:cs="Arial" w:eastAsia="Arial" w:hAnsi="Arial"/>
          <w:i/>
          <w:iCs/>
          <w:color w:val="999999"/>
          <w:sz w:val="20"/>
          <w:szCs w:val="20"/>
        </w:rPr>
        <w:t xml:space="preserve">Tài liệu nội bộ — Đồ Án Tốt Nghiệp</w:t>
      </w:r>
    </w:p>
    <w:p>
      <w:pPr>
        <w:pStyle w:val="Heading1"/>
        <w:spacing w:after="160" w:before="400"/>
      </w:pPr>
      <w:r>
        <w:rPr>
          <w:rFonts w:ascii="Arial" w:cs="Arial" w:eastAsia="Arial" w:hAnsi="Arial"/>
          <w:b/>
          <w:bCs/>
          <w:color w:val="0D47A1"/>
          <w:sz w:val="32"/>
          <w:szCs w:val="32"/>
        </w:rPr>
        <w:t xml:space="preserve">1. AgriContract Là Gì</w:t>
      </w:r>
    </w:p>
    <w:p>
      <w:pPr>
        <w:spacing w:after="80" w:before="80"/>
      </w:pPr>
      <w:r>
        <w:rPr>
          <w:rFonts w:ascii="Arial" w:cs="Arial" w:eastAsia="Arial" w:hAnsi="Arial"/>
          <w:sz w:val="22"/>
          <w:szCs w:val="22"/>
        </w:rPr>
        <w:t xml:space="preserve">AgriContract là nền tảng số hóa giao dịch hợp đồng nông sản B2B — cho phép HTX và doanh nghiệp thu mua ký kết hợp đồng điện tử có audit trail đầy đủ, kèm cơ chế escrow đảm bảo thanh toán và giao hàng theo đúng điều khoản đã ký.</w:t>
      </w:r>
    </w:p>
    <w:p>
      <w:pPr>
        <w:spacing w:after="80" w:before="80"/>
      </w:pPr>
      <w:r>
        <w:rPr>
          <w:rFonts w:ascii="Arial" w:cs="Arial" w:eastAsia="Arial" w:hAnsi="Arial"/>
          <w:sz w:val="22"/>
          <w:szCs w:val="22"/>
        </w:rPr>
        <w:t xml:space="preserve">Nền tảng không thay thế hợp đồng giấy hay pháp luật. Nó bổ sung một lớp cơ chế tự thực thi (self-enforcing mechanism) — escrow đảm bảo incentive của cả hai bên được align trước khi giao dịch diễn ra, thay vì chỉ có bằng chứng pháp lý sau khi tranh chấp xảy ra.</w:t>
      </w:r>
    </w:p>
    <w:p>
      <w:pPr>
        <w:spacing w:after="80" w:before="80"/>
      </w:pPr>
      <w:r>
        <w:t xml:space="preserve"/>
      </w:r>
    </w:p>
    <w:p>
      <w:pPr>
        <w:pStyle w:val="Heading2"/>
        <w:spacing w:after="120" w:before="280"/>
      </w:pPr>
      <w:r>
        <w:rPr>
          <w:rFonts w:ascii="Arial" w:cs="Arial" w:eastAsia="Arial" w:hAnsi="Arial"/>
          <w:b/>
          <w:bCs/>
          <w:color w:val="1565C0"/>
          <w:sz w:val="26"/>
          <w:szCs w:val="26"/>
        </w:rPr>
        <w:t xml:space="preserve">1.1 Luồng Giao Dịch Đầy Đủ</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413"/>
        <w:gridCol w:w="2413"/>
      </w:tblGrid>
      <w:tr>
        <w:tc>
          <w:tcPr>
            <w:tcW w:type="dxa" w:w="6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Bước</w:t>
            </w:r>
          </w:p>
        </w:tc>
        <w:tc>
          <w:tcPr>
            <w:tcW w:type="dxa" w:w="36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Hành động</w:t>
            </w:r>
          </w:p>
        </w:tc>
        <w:tc>
          <w:tcPr>
            <w:tcW w:type="dxa" w:w="24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Trạng thái Contract</w:t>
            </w:r>
          </w:p>
        </w:tc>
        <w:tc>
          <w:tcPr>
            <w:tcW w:type="dxa" w:w="24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Trạng thái Escrow</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Seller (HTX) đăng listing sản phẩm: số lượng, giá sàn, thời gian giao hàng</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Buyer (doanh nghiệp) gửi offer đề xuất điều khoản</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OFFERED</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Hai bên đàm phán trực tiếp trên platform — mọi thay đổi được ghi audit trail</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NEGOTIATING</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Cả hai bên ký hợp đồng số</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SIGNED</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Buyer lock tiền vào Escrow — không bên nào rút được đơn phương</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ACTIVE</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Seller thực hiện giao hàng theo điều khoản</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ACTIVE</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Buyer xác nhận nhận hàng đủ điều kiện</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DELIVERED</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Escrow tự động release tiền cho Seller</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SETTLED</w:t>
            </w:r>
          </w:p>
        </w:tc>
        <w:tc>
          <w:tcPr>
            <w:tcW w:type="dxa" w:w="2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RELEASED</w:t>
            </w:r>
          </w:p>
        </w:tc>
      </w:tr>
    </w:tbl>
    <w:p>
      <w:pPr>
        <w:spacing w:after="80" w:before="80"/>
      </w:pPr>
      <w:r>
        <w:t xml:space="preserve"/>
      </w:r>
    </w:p>
    <w:p>
      <w:pPr>
        <w:pStyle w:val="Heading2"/>
        <w:spacing w:after="120" w:before="280"/>
      </w:pPr>
      <w:r>
        <w:rPr>
          <w:rFonts w:ascii="Arial" w:cs="Arial" w:eastAsia="Arial" w:hAnsi="Arial"/>
          <w:b/>
          <w:bCs/>
          <w:color w:val="1565C0"/>
          <w:sz w:val="26"/>
          <w:szCs w:val="26"/>
        </w:rPr>
        <w:t xml:space="preserve">1.2 Cancel Flow &amp; Penalty Rules</w:t>
      </w:r>
    </w:p>
    <w:p>
      <w:pPr>
        <w:spacing w:after="80" w:before="80"/>
      </w:pPr>
      <w:r>
        <w:rPr>
          <w:rFonts w:ascii="Arial" w:cs="Arial" w:eastAsia="Arial" w:hAnsi="Arial"/>
          <w:sz w:val="22"/>
          <w:szCs w:val="22"/>
        </w:rPr>
        <w:t xml:space="preserve">AgriContract xử lý rõ ràng các trường hợp hủy hợp đồng — đây là điểm khác biệt so với hợp đồng miệng truyền thống: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26"/>
        <w:gridCol w:w="3200"/>
      </w:tblGrid>
      <w:tr>
        <w:tc>
          <w:tcPr>
            <w:tcW w:type="dxa" w:w="28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Tình huống</w:t>
            </w:r>
          </w:p>
        </w:tc>
        <w:tc>
          <w:tcPr>
            <w:tcW w:type="dxa" w:w="3026"/>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Hành động</w:t>
            </w:r>
          </w:p>
        </w:tc>
        <w:tc>
          <w:tcPr>
            <w:tcW w:type="dxa" w:w="32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Kết quả Escrow</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Cancel trước SIGNED (cả hai bên)</w:t>
            </w:r>
          </w:p>
        </w:tc>
        <w:tc>
          <w:tcPr>
            <w:tcW w:type="dxa" w:w="3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Tự do hủy, không cần giải thích</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Không có escrow → không cần compensating transaction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Buyer cancel sau ACTIVE</w:t>
            </w:r>
          </w:p>
        </w:tc>
        <w:tc>
          <w:tcPr>
            <w:tcW w:type="dxa" w:w="3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Buyer forfeit cọc theo điều khoản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PENALIZED_BUYER: một phần tiền về Seller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Seller cancel sau ACTIVE</w:t>
            </w:r>
          </w:p>
        </w:tc>
        <w:tc>
          <w:tcPr>
            <w:tcW w:type="dxa" w:w="3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Seller đền bù theo điều khoản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PENALIZED_SELLER: refund toàn bộ cho Buyer</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Tranh chấp sau DELIVERED</w:t>
            </w:r>
          </w:p>
        </w:tc>
        <w:tc>
          <w:tcPr>
            <w:tcW w:type="dxa" w:w="30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Buyer trigger DISPUTED → Admin/Arbitrator xem xét</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ARBITRATED: Admin quyết định phân chia</w:t>
            </w:r>
          </w:p>
        </w:tc>
      </w:tr>
    </w:tbl>
    <w:p>
      <w:pPr>
        <w:spacing w:after="80" w:before="80"/>
      </w:pPr>
      <w:r>
        <w:t xml:space="preserve"/>
      </w:r>
    </w:p>
    <w:p>
      <w:pPr>
        <w:pBdr>
          <w:bottom w:val="single" w:color="BBDEFB" w:sz="4"/>
        </w:pBdr>
        <w:spacing w:after="200" w:before="200"/>
      </w:pPr>
      <w:r>
        <w:t xml:space="preserve"/>
      </w:r>
    </w:p>
    <w:p>
      <w:pPr>
        <w:pStyle w:val="Heading1"/>
        <w:spacing w:after="160" w:before="400"/>
      </w:pPr>
      <w:r>
        <w:rPr>
          <w:rFonts w:ascii="Arial" w:cs="Arial" w:eastAsia="Arial" w:hAnsi="Arial"/>
          <w:b/>
          <w:bCs/>
          <w:color w:val="0D47A1"/>
          <w:sz w:val="32"/>
          <w:szCs w:val="32"/>
        </w:rPr>
        <w:t xml:space="preserve">2. Ba Vấn Đề AgriContract Giải Quyết</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13"/>
        <w:gridCol w:w="3613"/>
      </w:tblGrid>
      <w:tr>
        <w:tc>
          <w:tcPr>
            <w:tcW w:type="dxa" w:w="22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Vấn đề</w:t>
            </w:r>
          </w:p>
        </w:tc>
        <w:tc>
          <w:tcPr>
            <w:tcW w:type="dxa" w:w="32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Thực trạng</w:t>
            </w:r>
          </w:p>
        </w:tc>
        <w:tc>
          <w:tcPr>
            <w:tcW w:type="dxa" w:w="36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AgriContract giải quyết bằng cách nào</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Thiếu bằng chứng hợp đồng</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Chỉ 35% giao dịch nông sản có hợp đồng rõ ràng. Phần còn lại là miệng hoặc tin nhắn không có giá trị pháp lý.</w:t>
            </w:r>
          </w:p>
        </w:tc>
        <w:tc>
          <w:tcPr>
            <w:tcW w:type="dxa" w:w="36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Hợp đồng điện tử có timestamp, lịch sử đàm phán đầy đủ, audit trail bất biến. Có thể dùng làm bằng chứng pháp lý hoặc nộp cho EUDR compliance.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Không có escrow</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Bẻ kèo xảy ra vì không có cơ chế hold tiền. Bên mạnh (thường là doanh nghiệp lớn) có thể từ chối nhận hàng. Bên yếu (HTX) có thể bán cho thương lái giá cao hơn.</w:t>
            </w:r>
          </w:p>
        </w:tc>
        <w:tc>
          <w:tcPr>
            <w:tcW w:type="dxa" w:w="36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Escrow lock tiền trước khi Seller giao hàng. Penalty rules tự động thực thi — không cần kiện tụng, không cần luật sư.</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Thiếu thông tin uy tín đối tác</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Không có hệ thống đánh giá lịch sử giao dịch. HTX nhỏ lần đầu deal với doanh nghiệp mới hoàn toàn mù thông tin.</w:t>
            </w:r>
          </w:p>
        </w:tc>
        <w:tc>
          <w:tcPr>
            <w:tcW w:type="dxa" w:w="36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Lịch sử giao dịch trên platform là reputation system tự nhiên. Audit trail công khai giữa các bên xây dựng trust theo thời gian.</w:t>
            </w:r>
          </w:p>
        </w:tc>
      </w:tr>
    </w:tbl>
    <w:p>
      <w:pPr>
        <w:spacing w:after="80" w:before="80"/>
      </w:pPr>
      <w:r>
        <w:t xml:space="preserve"/>
      </w:r>
    </w:p>
    <w:p>
      <w:pPr>
        <w:pBdr>
          <w:bottom w:val="single" w:color="BBDEFB" w:sz="4"/>
        </w:pBdr>
        <w:spacing w:after="200" w:before="200"/>
      </w:pPr>
      <w:r>
        <w:t xml:space="preserve"/>
      </w:r>
    </w:p>
    <w:p>
      <w:pPr>
        <w:pStyle w:val="Heading1"/>
        <w:spacing w:after="160" w:before="400"/>
      </w:pPr>
      <w:r>
        <w:rPr>
          <w:rFonts w:ascii="Arial" w:cs="Arial" w:eastAsia="Arial" w:hAnsi="Arial"/>
          <w:b/>
          <w:bCs/>
          <w:color w:val="0D47A1"/>
          <w:sz w:val="32"/>
          <w:szCs w:val="32"/>
        </w:rPr>
        <w:t xml:space="preserve">3. Mô Hình Kinh Doanh</w:t>
      </w:r>
    </w:p>
    <w:p>
      <w:pPr>
        <w:spacing w:after="80" w:before="80"/>
      </w:pPr>
      <w:r>
        <w:t xml:space="preserve"/>
      </w:r>
    </w:p>
    <w:p>
      <w:pPr>
        <w:pStyle w:val="Heading2"/>
        <w:spacing w:after="120" w:before="280"/>
      </w:pPr>
      <w:r>
        <w:rPr>
          <w:rFonts w:ascii="Arial" w:cs="Arial" w:eastAsia="Arial" w:hAnsi="Arial"/>
          <w:b/>
          <w:bCs/>
          <w:color w:val="1565C0"/>
          <w:sz w:val="26"/>
          <w:szCs w:val="26"/>
        </w:rPr>
        <w:t xml:space="preserve">3.1 Ai Mua Phần Mềm Này</w:t>
      </w:r>
    </w:p>
    <w:p>
      <w:pPr>
        <w:spacing w:after="80" w:before="80"/>
      </w:pPr>
      <w:r>
        <w:rPr>
          <w:rFonts w:ascii="Arial" w:cs="Arial" w:eastAsia="Arial" w:hAnsi="Arial"/>
          <w:sz w:val="22"/>
          <w:szCs w:val="22"/>
        </w:rPr>
        <w:t xml:space="preserve">AgriContract không bán trực tiếp cho nông dân lẻ hay HTX nhỏ — đó là sai lầm nhiều platform nông nghiệp Việt Nam đã mắc. AgriContract bán cho tổ chức có đủ uy tín và nguồn lực để vận hành platform cho một cộng đồng giao dịch:</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13"/>
        <w:gridCol w:w="3413"/>
      </w:tblGrid>
      <w:tr>
        <w:tc>
          <w:tcPr>
            <w:tcW w:type="dxa" w:w="24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Nhóm khách hàng</w:t>
            </w:r>
          </w:p>
        </w:tc>
        <w:tc>
          <w:tcPr>
            <w:tcW w:type="dxa" w:w="32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Đặc điểm</w:t>
            </w:r>
          </w:p>
        </w:tc>
        <w:tc>
          <w:tcPr>
            <w:tcW w:type="dxa" w:w="34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Lý do mua</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Hiệp hội ngành hàng nông sản</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VICOFA (cà phê), VRA (cao su), VINACAS (điều), Hiệp hội Rau quả VN... Tổ chức phi lợi nhuận đại diện cho cả buyer lẫn seller.</w:t>
            </w:r>
          </w:p>
        </w:tc>
        <w:tc>
          <w:tcPr>
            <w:tcW w:type="dxa" w:w="3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Chuẩn hóa giao dịch giữa thành viên, giảm tranh chấp, có audit trail cho EUDR. Đây là tổ chức trung lập — không có conflict of interest.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Doanh nghiệp thu mua lớn có uy tín nhà nước</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Các công ty cà phê, cao su, lúa gạo được nhà nước công nhận, có brand đủ lớn để seller trust.</w:t>
            </w:r>
          </w:p>
        </w:tc>
        <w:tc>
          <w:tcPr>
            <w:tcW w:type="dxa" w:w="3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Chuẩn hóa quy trình thu mua, giảm rủi ro bẻ kèo, có bằng chứng giao dịch cho báo cáo xuất khẩu và EUDR compliance.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Ngân hàng nông nghiệp (Agribank, BIDV)</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Đang có chương trình tín dụng nông nghiệp, cần platform giao dịch để tích hợp escrow thật.</w:t>
            </w:r>
          </w:p>
        </w:tc>
        <w:tc>
          <w:tcPr>
            <w:tcW w:type="dxa" w:w="3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Tích hợp escrow vào sản phẩm tín dụng nông nghiệp. Ngân hàng đứng ra hold tiền — giải quyết hoàn toàn vấn đề trust của seller.</w:t>
            </w:r>
          </w:p>
        </w:tc>
      </w:tr>
    </w:tbl>
    <w:p>
      <w:pPr>
        <w:spacing w:after="80" w:before="80"/>
      </w:pPr>
      <w:r>
        <w:t xml:space="preserve"/>
      </w:r>
    </w:p>
    <w:p>
      <w:pPr>
        <w:pStyle w:val="Heading2"/>
        <w:spacing w:after="120" w:before="280"/>
      </w:pPr>
      <w:r>
        <w:rPr>
          <w:rFonts w:ascii="Arial" w:cs="Arial" w:eastAsia="Arial" w:hAnsi="Arial"/>
          <w:b/>
          <w:bCs/>
          <w:color w:val="1565C0"/>
          <w:sz w:val="26"/>
          <w:szCs w:val="26"/>
        </w:rPr>
        <w:t xml:space="preserve">3.2 Mô Hình Trust — Tại Sao Seller Sẽ Tin</w:t>
      </w:r>
    </w:p>
    <w:p>
      <w:pPr>
        <w:spacing w:after="80" w:before="80"/>
      </w:pPr>
      <w:r>
        <w:rPr>
          <w:rFonts w:ascii="Arial" w:cs="Arial" w:eastAsia="Arial" w:hAnsi="Arial"/>
          <w:sz w:val="22"/>
          <w:szCs w:val="22"/>
        </w:rPr>
        <w:t xml:space="preserve">Vấn đề cốt lõi của bất kỳ escrow platform nào là: ai hold tiền và ai tin người đó? AgriContract giải quyết điều này theo mô hình phân tầng:</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Tầng 1 — Hiệp hội/tổ chức mua phần mềm là neutral party đã có uy tín sẵn với cả buyer lẫn seller. Seller tin hiệp hội vì hiệp hội đại diện cho họ từ trước, không phải vì một startup mới.</w:t>
      </w:r>
    </w:p>
    <w:p>
      <w:pPr>
        <w:pStyle w:val="ListParagraph"/>
        <w:numPr>
          <w:ilvl w:val="0"/>
          <w:numId w:val="2"/>
        </w:numPr>
        <w:spacing w:after="60" w:before="60"/>
      </w:pPr>
      <w:r>
        <w:rPr>
          <w:rFonts w:ascii="Arial" w:cs="Arial" w:eastAsia="Arial" w:hAnsi="Arial"/>
          <w:sz w:val="22"/>
          <w:szCs w:val="22"/>
        </w:rPr>
        <w:t xml:space="preserve">Tầng 2 — Doanh nghiệp lớn có uy tín nhà nước công nhận. Seller trust doanh nghiệp đó vì brand và track record sẵn có — không cần build trust từ đầu.</w:t>
      </w:r>
    </w:p>
    <w:p>
      <w:pPr>
        <w:pStyle w:val="ListParagraph"/>
        <w:numPr>
          <w:ilvl w:val="0"/>
          <w:numId w:val="2"/>
        </w:numPr>
        <w:spacing w:after="60" w:before="60"/>
      </w:pPr>
      <w:r>
        <w:rPr>
          <w:rFonts w:ascii="Arial" w:cs="Arial" w:eastAsia="Arial" w:hAnsi="Arial"/>
          <w:sz w:val="22"/>
          <w:szCs w:val="22"/>
        </w:rPr>
        <w:t xml:space="preserve">Tầng 3 — Ngân hàng tích hợp. Khi escrow được hold bởi ngân hàng được NHNN giám sát, seller có mức tin tưởng cao nhất. Đây là hướng mở rộng Phase 2 — trong Phase 1, escrow là mock nhưng được thiết kế để ngân hàng có thể tích hợp vào sau.</w:t>
      </w:r>
    </w:p>
    <w:p>
      <w:pPr>
        <w:spacing w:after="80" w:before="80"/>
      </w:pPr>
      <w:r>
        <w:t xml:space="preserve"/>
      </w:r>
    </w:p>
    <w:p>
      <w:pPr>
        <w:pStyle w:val="Heading2"/>
        <w:spacing w:after="120" w:before="280"/>
      </w:pPr>
      <w:r>
        <w:rPr>
          <w:rFonts w:ascii="Arial" w:cs="Arial" w:eastAsia="Arial" w:hAnsi="Arial"/>
          <w:b/>
          <w:bCs/>
          <w:color w:val="1565C0"/>
          <w:sz w:val="26"/>
          <w:szCs w:val="26"/>
        </w:rPr>
        <w:t xml:space="preserve">3.3 Vai Trò Của Ngân Hàng Trong Tranh Chấp</w:t>
      </w:r>
    </w:p>
    <w:p>
      <w:pPr>
        <w:spacing w:after="80" w:before="80"/>
      </w:pPr>
      <w:r>
        <w:rPr>
          <w:rFonts w:ascii="Arial" w:cs="Arial" w:eastAsia="Arial" w:hAnsi="Arial"/>
          <w:sz w:val="22"/>
          <w:szCs w:val="22"/>
        </w:rPr>
        <w:t xml:space="preserve">Khi doanh nghiệp thu mua vừa là buyer vừa là platform operator, conflict of interest trong tranh chấp là vấn đề thực. Giải pháp: ngân hàng đóng vai trò arbitrator độc lập.</w:t>
      </w:r>
    </w:p>
    <w:p>
      <w:pPr>
        <w:pStyle w:val="ListParagraph"/>
        <w:numPr>
          <w:ilvl w:val="0"/>
          <w:numId w:val="2"/>
        </w:numPr>
        <w:spacing w:after="60" w:before="60"/>
      </w:pPr>
      <w:r>
        <w:rPr>
          <w:rFonts w:ascii="Arial" w:cs="Arial" w:eastAsia="Arial" w:hAnsi="Arial"/>
          <w:sz w:val="22"/>
          <w:szCs w:val="22"/>
        </w:rPr>
        <w:t xml:space="preserve">Ngân hàng không có skin in the game trong từng giao dịch nông sản cụ thể.</w:t>
      </w:r>
    </w:p>
    <w:p>
      <w:pPr>
        <w:pStyle w:val="ListParagraph"/>
        <w:numPr>
          <w:ilvl w:val="0"/>
          <w:numId w:val="2"/>
        </w:numPr>
        <w:spacing w:after="60" w:before="60"/>
      </w:pPr>
      <w:r>
        <w:rPr>
          <w:rFonts w:ascii="Arial" w:cs="Arial" w:eastAsia="Arial" w:hAnsi="Arial"/>
          <w:sz w:val="22"/>
          <w:szCs w:val="22"/>
        </w:rPr>
        <w:t xml:space="preserve">Ngân hàng được NHNN giám sát — có trách nhiệm pháp lý rõ ràng.</w:t>
      </w:r>
    </w:p>
    <w:p>
      <w:pPr>
        <w:pStyle w:val="ListParagraph"/>
        <w:numPr>
          <w:ilvl w:val="0"/>
          <w:numId w:val="2"/>
        </w:numPr>
        <w:spacing w:after="60" w:before="60"/>
      </w:pPr>
      <w:r>
        <w:rPr>
          <w:rFonts w:ascii="Arial" w:cs="Arial" w:eastAsia="Arial" w:hAnsi="Arial"/>
          <w:sz w:val="22"/>
          <w:szCs w:val="22"/>
        </w:rPr>
        <w:t xml:space="preserve">Agribank và BIDV đang có các chương trình tín dụng nông nghiệp — tích hợp dispute resolution vào escrow là bước mở rộng tự nhiên.</w:t>
      </w:r>
    </w:p>
    <w:p>
      <w:pPr>
        <w:spacing w:after="80" w:before="80"/>
      </w:pPr>
      <w:r>
        <w:t xml:space="preserve"/>
      </w:r>
    </w:p>
    <w:p>
      <w:pPr>
        <w:pBdr>
          <w:bottom w:val="single" w:color="BBDEFB" w:sz="4"/>
        </w:pBdr>
        <w:spacing w:after="200" w:before="200"/>
      </w:pPr>
      <w:r>
        <w:t xml:space="preserve"/>
      </w:r>
    </w:p>
    <w:p>
      <w:pPr>
        <w:pStyle w:val="Heading1"/>
        <w:spacing w:after="160" w:before="400"/>
      </w:pPr>
      <w:r>
        <w:rPr>
          <w:rFonts w:ascii="Arial" w:cs="Arial" w:eastAsia="Arial" w:hAnsi="Arial"/>
          <w:b/>
          <w:bCs/>
          <w:color w:val="0D47A1"/>
          <w:sz w:val="32"/>
          <w:szCs w:val="32"/>
        </w:rPr>
        <w:t xml:space="preserve">4. Mục Tiêu Dự Án</w:t>
      </w:r>
    </w:p>
    <w:p>
      <w:pPr>
        <w:spacing w:after="80" w:before="80"/>
      </w:pPr>
      <w:r>
        <w:t xml:space="preserve"/>
      </w:r>
    </w:p>
    <w:p>
      <w:pPr>
        <w:pStyle w:val="Heading2"/>
        <w:spacing w:after="120" w:before="280"/>
      </w:pPr>
      <w:r>
        <w:rPr>
          <w:rFonts w:ascii="Arial" w:cs="Arial" w:eastAsia="Arial" w:hAnsi="Arial"/>
          <w:b/>
          <w:bCs/>
          <w:color w:val="1565C0"/>
          <w:sz w:val="26"/>
          <w:szCs w:val="26"/>
        </w:rPr>
        <w:t xml:space="preserve">4.1 Phase 1 — MVP (7 tuần, deadline 24/7)</w:t>
      </w:r>
    </w:p>
    <w:p>
      <w:pPr>
        <w:spacing w:after="80" w:before="80"/>
      </w:pPr>
      <w:r>
        <w:rPr>
          <w:rFonts w:ascii="Arial" w:cs="Arial" w:eastAsia="Arial" w:hAnsi="Arial"/>
          <w:sz w:val="22"/>
          <w:szCs w:val="22"/>
        </w:rPr>
        <w:t xml:space="preserve">Mục tiêu: Demo được full flow từ đăng listing đến escrow release, đủ để chứng minh technical feasibility và defend trước hội đồng.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c>
          <w:tcPr>
            <w:tcW w:type="dxa" w:w="9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Tuần</w:t>
            </w:r>
          </w:p>
        </w:tc>
        <w:tc>
          <w:tcPr>
            <w:tcW w:type="dxa" w:w="18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Thời gian</w:t>
            </w:r>
          </w:p>
        </w:tc>
        <w:tc>
          <w:tcPr>
            <w:tcW w:type="dxa" w:w="6326"/>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03–09/6</w:t>
            </w:r>
          </w:p>
        </w:tc>
        <w:tc>
          <w:tcPr>
            <w:tcW w:type="dxa" w:w="6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Docker Compose, API Gateway, user-service + Keycloak</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10–16/6</w:t>
            </w:r>
          </w:p>
        </w:tc>
        <w:tc>
          <w:tcPr>
            <w:tcW w:type="dxa" w:w="6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product-service + giao diện browse/search</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17–23/6</w:t>
            </w:r>
          </w:p>
        </w:tc>
        <w:tc>
          <w:tcPr>
            <w:tcW w:type="dxa" w:w="6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contract-service state machine: OFFERED → SIGNED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24–30/6</w:t>
            </w:r>
          </w:p>
        </w:tc>
        <w:tc>
          <w:tcPr>
            <w:tcW w:type="dxa" w:w="6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escrow-service + full contract flow → SETTLED, cancel flow, penalty logic</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01–07/7</w:t>
            </w:r>
          </w:p>
        </w:tc>
        <w:tc>
          <w:tcPr>
            <w:tcW w:type="dxa" w:w="6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notification-service + RabbitMQ Choreography Saga</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08–14/7</w:t>
            </w:r>
          </w:p>
        </w:tc>
        <w:tc>
          <w:tcPr>
            <w:tcW w:type="dxa" w:w="6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Frontend hoàn thiện, integration end-to-end</w:t>
            </w:r>
          </w:p>
        </w:tc>
      </w:tr>
      <w:tr>
        <w:tc>
          <w:tcPr>
            <w:tcW w:type="dxa" w:w="9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15–24/7</w:t>
            </w:r>
          </w:p>
        </w:tc>
        <w:tc>
          <w:tcPr>
            <w:tcW w:type="dxa" w:w="63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Buffer, bug fix, chuẩn bị demo</w:t>
            </w:r>
          </w:p>
        </w:tc>
      </w:tr>
    </w:tbl>
    <w:p>
      <w:pPr>
        <w:spacing w:after="80" w:before="80"/>
      </w:pPr>
      <w:r>
        <w:t xml:space="preserve"/>
      </w:r>
    </w:p>
    <w:p>
      <w:pPr>
        <w:spacing w:after="80" w:before="80"/>
      </w:pPr>
      <w:r>
        <w:rPr>
          <w:rFonts w:ascii="Arial" w:cs="Arial" w:eastAsia="Arial" w:hAnsi="Arial"/>
          <w:sz w:val="22"/>
          <w:szCs w:val="22"/>
        </w:rPr>
        <w:t xml:space="preserve">Deliverable cuối Phase 1: Demo live full flow — Seller đăng listing, Buyer ký hợp đồng, lock escrow, xác nhận nhận hàng, escrow tự động release tiền.</w:t>
      </w:r>
    </w:p>
    <w:p>
      <w:pPr>
        <w:spacing w:after="80" w:before="80"/>
      </w:pPr>
      <w:r>
        <w:t xml:space="preserve"/>
      </w:r>
    </w:p>
    <w:p>
      <w:pPr>
        <w:pStyle w:val="Heading2"/>
        <w:spacing w:after="120" w:before="280"/>
      </w:pPr>
      <w:r>
        <w:rPr>
          <w:rFonts w:ascii="Arial" w:cs="Arial" w:eastAsia="Arial" w:hAnsi="Arial"/>
          <w:b/>
          <w:bCs/>
          <w:color w:val="1565C0"/>
          <w:sz w:val="26"/>
          <w:szCs w:val="26"/>
        </w:rPr>
        <w:t xml:space="preserve">4.2 Phase 2 — Đồ Án Tốt Nghiệp (mở rộng)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Nhóm</w:t>
            </w:r>
          </w:p>
        </w:tc>
        <w:tc>
          <w:tcPr>
            <w:tcW w:type="dxa" w:w="6526"/>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Nội dung</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Security</w:t>
            </w:r>
          </w:p>
        </w:tc>
        <w:tc>
          <w:tcPr>
            <w:tcW w:type="dxa" w:w="6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OAuth2/Keycloak hardening, rate limiting, audit log, OWASP hardening</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Redis cache, load test k6/JMeter, DB indexing</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6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Zipkin distributed tracing, ELK logging</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Testing &amp; Docs</w:t>
            </w:r>
          </w:p>
        </w:tc>
        <w:tc>
          <w:tcPr>
            <w:tcW w:type="dxa" w:w="6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OpenAPI/Swagger, integration test, contract test (Pact)</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Bank Integration</w:t>
            </w:r>
          </w:p>
        </w:tc>
        <w:tc>
          <w:tcPr>
            <w:tcW w:type="dxa" w:w="6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Tích hợp escrow thật với ngân hàng — Agribank hoặc BIDV API</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AI features</w:t>
            </w:r>
          </w:p>
        </w:tc>
        <w:tc>
          <w:tcPr>
            <w:tcW w:type="dxa" w:w="6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AI price recommendation, dispute workflow chi tiết</w:t>
            </w:r>
          </w:p>
        </w:tc>
      </w:tr>
      <w:tr>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Expansion</w:t>
            </w:r>
          </w:p>
        </w:tc>
        <w:tc>
          <w:tcPr>
            <w:tcW w:type="dxa" w:w="6526"/>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Partial delivery support, multi-round negotiation, reputation scoring</w:t>
            </w:r>
          </w:p>
        </w:tc>
      </w:tr>
    </w:tbl>
    <w:p>
      <w:pPr>
        <w:spacing w:after="80" w:before="80"/>
      </w:pPr>
      <w:r>
        <w:t xml:space="preserve"/>
      </w:r>
    </w:p>
    <w:p>
      <w:pPr>
        <w:pBdr>
          <w:bottom w:val="single" w:color="BBDEFB" w:sz="4"/>
        </w:pBdr>
        <w:spacing w:after="200" w:before="200"/>
      </w:pPr>
      <w:r>
        <w:t xml:space="preserve"/>
      </w:r>
    </w:p>
    <w:p>
      <w:pPr>
        <w:pStyle w:val="Heading1"/>
        <w:spacing w:after="160" w:before="400"/>
      </w:pPr>
      <w:r>
        <w:rPr>
          <w:rFonts w:ascii="Arial" w:cs="Arial" w:eastAsia="Arial" w:hAnsi="Arial"/>
          <w:b/>
          <w:bCs/>
          <w:color w:val="0D47A1"/>
          <w:sz w:val="32"/>
          <w:szCs w:val="32"/>
        </w:rPr>
        <w:t xml:space="preserve">5. Giới Hạn &amp; Hướng Mở Rộng</w:t>
      </w:r>
    </w:p>
    <w:p>
      <w:pPr>
        <w:spacing w:after="80" w:before="80"/>
      </w:pPr>
      <w:r>
        <w:rPr>
          <w:rFonts w:ascii="Arial" w:cs="Arial" w:eastAsia="Arial" w:hAnsi="Arial"/>
          <w:sz w:val="22"/>
          <w:szCs w:val="22"/>
        </w:rPr>
        <w:t xml:space="preserve">AgriContract không pretend là giải pháp hoàn hảo. Các limitation được acknowledge rõ ràng để defend trước hội đồng:</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13"/>
        <w:gridCol w:w="3213"/>
      </w:tblGrid>
      <w:tr>
        <w:tc>
          <w:tcPr>
            <w:tcW w:type="dxa" w:w="24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Limitation</w:t>
            </w:r>
          </w:p>
        </w:tc>
        <w:tc>
          <w:tcPr>
            <w:tcW w:type="dxa" w:w="34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Lý do chấp nhận được</w:t>
            </w:r>
          </w:p>
        </w:tc>
        <w:tc>
          <w:tcPr>
            <w:tcW w:type="dxa" w:w="3213"/>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tcPr>
          <w:p>
            <w:r>
              <w:rPr>
                <w:rFonts w:ascii="Arial" w:cs="Arial" w:eastAsia="Arial" w:hAnsi="Arial"/>
                <w:b/>
                <w:bCs/>
                <w:sz w:val="20"/>
                <w:szCs w:val="20"/>
              </w:rPr>
              <w:t xml:space="preserve">Hướng mở rộng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Escrow là mock, không phải tiền thật</w:t>
            </w:r>
          </w:p>
        </w:tc>
        <w:tc>
          <w:tcPr>
            <w:tcW w:type="dxa" w:w="3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Phase 1 là proof of concept về distributed consistency — escrow mock vẫn phải xử lý idempotency, compensating transaction, failure recovery. Technical challenge là thật.</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Phase 2: tích hợp ngân hàng API</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Không giải quyết được toàn bộ chain (thương lái, logistics)</w:t>
            </w:r>
          </w:p>
        </w:tc>
        <w:tc>
          <w:tcPr>
            <w:tcW w:type="dxa" w:w="3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AgriContract giải quyết contract layer — một mảnh cụ thể của chuỗi, không pretend giải quyết tất cả.</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Có thể mở rộng sang logistics tracking trong tương lai</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Chưa có khách hàng thực tế</w:t>
            </w:r>
          </w:p>
        </w:tc>
        <w:tc>
          <w:tcPr>
            <w:tcW w:type="dxa" w:w="34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Đây là capstone, không phải startup. Business case được defend bằng nghiên cứu và chính sách, không cần PMF.</w:t>
            </w:r>
          </w:p>
        </w:tc>
        <w:tc>
          <w:tcPr>
            <w:tcW w:type="dxa" w:w="3213"/>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Pilot với một hiệp hội ngành hàng là bước tiếp theo sau graduation</w:t>
            </w:r>
          </w:p>
        </w:tc>
      </w:tr>
    </w:tbl>
    <w:p>
      <w:pPr>
        <w:spacing w:after="120" w:before="120"/>
      </w:pPr>
      <w:r>
        <w:t xml:space="preserve"/>
      </w:r>
    </w:p>
    <w:p>
      <w:pPr>
        <w:pBdr>
          <w:top w:val="single" w:color="BBDEFB" w:sz="4"/>
        </w:pBdr>
        <w:spacing w:after="80" w:before="400"/>
      </w:pPr>
      <w:r>
        <w:rPr>
          <w:rFonts w:ascii="Arial" w:cs="Arial" w:eastAsia="Arial" w:hAnsi="Arial"/>
          <w:i/>
          <w:iCs/>
          <w:color w:val="999999"/>
          <w:sz w:val="18"/>
          <w:szCs w:val="18"/>
        </w:rPr>
        <w:t xml:space="preserve">AgriContract — Giải Pháp, Mục Tiêu &amp; Mô Hình Kinh Doanh | Tài liệu nội bộ Đồ Án Tốt Nghiệp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47A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2026-06-03T23:06:53.307Z</dcterms:created>
  <dcterms:modified xsi:type="dcterms:W3CDTF">2026-06-03T23:06:53.307Z</dcterms:modified>
</cp:coreProperties>
</file>

<file path=docProps/custom.xml><?xml version="1.0" encoding="utf-8"?>
<Properties xmlns="http://schemas.openxmlformats.org/officeDocument/2006/custom-properties" xmlns:vt="http://schemas.openxmlformats.org/officeDocument/2006/docPropsVTypes"/>
</file>