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rFonts w:ascii="Arial" w:cs="Arial" w:eastAsia="Arial" w:hAnsi="Arial"/>
          <w:b/>
          <w:bCs/>
          <w:color w:val="2E4057"/>
          <w:sz w:val="72"/>
          <w:szCs w:val="72"/>
        </w:rPr>
        <w:t xml:space="preserve">AgriContract</w:t>
      </w:r>
    </w:p>
    <w:p>
      <w:pPr>
        <w:spacing w:after="240"/>
        <w:jc w:val="center"/>
      </w:pPr>
      <w:r>
        <w:rPr>
          <w:rFonts w:ascii="Arial" w:cs="Arial" w:eastAsia="Arial" w:hAnsi="Arial"/>
          <w:color w:val="1B6CA8"/>
          <w:sz w:val="40"/>
          <w:szCs w:val="40"/>
        </w:rPr>
        <w:t xml:space="preserve">Technical Specification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Domain Model · API · Database · Event Catalog · Authorization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Phase 1 MVP · Deadline 24/7/2026 · v1.0</w:t>
      </w:r>
    </w:p>
    <w:p>
      <w:r>
        <w:br w:type="page"/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Tổng Quan Kiến Trúc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AgriContract là nền tảng B2B số hóa hợp đồng nông sản với cơ chế escrow tự thực thi. Hệ thống xây dựng theo kiến trúc Microservices + DDD Tactical, giao tiếp qua API Gateway và RabbitMQ Choreography Saga.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1.1 Stack Kỹ Thuật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3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3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Backend services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Spring Boot 3 + Java 17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Mỗi service là Maven project độc lập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SPA, gọi API qua Gateway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MySQL 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Database-per-Service — không share schema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Message broker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RabbitMQ 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Choreography Saga, Topic Exchange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IAM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Keycloak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JWT, realm: agricontract, roles: SELLER/BUYER/ADMIN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Spring Cloud Gateway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JWT validation, routing, rate limit stub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Containerization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Tất cả services + infra trên bridge network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1.2 Mono-repo Structure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Toàn bộ dự án nằm trong một repository GitHub duy nhất. Mỗi service là Maven project độc lập — có pom.xml riêng, build riêng, không dùng chung parent pom.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ourier New" w:cs="Courier New" w:eastAsia="Courier New" w:hAnsi="Courier New"/>
          <w:b/>
          <w:bCs/>
        </w:rPr>
        <w:t xml:space="preserve">agricontract/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docker-compose.yml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.env.example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api-gateway/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user-service/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product-service/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contract-service/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escrow-service/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notification-service/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└── frontend/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1.3 Package Structure — Clean Architecture + DDD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Áp dụng cho tất cả Spring Boot services. Package theo domain boundary trước, layer sau: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ourier New" w:cs="Courier New" w:eastAsia="Courier New" w:hAnsi="Courier New"/>
          <w:b/>
          <w:bCs/>
        </w:rPr>
        <w:t xml:space="preserve">com.agricontract.&lt;service&gt;/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domain/                  ← Pure business logic, zero Spring dependency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model/               ← Aggregate Root, Entity, Value Object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event/               ← Domain Events (outbox)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repository/          ← Repository interfaces (Port — chỉ interface)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application/             ← Use cases / Application Services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command/             ← Write operations (CreateContract, SignContract...)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query/               ← Read operations (GetContractById...)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infrastructure/          ← Implement ports: JPA, RabbitMQ, Feign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persistence/         ← JPA entities, repositories impl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messaging/           ← RabbitMQ publisher &amp; listener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external/            ← Feign clients gọi service khác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└── api/                     ← Spring controllers, DTOs, mappers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Note: Domain layer không được import bất kỳ annotation Spring nào (@Component, @Service...). Spring chỉ xuất hiện từ application layer trở ra.</w:t>
      </w:r>
    </w:p>
    <w:p>
      <w:r>
        <w:br w:type="page"/>
      </w:r>
    </w:p>
    <w:p>
      <w:pPr>
        <w:pStyle w:val="Heading1"/>
      </w:pPr>
      <w:r>
        <w:t xml:space="preserve">2. DDD — Aggregate, Entity, Value Object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Bảng dưới xác định rõ từng class theo DDD type cho tất cả services. Đây là blueprint để tạo package domain/model/ — code đúng ngay từ đầu, không refactor.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2.1 user-service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2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16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DDD Type</w:t>
            </w:r>
          </w:p>
        </w:tc>
        <w:tc>
          <w:tcPr>
            <w:tcW w:type="dxa" w:w="32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27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UserProfile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userId (UUID — Keycloak sub), organizationName, role, verificationStatus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Không lưu password. userId = Keycloak sub, không tự sinh.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ContactInfo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Value Object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email, phone, address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Immutable. Embedded trong UserProfile. Không có identity riêng.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UserRole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SELLER, BUYER, 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Domain enum — không phải Spring Security role trực tiếp.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VerificationStatus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PENDING, VERIFIED, REJECTED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 thay đổi. Ảnh hưởng quyền tạo listing/contract.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Note: user-service không có Entity con ngoài Aggregate Root. UserProfile là flat aggregate — đủ đơn giản cho scope này.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2.2 product-service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2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16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DDD Type</w:t>
            </w:r>
          </w:p>
        </w:tc>
        <w:tc>
          <w:tcPr>
            <w:tcW w:type="dxa" w:w="32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27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Listing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listingId, sellerId, productId, quantity, priceFloor, deliveryDeadline, listingStatus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Aggregate Root chính. State machine đơn giản: ACTIVE → CLOSED / EXPIRED.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Product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productId, name, category, unit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Catalog reference — tương đối ổn định. Aggregate Root riêng vì độc lập với Listing.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ListingStatus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ACTIVE, CLOSED, EXPIRED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CLOSED khi contract SIGNED (contract-svc gọi Feign). EXPIRED theo deadline.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ProductCategory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COFFEE, RUBBER, RICE, CASHEW, VEGETABLE, OTHER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Domain enum cho filter/search.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Note: Listing.sellerId là reference đến user-service bằng UUID — không embed User object, không có @ManyToOne cross-service.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2.3 contract-service  ← Service phức tạp nhất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800"/>
        <w:gridCol w:w="3160"/>
      </w:tblGrid>
      <w:tr>
        <w:trPr>
          <w:tblHeader/>
        </w:trPr>
        <w:tc>
          <w:tcPr>
            <w:tcW w:type="dxa" w:w="19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15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DDD Type</w:t>
            </w:r>
          </w:p>
        </w:tc>
        <w:tc>
          <w:tcPr>
            <w:tcW w:type="dxa" w:w="2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31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buyerId, sellerId, listingId, status, terms, signatories, negotiationHistory, domainEvents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Rich model — không có public setter. State chỉ thay đổi qua business method.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ContractTerms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Value Object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quantity, agreedPrice, deliveryDeadline, penaltyRate, qualitySpec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Immutable. Được snapshot tại thời điểm ký — không thay đổi dù product listing bị sửa sau đó.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NegotiationEvent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Entity (con)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eventId, proposedBy, proposedTerms, proposedAt, note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Append-only. Không bao giờ UPDATE hay DELETE — đây là audit trail bất biến của quá trình đàm phán.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ContractDomainEvent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Entity (Outbox)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eventId, contractId, eventType, payload (JSON), status, occurredAt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Outbox table. Scheduler poll và publish lên RabbitMQ. Mark PUBLISHED sau khi gửi thành công.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OFFERED, NEGOTIATING, SIGNED, ACTIVE, DELIVERED, SETTLED, CANCELLED, DISPUTED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State machine. Transition chỉ qua business method — không set trực tiếp từ ngoài.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Business methods của Contract Aggregate Root: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5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Transition</w:t>
            </w:r>
          </w:p>
        </w:tc>
        <w:tc>
          <w:tcPr>
            <w:tcW w:type="dxa" w:w="43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Guard Condition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offer(buyerId, terms)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 → OFFERED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Listing còn ACTIVE, buyer != seller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counterOffer(userId, newTerms)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OFFERED/NEGOTIATING → NEGOTIATING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Chỉ buyer hoặc seller của contract này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sign(userId)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NEGOTIATING/OFFERED → SIGNED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Cả hai bên đã sign (tracking Set&lt;userId&gt;)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activate()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SIGNED → ACTIVE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Chỉ gọi khi nhận event escrow.locked từ RabbitMQ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confirmDelivery(buyerId)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ACTIVE → DELIVERED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Chỉ buyer của contract này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settle()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DELIVERED → SETTLED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Chỉ gọi khi nhận event escrow.released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cancel(userId, reason)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ACTIVE → CANCELLED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Cả hai bên được phép — xác định bên nào chịu penalty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dispute(buyerId)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DELIVERED → DISPUTED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Chỉ buyer, trước khi auto-settle timeout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2.4 escrow-service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800"/>
        <w:gridCol w:w="3060"/>
      </w:tblGrid>
      <w:tr>
        <w:trPr>
          <w:tblHeader/>
        </w:trPr>
        <w:tc>
          <w:tcPr>
            <w:tcW w:type="dxa" w:w="2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15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DDD Type</w:t>
            </w:r>
          </w:p>
        </w:tc>
        <w:tc>
          <w:tcPr>
            <w:tcW w:type="dxa" w:w="2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30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EscrowAccount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escrowId, contractId, buyerId, sellerId, totalAmount, status, transactions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Một contract = một EscrowAccount. contractId là idempotency key — tránh double-lock.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EscrowTransaction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Entity (con)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txId, type, amount, fromParty, toParty, createdAt, note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Append-only ledger. Không UPDATE. Mỗi operation (lock/release/penalty) tạo một record mới.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LOCKED, RELEASED, PENALIZED_BUYER, PENALIZED_SELLER, ARBITRATED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State machine của EscrowAccount.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TransactionType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LOCK, RELEASE, PENALTY_BUYER, PENALTY_SELLER, ARBITRATION_SETTLEMENT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Phân loại từng EscrowTransaction trong ledger.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Money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Value Object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amount (BigDecimal), currency (VND mặc định)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Immutable. Tránh dùng double/float cho tiền — BigDecimal bắt buộc.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Note: Tất cả escrow operations phải idempotent. Event RabbitMQ có at-least-once semantics — dùng contractId làm idempotency key, kiểm tra EscrowAccount.status trước khi xử lý.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2.5 notification-service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800"/>
        <w:gridCol w:w="3060"/>
      </w:tblGrid>
      <w:tr>
        <w:trPr>
          <w:tblHeader/>
        </w:trPr>
        <w:tc>
          <w:tcPr>
            <w:tcW w:type="dxa" w:w="2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15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DDD Type</w:t>
            </w:r>
          </w:p>
        </w:tc>
        <w:tc>
          <w:tcPr>
            <w:tcW w:type="dxa" w:w="2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Fields chính</w:t>
            </w:r>
          </w:p>
        </w:tc>
        <w:tc>
          <w:tcPr>
            <w:tcW w:type="dxa" w:w="30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NotificationLog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Aggregate Root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logId, eventId, recipientId, channel, templateKey, status, sentAt, retryCount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eventId là deduplication key — không gửi email 2 lần cho cùng 1 event.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NotificationStatus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PENDING, SENT, FAILED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FAILED sau 3 lần retry với exponential backoff (1s → 2s → 4s).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NotificationChannel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Enum (VO)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EMAIL, IN_APP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Phase 1: EMAIL qua JavaMailSender/MailHog. Phase 2: SendGrid.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EmailTemplate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Entity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templateKey, subject, bodyTemplate, variables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Template được load theo event type. Không thay đổi runtime.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Note: notification-service là pure consumer — không expose public API ngoài admin. Không publish event nào lên RabbitMQ.</w:t>
      </w:r>
    </w:p>
    <w:p>
      <w:r>
        <w:br w:type="page"/>
      </w:r>
    </w:p>
    <w:p>
      <w:pPr>
        <w:pStyle w:val="Heading1"/>
      </w:pPr>
      <w:r>
        <w:t xml:space="preserve">3. Event Catalog — RabbitMQ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Choreography Saga — không có Orchestrator. Mỗi service publish event khi hoàn thành bước của mình, service tiếp theo subscribe và react. Topic Exchange, routing key pattern: &lt;domain&gt;.&lt;entity&gt;.&lt;event_type&gt;.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3.1 Exchanges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360"/>
      </w:tblGrid>
      <w:tr>
        <w:trPr>
          <w:tblHeader/>
        </w:trPr>
        <w:tc>
          <w:tcPr>
            <w:tcW w:type="dxa" w:w="35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Exchange</w:t>
            </w:r>
          </w:p>
        </w:tc>
        <w:tc>
          <w:tcPr>
            <w:tcW w:type="dxa" w:w="15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Dùng cho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agricontract.contracts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Topic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Tất cả events từ contract-service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agricontract.escrow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Topic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Tất cả events từ escrow-service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3.2 Event Definitions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2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Routing Key</w:t>
            </w:r>
          </w:p>
        </w:tc>
        <w:tc>
          <w:tcPr>
            <w:tcW w:type="dxa" w:w="1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Publisher</w:t>
            </w:r>
          </w:p>
        </w:tc>
        <w:tc>
          <w:tcPr>
            <w:tcW w:type="dxa" w:w="22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Consumer(s)</w:t>
            </w:r>
          </w:p>
        </w:tc>
        <w:tc>
          <w:tcPr>
            <w:tcW w:type="dxa" w:w="31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Payload chính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contract.signed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buyerId, sellerId, listingId, terms{}, signedAt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contract.delivered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confirmedBy, deliveredAt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contract.cancelled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cancelledBy (BUYER/SELLER), reason, cancelledAt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contract.disputed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escrow-svc, notification-svc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disputedBy, reason, disputedAt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escrow.locked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contract-svc, notification-svc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amount, lockedAt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escrow.lock_failed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contract-svc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reason (INSUFFICIENT_BALANCE)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escrow.released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contract-svc, notification-svc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amount, recipientId, releasedAt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escrow.penalized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escrow-svc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notification-svc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contractId, penalizedParty (BUYER/SELLER), amount, penalizedAt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Note: Mỗi event message phải bao gồm eventId (UUID). Consumer dùng eventId để dedup — nếu event đã xử lý thì skip. Lưu processed eventIds với TTL 7 ngày.</w:t>
      </w:r>
    </w:p>
    <w:p>
      <w:r>
        <w:br w:type="page"/>
      </w:r>
    </w:p>
    <w:p>
      <w:pPr>
        <w:pStyle w:val="Heading1"/>
      </w:pPr>
      <w:r>
        <w:t xml:space="preserve">4. API Endpoints — Tổng Hợp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4.1 user-service  (port 8081)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4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/api/users/register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PUBLIC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Tạo UserProfile sau khi Keycloak tạo account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/api/users/me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Lấy profile của user đang đăng nhập (từ JWT sub)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/api/users/{id}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OWNER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Cập nhật profile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/api/users/{id}/public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Public profile cho contract partner xem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4.2 product-service  (port 8082)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4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/api/listings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SELLER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Tạo listing mới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/api/listings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Browse/search listings (query params: category, status)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/api/listings/{id}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Chi tiết một listing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/api/listings/{id}/close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INTERNAL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contract-svc gọi qua Feign khi SIGNED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Catalog sản phẩm (danh mục, đơn vị tính)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4.3 contract-service  (port 8083)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4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/api/contracts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BUYER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Tạo offer từ một listing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/api/contracts/{id}/negotiate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BUYER/SELLER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Counter-offer — append NegotiationEvent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/api/contracts/{id}/sign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BUYER/SELLER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Ký contract — khi cả hai ký, publish contract.signed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/api/contracts/{id}/confirm-delivery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BUYER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Buyer xác nhận nhận hàng đủ điều kiện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/api/contracts/{id}/cancel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BUYER/SELLER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Cancel — escrow-svc apply penalty rules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/api/contracts/{id}/dispute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BUYER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Trigger arbitration sau DELIVERED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/api/contracts/{id}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OWNER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Chi tiết + full negotiation history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/api/contracts/my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Danh sách contracts của user hiện tại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4.4 escrow-service  (port 8084)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4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/api/escrow/{contractId}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OWNER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Trạng thái escrow + transaction history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/api/escrow/{contractId}/arbitrate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 quyết định phân chia khi ARBITRATED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Note: escrow-service chủ yếu là event-driven. Các state transition được trigger bởi RabbitMQ events, không phải REST calls trực tiếp từ frontend.</w:t>
      </w:r>
    </w:p>
    <w:p>
      <w:r>
        <w:br w:type="page"/>
      </w:r>
    </w:p>
    <w:p>
      <w:pPr>
        <w:pStyle w:val="Heading1"/>
      </w:pPr>
      <w:r>
        <w:t xml:space="preserve">5. Database Schema — Tổng Hợp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Nguyên tắc Database-per-Service: mỗi service sở hữu DB riêng. Không service nào truy cập DB của service khác. Data được share qua REST API hoặc event message — không có cross-DB JOIN.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5.1 user_db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2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user_profiles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user_id (VARCHAR 36, PK), organization_name, role (ENUM), verification_status (ENUM), created_at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user_id = Keycloak sub UUID. Không lưu password.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contact_infos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user_id (FK), email, phone, address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Embedded VO — có thể là columns trong user_profiles hoặc bảng riêng.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5.2 product_db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2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products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product_id (UUID, PK), name, category (ENUM), unit, created_at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Catalog reference — tương đối ổn định.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listings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listing_id (UUID, PK), seller_id (UUID — ref user), product_id (FK), quantity, price_floor (DECIMAL), delivery_deadline, listing_status (ENUM), created_at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listing_status có index vì browse/filter nhiều. seller_id là reference-by-id, không FK cross-DB.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5.3 contract_db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2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contract_id (UUID, PK), buyer_id, seller_id, listing_id, product_name (snapshot), quantity (snapshot), status (ENUM), created_at, updated_at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product_name và quantity được snapshot tại thời điểm ký — domain invariant, không phải lỗi thiết kế.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contract_terms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contract_id (FK, PK), agreed_price (DECIMAL), delivery_deadline, penalty_rate (DECIMAL), quality_spec (TEXT)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Value Object được persist riêng. Immutable sau khi SIGNED.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negotiation_events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event_id (UUID, PK), contract_id (FK), proposed_by, proposed_at, note, terms_snapshot (JSON)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Append-only. Không bao giờ UPDATE hay DELETE.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contract_domain_events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event_id (UUID, PK), contract_id (FK), event_type, payload (JSON), status (PENDING/PUBLISHED), occurred_at, published_at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Outbox table. Scheduler poll WHERE status=PENDING, publish lên RabbitMQ, UPDATE status=PUBLISHED.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5.4 escrow_db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2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escrow_accounts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escrow_id (UUID, PK), contract_id (UUID, UNIQUE), buyer_id, seller_id, total_amount (DECIMAL), status (ENUM), created_at, updated_at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contract_id là UNIQUE constraint — idempotency key. Một contract chỉ có một EscrowAccount.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escrow_transactions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tx_id (UUID, PK), escrow_id (FK), type (ENUM), amount (DECIMAL), from_party, to_party, created_at, note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Append-only ledger. Không UPDATE bao giờ. Đây là financial audit trail.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5.5 notification_db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Columns chính</w:t>
            </w:r>
          </w:p>
        </w:tc>
        <w:tc>
          <w:tcPr>
            <w:tcW w:type="dxa" w:w="2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notification_logs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log_id (UUID, PK), event_id (UUID, UNIQUE), recipient_id, channel (ENUM), template_key, status (ENUM), retry_count, sent_at, created_at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event_id là UNIQUE constraint — deduplication key. Không gửi email 2 lần cho cùng 1 event.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email_templates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template_key (VARCHAR, PK), subject, body_template (TEXT), variables (JSON), updated_at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Template được load theo event type. Seeded khi startup.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Authorization Matrix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JWT claims từ Keycloak: sub (userId), email, realm_access.roles. API Gateway validate token và inject X-User-Id header cho downstream services — services không cần call Keycloak trực tiếp.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tblHeader/>
        </w:trPr>
        <w:tc>
          <w:tcPr>
            <w:tcW w:type="dxa" w:w="45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6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SELLER</w:t>
            </w:r>
          </w:p>
        </w:tc>
        <w:tc>
          <w:tcPr>
            <w:tcW w:type="dxa" w:w="16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dxa" w:w="16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POST /api/listings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GET /api/listings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POST /api/contracts (offer)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 /api/contracts/{id}/sign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 /api/contracts/{id}/confirm-delivery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 (chỉ buyer của contract)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 /api/contracts/{id}/cancel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 (chỉ seller của contract)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 (chỉ buyer của contract)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 /api/contracts/{id}/dispute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 (chỉ buyer của contract)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PUT /api/escrow/{id}/arbitrate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Timeline Phase 1 — Deadline 24/7/2026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4000"/>
        <w:gridCol w:w="2960"/>
      </w:tblGrid>
      <w:tr>
        <w:trPr>
          <w:tblHeader/>
        </w:trPr>
        <w:tc>
          <w:tcPr>
            <w:tcW w:type="dxa" w:w="8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Tuần</w:t>
            </w:r>
          </w:p>
        </w:tc>
        <w:tc>
          <w:tcPr>
            <w:tcW w:type="dxa" w:w="16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00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2960"/>
            <w:tcBorders>
              <w:top w:val="single" w:color="2E4057" w:sz="1"/>
              <w:left w:val="single" w:color="2E4057" w:sz="1"/>
              <w:bottom w:val="single" w:color="2E4057" w:sz="1"/>
              <w:right w:val="single" w:color="2E4057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03–09/6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Docker Compose, API Gateway, user-service + Keycloak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BE1 (API Gateway + user-svc)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10–16/6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product-service + Listing API + Frontend browse/search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BE2 (product-svc) + BE3 (frontend)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17–23/6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contract-service state machine: OFFERED → SIGNED, NegotiationEvent audit trail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BE1 (contract-svc — core domain)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24–30/6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escrow-service + full contract flow → SETTLED, cancel/penalty, Saga wiring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BE1 (escrow-svc + Saga) + BE2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01–07/7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notification-service + RabbitMQ consumers hoàn chỉnh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BE2 (notification-svc) + BE1 (event schema)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08–14/7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Frontend hoàn thiện: contract flow UI, escrow status, notification feed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BE3 + integration testing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15–24/7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Buffer: bug fix, demo script, chuẩn bị defend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Tài liệu nội bộ — Đồ Án Tốt Nghiệp  |  Trang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4057" w:sz="4" w:space="4"/>
      </w:pBdr>
      <w:tabs>
        <w:tab w:val="right" w:pos="9360"/>
      </w:tabs>
    </w:pPr>
    <w:r>
      <w:rPr>
        <w:rFonts w:ascii="Arial" w:cs="Arial" w:eastAsia="Arial" w:hAnsi="Arial"/>
        <w:b/>
        <w:bCs/>
        <w:color w:val="2E4057"/>
        <w:sz w:val="18"/>
        <w:szCs w:val="18"/>
      </w:rPr>
      <w:t xml:space="preserve">AgriContract — Technical Specification</w:t>
    </w:r>
    <w:r>
      <w:rPr>
        <w:rFonts w:ascii="Arial" w:cs="Arial" w:eastAsia="Arial" w:hAnsi="Arial"/>
        <w:color w:val="888888"/>
        <w:sz w:val="18"/>
        <w:szCs w:val="18"/>
      </w:rPr>
      <w:t xml:space="preserve">	Phase 1 MVP · v1.0 ·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4057" w:sz="4" w:space="4"/>
      </w:pBdr>
      <w:spacing w:after="180" w:before="360"/>
      <w:outlineLvl w:val="0"/>
    </w:pPr>
    <w:rPr>
      <w:rFonts w:ascii="Arial" w:cs="Arial" w:eastAsia="Arial" w:hAnsi="Arial"/>
      <w:b/>
      <w:bCs/>
      <w:color w:val="2E405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6CA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2026-06-04T23:27:19.896Z</dcterms:created>
  <dcterms:modified xsi:type="dcterms:W3CDTF">2026-06-04T23:27:19.896Z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