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600"/>
      </w:pPr>
      <w:r>
        <w:rPr>
          <w:rFonts w:ascii="Calibri" w:cs="Calibri" w:eastAsia="Calibri" w:hAnsi="Calibri"/>
          <w:b/>
          <w:bCs/>
          <w:color w:val="374151"/>
          <w:spacing w:val="60"/>
          <w:sz w:val="26"/>
          <w:szCs w:val="26"/>
        </w:rPr>
        <w:t xml:space="preserve">AGRICONTRACT · PHASE 1</w:t>
      </w:r>
    </w:p>
    <w:p>
      <w:pPr>
        <w:pBdr>
          <w:bottom w:val="single" w:color="1F2A37" w:sz="8" w:space="8"/>
        </w:pBdr>
        <w:spacing w:after="60" w:before="120"/>
      </w:pPr>
      <w:r>
        <w:rPr>
          <w:rFonts w:ascii="Calibri" w:cs="Calibri" w:eastAsia="Calibri" w:hAnsi="Calibri"/>
          <w:b/>
          <w:bCs/>
          <w:color w:val="1F2A37"/>
          <w:sz w:val="44"/>
          <w:szCs w:val="44"/>
        </w:rPr>
        <w:t xml:space="preserve">Kiến Trúc Kỹ Thuật Hệ Thống</w:t>
      </w:r>
    </w:p>
    <w:p>
      <w:pPr>
        <w:spacing w:after="40" w:before="120"/>
      </w:pPr>
      <w:r>
        <w:rPr>
          <w:rFonts w:ascii="Calibri" w:cs="Calibri" w:eastAsia="Calibri" w:hAnsi="Calibri"/>
          <w:i/>
          <w:iCs/>
          <w:color w:val="374151"/>
          <w:sz w:val="23"/>
          <w:szCs w:val="23"/>
        </w:rPr>
        <w:t xml:space="preserve">Service boundaries · Security · Event choreography · Data ownership</w:t>
      </w:r>
    </w:p>
    <w:p>
      <w:pPr>
        <w:spacing w:before="240"/>
      </w:pPr>
      <w:r>
        <w:rPr>
          <w:rFonts w:ascii="Calibri" w:cs="Calibri" w:eastAsia="Calibri" w:hAnsi="Calibri"/>
          <w:color w:val="6B7280"/>
          <w:sz w:val="20"/>
          <w:szCs w:val="20"/>
        </w:rPr>
        <w:t xml:space="preserve">Phase 1 MVP · v1.3</w:t>
      </w:r>
    </w:p>
    <w:p>
      <w:pPr>
        <w:spacing w:after="0"/>
      </w:pPr>
      <w:r>
        <w:rPr>
          <w:rFonts w:ascii="Calibri" w:cs="Calibri" w:eastAsia="Calibri" w:hAnsi="Calibri"/>
          <w:color w:val="6B7280"/>
          <w:sz w:val="20"/>
          <w:szCs w:val="20"/>
        </w:rPr>
        <w:t xml:space="preserve">Baseline code: main · cập nhật 17/07/2026</w:t>
      </w:r>
    </w:p>
    <w:p>
      <w:pPr>
        <w:spacing w:after="0" w:before="360"/>
      </w:pPr>
      <w:r>
        <w:br w:type="page"/>
      </w:r>
    </w:p>
    <w:p>
      <w:pPr>
        <w:spacing w:after="180"/>
      </w:pPr>
      <w:r>
        <w:rPr>
          <w:rFonts w:ascii="Calibri" w:cs="Calibri" w:eastAsia="Calibri" w:hAnsi="Calibri"/>
          <w:b/>
          <w:bCs/>
          <w:color w:val="1F2A37"/>
          <w:sz w:val="30"/>
          <w:szCs w:val="30"/>
        </w:rPr>
        <w:t xml:space="preserve">Mục lục</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900"/>
        <w:gridCol w:w="8738"/>
      </w:tblGrid>
      <w:tr>
        <w:trPr>
          <w:tblHeader/>
        </w:trPr>
        <w:tc>
          <w:tcPr>
            <w:tcW w:type="dxa" w:w="9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Mục</w:t>
            </w:r>
          </w:p>
        </w:tc>
        <w:tc>
          <w:tcPr>
            <w:tcW w:type="dxa" w:w="87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Nội dung</w:t>
            </w:r>
          </w:p>
        </w:tc>
      </w:tr>
      <w:tr>
        <w:tc>
          <w:tcPr>
            <w:tcW w:type="dxa" w:w="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9"/>
                <w:szCs w:val="19"/>
              </w:rPr>
              <w:t xml:space="preserve">1</w:t>
            </w:r>
          </w:p>
        </w:tc>
        <w:tc>
          <w:tcPr>
            <w:tcW w:type="dxa" w:w="8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Tổng quan kiến trúc</w:t>
            </w:r>
          </w:p>
        </w:tc>
      </w:tr>
      <w:tr>
        <w:tc>
          <w:tcPr>
            <w:tcW w:type="dxa" w:w="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9"/>
                <w:szCs w:val="19"/>
              </w:rPr>
              <w:t xml:space="preserve">2</w:t>
            </w:r>
          </w:p>
        </w:tc>
        <w:tc>
          <w:tcPr>
            <w:tcW w:type="dxa" w:w="8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Security và trust boundary</w:t>
            </w:r>
          </w:p>
        </w:tc>
      </w:tr>
      <w:tr>
        <w:tc>
          <w:tcPr>
            <w:tcW w:type="dxa" w:w="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9"/>
                <w:szCs w:val="19"/>
              </w:rPr>
              <w:t xml:space="preserve">3</w:t>
            </w:r>
          </w:p>
        </w:tc>
        <w:tc>
          <w:tcPr>
            <w:tcW w:type="dxa" w:w="8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Data ownership và schema</w:t>
            </w:r>
          </w:p>
        </w:tc>
      </w:tr>
      <w:tr>
        <w:tc>
          <w:tcPr>
            <w:tcW w:type="dxa" w:w="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9"/>
                <w:szCs w:val="19"/>
              </w:rPr>
              <w:t xml:space="preserve">4</w:t>
            </w:r>
          </w:p>
        </w:tc>
        <w:tc>
          <w:tcPr>
            <w:tcW w:type="dxa" w:w="8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State machines</w:t>
            </w:r>
          </w:p>
        </w:tc>
      </w:tr>
      <w:tr>
        <w:tc>
          <w:tcPr>
            <w:tcW w:type="dxa" w:w="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9"/>
                <w:szCs w:val="19"/>
              </w:rPr>
              <w:t xml:space="preserve">5</w:t>
            </w:r>
          </w:p>
        </w:tc>
        <w:tc>
          <w:tcPr>
            <w:tcW w:type="dxa" w:w="8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Messaging architecture</w:t>
            </w:r>
          </w:p>
        </w:tc>
      </w:tr>
      <w:tr>
        <w:tc>
          <w:tcPr>
            <w:tcW w:type="dxa" w:w="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9"/>
                <w:szCs w:val="19"/>
              </w:rPr>
              <w:t xml:space="preserve">6</w:t>
            </w:r>
          </w:p>
        </w:tc>
        <w:tc>
          <w:tcPr>
            <w:tcW w:type="dxa" w:w="8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Consistency và concurrency</w:t>
            </w:r>
          </w:p>
        </w:tc>
      </w:tr>
      <w:tr>
        <w:tc>
          <w:tcPr>
            <w:tcW w:type="dxa" w:w="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9"/>
                <w:szCs w:val="19"/>
              </w:rPr>
              <w:t xml:space="preserve">7</w:t>
            </w:r>
          </w:p>
        </w:tc>
        <w:tc>
          <w:tcPr>
            <w:tcW w:type="dxa" w:w="8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Local deployment</w:t>
            </w:r>
          </w:p>
        </w:tc>
      </w:tr>
    </w:tbl>
    <w:p>
      <w:pPr>
        <w:spacing w:before="240"/>
      </w:pPr>
      <w:r>
        <w:br w:type="page"/>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TRẠNG THÁI TÀI LIỆU — </w:t>
      </w:r>
      <w:r>
        <w:rPr>
          <w:rFonts w:ascii="Calibri" w:cs="Calibri" w:eastAsia="Calibri" w:hAnsi="Calibri"/>
          <w:color w:val="374151"/>
          <w:sz w:val="20"/>
          <w:szCs w:val="20"/>
        </w:rPr>
        <w:t xml:space="preserve">Tài liệu này mô tả implementation đang có trên main. Nội dung tại đây thay thế các giả định Phase 1 cũ nếu có mâu thuẫn về API, state machine, database, event hoặc cách chạy hệ thống.</w:t>
      </w:r>
    </w:p>
    <w:p>
      <w:pPr>
        <w:pStyle w:val="Heading1"/>
        <w:pBdr>
          <w:bottom w:val="single" w:color="D1D5DB" w:sz="6" w:space="6"/>
        </w:pBdr>
        <w:spacing w:after="120" w:before="320"/>
      </w:pPr>
      <w:r>
        <w:rPr>
          <w:rFonts w:ascii="Calibri" w:cs="Calibri" w:eastAsia="Calibri" w:hAnsi="Calibri"/>
          <w:b/>
          <w:bCs/>
          <w:color w:val="1F2A37"/>
          <w:sz w:val="30"/>
          <w:szCs w:val="30"/>
        </w:rPr>
        <w:t xml:space="preserve">1. Tổng quan kiến trúc</w:t>
      </w:r>
    </w:p>
    <w:p>
      <w:pPr>
        <w:spacing w:after="120" w:before="0" w:line="276"/>
        <w:jc w:val="both"/>
      </w:pPr>
      <w:r>
        <w:rPr>
          <w:rFonts w:ascii="Calibri" w:cs="Calibri" w:eastAsia="Calibri" w:hAnsi="Calibri"/>
          <w:b w:val="false"/>
          <w:bCs w:val="false"/>
          <w:i w:val="false"/>
          <w:iCs w:val="false"/>
          <w:color w:val="111827"/>
          <w:sz w:val="21"/>
          <w:szCs w:val="21"/>
        </w:rPr>
        <w:t xml:space="preserve">Phase 1 là monorepo gồm React SPA và sáu Spring Boot service. Browser chỉ gọi API Gateway; các service sở hữu database riêng; contract, escrow và product phát domain event thông qua transactional outbox; notification-service consume event và gửi email qua MailHog.</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1450"/>
        <w:gridCol w:w="3100"/>
        <w:gridCol w:w="2988"/>
      </w:tblGrid>
      <w:tr>
        <w:trPr>
          <w:tblHeader/>
        </w:trPr>
        <w:tc>
          <w:tcPr>
            <w:tcW w:type="dxa" w:w="2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Thành phần</w:t>
            </w:r>
          </w:p>
        </w:tc>
        <w:tc>
          <w:tcPr>
            <w:tcW w:type="dxa" w:w="145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Port</w:t>
            </w:r>
          </w:p>
        </w:tc>
        <w:tc>
          <w:tcPr>
            <w:tcW w:type="dxa" w:w="3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Business capability</w:t>
            </w:r>
          </w:p>
        </w:tc>
        <w:tc>
          <w:tcPr>
            <w:tcW w:type="dxa" w:w="298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Data / integration</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frontend</w:t>
            </w:r>
          </w:p>
        </w:tc>
        <w:tc>
          <w:tcPr>
            <w:tcW w:type="dxa" w:w="145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5173</w:t>
            </w:r>
          </w:p>
        </w:tc>
        <w:tc>
          <w:tcPr>
            <w:tcW w:type="dxa" w:w="3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Marketplace và contract workflow UI</w:t>
            </w:r>
          </w:p>
        </w:tc>
        <w:tc>
          <w:tcPr>
            <w:tcW w:type="dxa" w:w="298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Keycloak JS; Axios; React Query</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api-gateway</w:t>
            </w:r>
          </w:p>
        </w:tc>
        <w:tc>
          <w:tcPr>
            <w:tcW w:type="dxa" w:w="145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8888 / host 8080</w:t>
            </w:r>
          </w:p>
        </w:tc>
        <w:tc>
          <w:tcPr>
            <w:tcW w:type="dxa" w:w="3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Auth policy, routing, trusted headers</w:t>
            </w:r>
          </w:p>
        </w:tc>
        <w:tc>
          <w:tcPr>
            <w:tcW w:type="dxa" w:w="298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Keycloak JWKS</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user-service</w:t>
            </w:r>
          </w:p>
        </w:tc>
        <w:tc>
          <w:tcPr>
            <w:tcW w:type="dxa" w:w="145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8081</w:t>
            </w:r>
          </w:p>
        </w:tc>
        <w:tc>
          <w:tcPr>
            <w:tcW w:type="dxa" w:w="3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User profile và organization</w:t>
            </w:r>
          </w:p>
        </w:tc>
        <w:tc>
          <w:tcPr>
            <w:tcW w:type="dxa" w:w="298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user_db; Keycloak sub</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product-service</w:t>
            </w:r>
          </w:p>
        </w:tc>
        <w:tc>
          <w:tcPr>
            <w:tcW w:type="dxa" w:w="145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8082</w:t>
            </w:r>
          </w:p>
        </w:tc>
        <w:tc>
          <w:tcPr>
            <w:tcW w:type="dxa" w:w="3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Category, product, image, listing</w:t>
            </w:r>
          </w:p>
        </w:tc>
        <w:tc>
          <w:tcPr>
            <w:tcW w:type="dxa" w:w="298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product_db; product outbox</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contract-service</w:t>
            </w:r>
          </w:p>
        </w:tc>
        <w:tc>
          <w:tcPr>
            <w:tcW w:type="dxa" w:w="145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8083</w:t>
            </w:r>
          </w:p>
        </w:tc>
        <w:tc>
          <w:tcPr>
            <w:tcW w:type="dxa" w:w="3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Contract state machine và revisions</w:t>
            </w:r>
          </w:p>
        </w:tc>
        <w:tc>
          <w:tcPr>
            <w:tcW w:type="dxa" w:w="298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contract_db; Feign; contract outbox</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escrow-service</w:t>
            </w:r>
          </w:p>
        </w:tc>
        <w:tc>
          <w:tcPr>
            <w:tcW w:type="dxa" w:w="145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8084</w:t>
            </w:r>
          </w:p>
        </w:tc>
        <w:tc>
          <w:tcPr>
            <w:tcW w:type="dxa" w:w="3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Mock escrow và arbitration</w:t>
            </w:r>
          </w:p>
        </w:tc>
        <w:tc>
          <w:tcPr>
            <w:tcW w:type="dxa" w:w="298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escrow_db; escrow outbox</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notification-service</w:t>
            </w:r>
          </w:p>
        </w:tc>
        <w:tc>
          <w:tcPr>
            <w:tcW w:type="dxa" w:w="145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8085</w:t>
            </w:r>
          </w:p>
        </w:tc>
        <w:tc>
          <w:tcPr>
            <w:tcW w:type="dxa" w:w="3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Idempotent email</w:t>
            </w:r>
          </w:p>
        </w:tc>
        <w:tc>
          <w:tcPr>
            <w:tcW w:type="dxa" w:w="298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notification_db; RabbitMQ; MailHog</w:t>
            </w:r>
          </w:p>
        </w:tc>
      </w:tr>
    </w:tbl>
    <w:p>
      <w:pPr>
        <w:pStyle w:val="Heading2"/>
        <w:spacing w:after="80" w:before="240"/>
      </w:pPr>
      <w:r>
        <w:rPr>
          <w:rFonts w:ascii="Calibri" w:cs="Calibri" w:eastAsia="Calibri" w:hAnsi="Calibri"/>
          <w:b/>
          <w:bCs/>
          <w:color w:val="1F2A37"/>
          <w:sz w:val="25"/>
          <w:szCs w:val="25"/>
        </w:rPr>
        <w:t xml:space="preserve">1.1 Luồng đồng bộ và bất đồng bộ</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200"/>
        <w:gridCol w:w="3200"/>
        <w:gridCol w:w="4238"/>
      </w:tblGrid>
      <w:tr>
        <w:trPr>
          <w:tblHeader/>
        </w:trPr>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Kiểu</w:t>
            </w:r>
          </w:p>
        </w:tc>
        <w:tc>
          <w:tcPr>
            <w:tcW w:type="dxa" w:w="3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Đường đi</w:t>
            </w:r>
          </w:p>
        </w:tc>
        <w:tc>
          <w:tcPr>
            <w:tcW w:type="dxa" w:w="42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Mục đích</w:t>
            </w:r>
          </w:p>
        </w:tc>
      </w:tr>
      <w:tr>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Browser REST</w:t>
            </w:r>
          </w:p>
        </w:tc>
        <w:tc>
          <w:tcPr>
            <w:tcW w:type="dxa" w:w="3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Frontend → Gateway → downstream</w:t>
            </w:r>
          </w:p>
        </w:tc>
        <w:tc>
          <w:tcPr>
            <w:tcW w:type="dxa" w:w="4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Mọi business command/query; public GET chỉ cho products/listings.</w:t>
            </w:r>
          </w:p>
        </w:tc>
      </w:tr>
      <w:tr>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Internal REST</w:t>
            </w:r>
          </w:p>
        </w:tc>
        <w:tc>
          <w:tcPr>
            <w:tcW w:type="dxa" w:w="3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contract-service → product/user</w:t>
            </w:r>
          </w:p>
        </w:tc>
        <w:tc>
          <w:tcPr>
            <w:tcW w:type="dxa" w:w="4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Snapshot listing/user khi tạo offer; đóng listing khi ký.</w:t>
            </w:r>
          </w:p>
        </w:tc>
      </w:tr>
      <w:tr>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Async events</w:t>
            </w:r>
          </w:p>
        </w:tc>
        <w:tc>
          <w:tcPr>
            <w:tcW w:type="dxa" w:w="3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Outbox → RabbitMQ → consumers</w:t>
            </w:r>
          </w:p>
        </w:tc>
        <w:tc>
          <w:tcPr>
            <w:tcW w:type="dxa" w:w="4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Activate/settle contract, xử lý escrow, gửi notification.</w:t>
            </w:r>
          </w:p>
        </w:tc>
      </w:tr>
      <w:tr>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SMTP</w:t>
            </w:r>
          </w:p>
        </w:tc>
        <w:tc>
          <w:tcPr>
            <w:tcW w:type="dxa" w:w="3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notification-service → MailHog</w:t>
            </w:r>
          </w:p>
        </w:tc>
        <w:tc>
          <w:tcPr>
            <w:tcW w:type="dxa" w:w="4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Development email catcher; không gửi email thật.</w:t>
            </w:r>
          </w:p>
        </w:tc>
      </w:tr>
    </w:tbl>
    <w:p>
      <w:pPr>
        <w:pStyle w:val="Heading1"/>
        <w:pBdr>
          <w:bottom w:val="single" w:color="D1D5DB" w:sz="6" w:space="6"/>
        </w:pBdr>
        <w:spacing w:after="120" w:before="320"/>
      </w:pPr>
      <w:r>
        <w:rPr>
          <w:rFonts w:ascii="Calibri" w:cs="Calibri" w:eastAsia="Calibri" w:hAnsi="Calibri"/>
          <w:b/>
          <w:bCs/>
          <w:color w:val="1F2A37"/>
          <w:sz w:val="30"/>
          <w:szCs w:val="30"/>
        </w:rPr>
        <w:t xml:space="preserve">2. Security và trust boundary</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Gateway cho phép public GET collection/item của products và listings.</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Route khác yêu cầu bearer token hợp lệ từ realm agricontract.</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Gateway đọc sub, email, realm_access.roles và bỏ Authorization trước khi forward.</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Gateway inject X-User-Id, X-User-Email, X-User-Role và X-Gateway-Secret.</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Downstream tạo Spring Authentication từ trusted headers; direct call không có secret bị chặn.</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Feign service-to-service sử dụng X-Internal-Secret độc lập.</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PUBLIC SURFACE — </w:t>
      </w:r>
      <w:r>
        <w:rPr>
          <w:rFonts w:ascii="Calibri" w:cs="Calibri" w:eastAsia="Calibri" w:hAnsi="Calibri"/>
          <w:color w:val="374151"/>
          <w:sz w:val="20"/>
          <w:szCs w:val="20"/>
        </w:rPr>
        <w:t xml:space="preserve">Public API sử dụng được gồm GET /api/v1/products, GET /api/v1/listings và GET /api/v1/listings/{listingId}. ProductController hiện không có GET item endpoint. /api/v1/listings/seller không public.</w:t>
      </w:r>
    </w:p>
    <w:p>
      <w:pPr>
        <w:pStyle w:val="Heading1"/>
        <w:pBdr>
          <w:bottom w:val="single" w:color="D1D5DB" w:sz="6" w:space="6"/>
        </w:pBdr>
        <w:spacing w:after="120" w:before="320"/>
      </w:pPr>
      <w:r>
        <w:rPr>
          <w:rFonts w:ascii="Calibri" w:cs="Calibri" w:eastAsia="Calibri" w:hAnsi="Calibri"/>
          <w:b/>
          <w:bCs/>
          <w:color w:val="1F2A37"/>
          <w:sz w:val="30"/>
          <w:szCs w:val="30"/>
        </w:rPr>
        <w:t xml:space="preserve">3. Data ownership và schema</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750"/>
        <w:gridCol w:w="2500"/>
        <w:gridCol w:w="5388"/>
      </w:tblGrid>
      <w:tr>
        <w:trPr>
          <w:tblHeader/>
        </w:trPr>
        <w:tc>
          <w:tcPr>
            <w:tcW w:type="dxa" w:w="175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Database</w:t>
            </w:r>
          </w:p>
        </w:tc>
        <w:tc>
          <w:tcPr>
            <w:tcW w:type="dxa" w:w="25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Owner</w:t>
            </w:r>
          </w:p>
        </w:tc>
        <w:tc>
          <w:tcPr>
            <w:tcW w:type="dxa" w:w="538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Tables hiện tại</w:t>
            </w:r>
          </w:p>
        </w:tc>
      </w:tr>
      <w:tr>
        <w:tc>
          <w:tcPr>
            <w:tcW w:type="dxa" w:w="175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user_db</w:t>
            </w:r>
          </w:p>
        </w:tc>
        <w:tc>
          <w:tcPr>
            <w:tcW w:type="dxa" w:w="2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user-service</w:t>
            </w:r>
          </w:p>
        </w:tc>
        <w:tc>
          <w:tcPr>
            <w:tcW w:type="dxa" w:w="538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user_profiles</w:t>
            </w:r>
          </w:p>
        </w:tc>
      </w:tr>
      <w:tr>
        <w:tc>
          <w:tcPr>
            <w:tcW w:type="dxa" w:w="175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product_db</w:t>
            </w:r>
          </w:p>
        </w:tc>
        <w:tc>
          <w:tcPr>
            <w:tcW w:type="dxa" w:w="2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product-service</w:t>
            </w:r>
          </w:p>
        </w:tc>
        <w:tc>
          <w:tcPr>
            <w:tcW w:type="dxa" w:w="538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categories, products, listings, product_domain_events</w:t>
            </w:r>
          </w:p>
        </w:tc>
      </w:tr>
      <w:tr>
        <w:tc>
          <w:tcPr>
            <w:tcW w:type="dxa" w:w="175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contract_db</w:t>
            </w:r>
          </w:p>
        </w:tc>
        <w:tc>
          <w:tcPr>
            <w:tcW w:type="dxa" w:w="2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contract-service</w:t>
            </w:r>
          </w:p>
        </w:tc>
        <w:tc>
          <w:tcPr>
            <w:tcW w:type="dxa" w:w="538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contracts, contract_negotiations, contract_domain_events</w:t>
            </w:r>
          </w:p>
        </w:tc>
      </w:tr>
      <w:tr>
        <w:tc>
          <w:tcPr>
            <w:tcW w:type="dxa" w:w="175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escrow_db</w:t>
            </w:r>
          </w:p>
        </w:tc>
        <w:tc>
          <w:tcPr>
            <w:tcW w:type="dxa" w:w="2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escrow-service</w:t>
            </w:r>
          </w:p>
        </w:tc>
        <w:tc>
          <w:tcPr>
            <w:tcW w:type="dxa" w:w="538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escrow_accounts, escrow_transactions, escrow_domain_events</w:t>
            </w:r>
          </w:p>
        </w:tc>
      </w:tr>
      <w:tr>
        <w:tc>
          <w:tcPr>
            <w:tcW w:type="dxa" w:w="175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notification_db</w:t>
            </w:r>
          </w:p>
        </w:tc>
        <w:tc>
          <w:tcPr>
            <w:tcW w:type="dxa" w:w="2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notification-service</w:t>
            </w:r>
          </w:p>
        </w:tc>
        <w:tc>
          <w:tcPr>
            <w:tcW w:type="dxa" w:w="538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notification_logs</w:t>
            </w:r>
          </w:p>
        </w:tc>
      </w:tr>
    </w:tbl>
    <w:p>
      <w:pPr>
        <w:spacing w:after="120" w:before="0" w:line="276"/>
        <w:jc w:val="both"/>
      </w:pPr>
      <w:r>
        <w:rPr>
          <w:rFonts w:ascii="Calibri" w:cs="Calibri" w:eastAsia="Calibri" w:hAnsi="Calibri"/>
          <w:b w:val="false"/>
          <w:bCs w:val="false"/>
          <w:i w:val="false"/>
          <w:iCs w:val="false"/>
          <w:color w:val="111827"/>
          <w:sz w:val="21"/>
          <w:szCs w:val="21"/>
        </w:rPr>
        <w:t xml:space="preserve">Contract snapshot productName, buyer/seller organization và email khi tạo offer. Listing snapshot productName và coverImageUrl khi tạo listing. Đây là denormalization có chủ đích để record giao dịch không đổi khi dữ liệu nguồn thay đổi.</w:t>
      </w:r>
    </w:p>
    <w:p>
      <w:pPr>
        <w:pStyle w:val="Heading1"/>
        <w:pBdr>
          <w:bottom w:val="single" w:color="D1D5DB" w:sz="6" w:space="6"/>
        </w:pBdr>
        <w:spacing w:after="120" w:before="320"/>
      </w:pPr>
      <w:r>
        <w:rPr>
          <w:rFonts w:ascii="Calibri" w:cs="Calibri" w:eastAsia="Calibri" w:hAnsi="Calibri"/>
          <w:b/>
          <w:bCs/>
          <w:color w:val="1F2A37"/>
          <w:sz w:val="30"/>
          <w:szCs w:val="30"/>
        </w:rPr>
        <w:t xml:space="preserve">4. State machines</w:t>
      </w:r>
    </w:p>
    <w:p>
      <w:pPr>
        <w:pStyle w:val="Heading2"/>
        <w:spacing w:after="80" w:before="240"/>
      </w:pPr>
      <w:r>
        <w:rPr>
          <w:rFonts w:ascii="Calibri" w:cs="Calibri" w:eastAsia="Calibri" w:hAnsi="Calibri"/>
          <w:b/>
          <w:bCs/>
          <w:color w:val="1F2A37"/>
          <w:sz w:val="25"/>
          <w:szCs w:val="25"/>
        </w:rPr>
        <w:t xml:space="preserve">4.1 Contract</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900"/>
        <w:gridCol w:w="2200"/>
        <w:gridCol w:w="2500"/>
        <w:gridCol w:w="3038"/>
      </w:tblGrid>
      <w:tr>
        <w:trPr>
          <w:tblHeader/>
        </w:trPr>
        <w:tc>
          <w:tcPr>
            <w:tcW w:type="dxa" w:w="19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Từ</w:t>
            </w:r>
          </w:p>
        </w:tc>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Trigger</w:t>
            </w:r>
          </w:p>
        </w:tc>
        <w:tc>
          <w:tcPr>
            <w:tcW w:type="dxa" w:w="25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Đến</w:t>
            </w:r>
          </w:p>
        </w:tc>
        <w:tc>
          <w:tcPr>
            <w:tcW w:type="dxa" w:w="3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Guard chính</w:t>
            </w:r>
          </w:p>
        </w:tc>
      </w:tr>
      <w:tr>
        <w:tc>
          <w:tcPr>
            <w:tcW w:type="dxa" w:w="1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Buyer tạo offer</w:t>
            </w:r>
          </w:p>
        </w:tc>
        <w:tc>
          <w:tcPr>
            <w:tcW w:type="dxa" w:w="2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OFFERED</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Listing ACTIVE; buyer khác seller</w:t>
            </w:r>
          </w:p>
        </w:tc>
      </w:tr>
      <w:tr>
        <w:tc>
          <w:tcPr>
            <w:tcW w:type="dxa" w:w="1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OFFERED/NEGOTIATING</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Counter-offer</w:t>
            </w:r>
          </w:p>
        </w:tc>
        <w:tc>
          <w:tcPr>
            <w:tcW w:type="dxa" w:w="2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NEGOTIATING</w:t>
            </w:r>
          </w:p>
        </w:tc>
        <w:tc>
          <w:tcPr>
            <w:tcW w:type="dxa" w:w="3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Participant; tăng revision; reset signatures</w:t>
            </w:r>
          </w:p>
        </w:tc>
      </w:tr>
      <w:tr>
        <w:tc>
          <w:tcPr>
            <w:tcW w:type="dxa" w:w="1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OFFERED/NEGOTIATING</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Đủ hai chữ ký</w:t>
            </w:r>
          </w:p>
        </w:tc>
        <w:tc>
          <w:tcPr>
            <w:tcW w:type="dxa" w:w="2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SIGNED</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Cùng terms revision</w:t>
            </w:r>
          </w:p>
        </w:tc>
      </w:tr>
      <w:tr>
        <w:tc>
          <w:tcPr>
            <w:tcW w:type="dxa" w:w="1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SIGNED</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escrow.locked</w:t>
            </w:r>
          </w:p>
        </w:tc>
        <w:tc>
          <w:tcPr>
            <w:tcW w:type="dxa" w:w="2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ACTIVE</w:t>
            </w:r>
          </w:p>
        </w:tc>
        <w:tc>
          <w:tcPr>
            <w:tcW w:type="dxa" w:w="3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Seller deposit đã lock</w:t>
            </w:r>
          </w:p>
        </w:tc>
      </w:tr>
      <w:tr>
        <w:tc>
          <w:tcPr>
            <w:tcW w:type="dxa" w:w="1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ACTIVE</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Buyer confirm</w:t>
            </w:r>
          </w:p>
        </w:tc>
        <w:tc>
          <w:tcPr>
            <w:tcW w:type="dxa" w:w="2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DELIVERED</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Chỉ buyer</w:t>
            </w:r>
          </w:p>
        </w:tc>
      </w:tr>
      <w:tr>
        <w:tc>
          <w:tcPr>
            <w:tcW w:type="dxa" w:w="1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DELIVERED</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escrow.released</w:t>
            </w:r>
          </w:p>
        </w:tc>
        <w:tc>
          <w:tcPr>
            <w:tcW w:type="dxa" w:w="2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SETTLED</w:t>
            </w:r>
          </w:p>
        </w:tc>
        <w:tc>
          <w:tcPr>
            <w:tcW w:type="dxa" w:w="3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Hết dispute window</w:t>
            </w:r>
          </w:p>
        </w:tc>
      </w:tr>
      <w:tr>
        <w:tc>
          <w:tcPr>
            <w:tcW w:type="dxa" w:w="1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ACTIVE</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Participant cancel</w:t>
            </w:r>
          </w:p>
        </w:tc>
        <w:tc>
          <w:tcPr>
            <w:tcW w:type="dxa" w:w="2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CANCELLED</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Lưu cancelledBy và reason</w:t>
            </w:r>
          </w:p>
        </w:tc>
      </w:tr>
      <w:tr>
        <w:tc>
          <w:tcPr>
            <w:tcW w:type="dxa" w:w="1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DELIVERED</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Buyer dispute</w:t>
            </w:r>
          </w:p>
        </w:tc>
        <w:tc>
          <w:tcPr>
            <w:tcW w:type="dxa" w:w="2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DISPUTED</w:t>
            </w:r>
          </w:p>
        </w:tc>
        <w:tc>
          <w:tcPr>
            <w:tcW w:type="dxa" w:w="3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Chỉ buyer</w:t>
            </w:r>
          </w:p>
        </w:tc>
      </w:tr>
      <w:tr>
        <w:tc>
          <w:tcPr>
            <w:tcW w:type="dxa" w:w="1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DISPUTED</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escrow.arbitrated</w:t>
            </w:r>
          </w:p>
        </w:tc>
        <w:tc>
          <w:tcPr>
            <w:tcW w:type="dxa" w:w="2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SETTLED</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Escrow split hoàn tất</w:t>
            </w:r>
          </w:p>
        </w:tc>
      </w:tr>
    </w:tbl>
    <w:p>
      <w:pPr>
        <w:pStyle w:val="Heading2"/>
        <w:spacing w:after="80" w:before="240"/>
      </w:pPr>
      <w:r>
        <w:rPr>
          <w:rFonts w:ascii="Calibri" w:cs="Calibri" w:eastAsia="Calibri" w:hAnsi="Calibri"/>
          <w:b/>
          <w:bCs/>
          <w:color w:val="1F2A37"/>
          <w:sz w:val="25"/>
          <w:szCs w:val="25"/>
        </w:rPr>
        <w:t xml:space="preserve">4.2 Escrow</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900"/>
        <w:gridCol w:w="2350"/>
        <w:gridCol w:w="2200"/>
        <w:gridCol w:w="3188"/>
      </w:tblGrid>
      <w:tr>
        <w:trPr>
          <w:tblHeader/>
        </w:trPr>
        <w:tc>
          <w:tcPr>
            <w:tcW w:type="dxa" w:w="19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Từ</w:t>
            </w:r>
          </w:p>
        </w:tc>
        <w:tc>
          <w:tcPr>
            <w:tcW w:type="dxa" w:w="235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Trigger</w:t>
            </w:r>
          </w:p>
        </w:tc>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Đến</w:t>
            </w:r>
          </w:p>
        </w:tc>
        <w:tc>
          <w:tcPr>
            <w:tcW w:type="dxa" w:w="318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Side effect</w:t>
            </w:r>
          </w:p>
        </w:tc>
      </w:tr>
      <w:tr>
        <w:tc>
          <w:tcPr>
            <w:tcW w:type="dxa" w:w="1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w:t>
            </w:r>
          </w:p>
        </w:tc>
        <w:tc>
          <w:tcPr>
            <w:tcW w:type="dxa" w:w="235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contract.signed</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BUYER_LOCKED</w:t>
            </w:r>
          </w:p>
        </w:tc>
        <w:tc>
          <w:tcPr>
            <w:tcW w:type="dxa" w:w="318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LOCK buyer payment</w:t>
            </w:r>
          </w:p>
        </w:tc>
      </w:tr>
      <w:tr>
        <w:tc>
          <w:tcPr>
            <w:tcW w:type="dxa" w:w="1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BUYER_LOCKED</w:t>
            </w:r>
          </w:p>
        </w:tc>
        <w:tc>
          <w:tcPr>
            <w:tcW w:type="dxa" w:w="235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Seller confirm-deposit</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FULLY_LOCKED</w:t>
            </w:r>
          </w:p>
        </w:tc>
        <w:tc>
          <w:tcPr>
            <w:tcW w:type="dxa" w:w="318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LOCK seller deposit; escrow.locked</w:t>
            </w:r>
          </w:p>
        </w:tc>
      </w:tr>
      <w:tr>
        <w:tc>
          <w:tcPr>
            <w:tcW w:type="dxa" w:w="1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FULLY_LOCKED</w:t>
            </w:r>
          </w:p>
        </w:tc>
        <w:tc>
          <w:tcPr>
            <w:tcW w:type="dxa" w:w="235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contract.delivered</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DELIVERY_PENDING</w:t>
            </w:r>
          </w:p>
        </w:tc>
        <w:tc>
          <w:tcPr>
            <w:tcW w:type="dxa" w:w="318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Set releaseEligibleAt</w:t>
            </w:r>
          </w:p>
        </w:tc>
      </w:tr>
      <w:tr>
        <w:tc>
          <w:tcPr>
            <w:tcW w:type="dxa" w:w="1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DELIVERY_PENDING</w:t>
            </w:r>
          </w:p>
        </w:tc>
        <w:tc>
          <w:tcPr>
            <w:tcW w:type="dxa" w:w="235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Scheduler due</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RELEASED</w:t>
            </w:r>
          </w:p>
        </w:tc>
        <w:tc>
          <w:tcPr>
            <w:tcW w:type="dxa" w:w="318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RELEASE payment; refund seller deposit</w:t>
            </w:r>
          </w:p>
        </w:tc>
      </w:tr>
      <w:tr>
        <w:tc>
          <w:tcPr>
            <w:tcW w:type="dxa" w:w="1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FULLY_LOCKED/DELIVERY_PENDING</w:t>
            </w:r>
          </w:p>
        </w:tc>
        <w:tc>
          <w:tcPr>
            <w:tcW w:type="dxa" w:w="235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contract.disputed</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DISPUTED</w:t>
            </w:r>
          </w:p>
        </w:tc>
        <w:tc>
          <w:tcPr>
            <w:tcW w:type="dxa" w:w="318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Clear releaseEligibleAt; hold funds</w:t>
            </w:r>
          </w:p>
        </w:tc>
      </w:tr>
      <w:tr>
        <w:tc>
          <w:tcPr>
            <w:tcW w:type="dxa" w:w="1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DISPUTED</w:t>
            </w:r>
          </w:p>
        </w:tc>
        <w:tc>
          <w:tcPr>
            <w:tcW w:type="dxa" w:w="235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Admin arbitrate</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ARBITRATED</w:t>
            </w:r>
          </w:p>
        </w:tc>
        <w:tc>
          <w:tcPr>
            <w:tcW w:type="dxa" w:w="318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Two allocation ledger rows; escrow.arbitrated</w:t>
            </w:r>
          </w:p>
        </w:tc>
      </w:tr>
      <w:tr>
        <w:tc>
          <w:tcPr>
            <w:tcW w:type="dxa" w:w="1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FULLY_LOCKED</w:t>
            </w:r>
          </w:p>
        </w:tc>
        <w:tc>
          <w:tcPr>
            <w:tcW w:type="dxa" w:w="235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contract.cancelled</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PENALIZED_*</w:t>
            </w:r>
          </w:p>
        </w:tc>
        <w:tc>
          <w:tcPr>
            <w:tcW w:type="dxa" w:w="318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Penalty và refund ledger rows</w:t>
            </w:r>
          </w:p>
        </w:tc>
      </w:tr>
    </w:tbl>
    <w:p>
      <w:pPr>
        <w:pStyle w:val="Heading1"/>
        <w:pBdr>
          <w:bottom w:val="single" w:color="D1D5DB" w:sz="6" w:space="6"/>
        </w:pBdr>
        <w:spacing w:after="120" w:before="320"/>
      </w:pPr>
      <w:r>
        <w:rPr>
          <w:rFonts w:ascii="Calibri" w:cs="Calibri" w:eastAsia="Calibri" w:hAnsi="Calibri"/>
          <w:b/>
          <w:bCs/>
          <w:color w:val="1F2A37"/>
          <w:sz w:val="30"/>
          <w:szCs w:val="30"/>
        </w:rPr>
        <w:t xml:space="preserve">5. Messaging architecture</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250"/>
        <w:gridCol w:w="2200"/>
        <w:gridCol w:w="2700"/>
        <w:gridCol w:w="2488"/>
      </w:tblGrid>
      <w:tr>
        <w:trPr>
          <w:tblHeader/>
        </w:trPr>
        <w:tc>
          <w:tcPr>
            <w:tcW w:type="dxa" w:w="225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Exchange</w:t>
            </w:r>
          </w:p>
        </w:tc>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Producer</w:t>
            </w:r>
          </w:p>
        </w:tc>
        <w:tc>
          <w:tcPr>
            <w:tcW w:type="dxa" w:w="2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Consumer</w:t>
            </w:r>
          </w:p>
        </w:tc>
        <w:tc>
          <w:tcPr>
            <w:tcW w:type="dxa" w:w="248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Routing keys chính</w:t>
            </w:r>
          </w:p>
        </w:tc>
      </w:tr>
      <w:tr>
        <w:tc>
          <w:tcPr>
            <w:tcW w:type="dxa" w:w="225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agricontract.events</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product-service</w:t>
            </w:r>
          </w:p>
        </w:tc>
        <w:tc>
          <w:tcPr>
            <w:tcW w:type="dxa" w:w="2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notification-service</w:t>
            </w:r>
          </w:p>
        </w:tc>
        <w:tc>
          <w:tcPr>
            <w:tcW w:type="dxa" w:w="248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category.approved / rejected</w:t>
            </w:r>
          </w:p>
        </w:tc>
      </w:tr>
      <w:tr>
        <w:tc>
          <w:tcPr>
            <w:tcW w:type="dxa" w:w="225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agricontract.contracts</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contract-service</w:t>
            </w:r>
          </w:p>
        </w:tc>
        <w:tc>
          <w:tcPr>
            <w:tcW w:type="dxa" w:w="2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escrow, notification</w:t>
            </w:r>
          </w:p>
        </w:tc>
        <w:tc>
          <w:tcPr>
            <w:tcW w:type="dxa" w:w="248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contract.signed / delivered / cancelled / disputed</w:t>
            </w:r>
          </w:p>
        </w:tc>
      </w:tr>
      <w:tr>
        <w:tc>
          <w:tcPr>
            <w:tcW w:type="dxa" w:w="225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agricontract.escrow</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escrow-service</w:t>
            </w:r>
          </w:p>
        </w:tc>
        <w:tc>
          <w:tcPr>
            <w:tcW w:type="dxa" w:w="2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contract, notification</w:t>
            </w:r>
          </w:p>
        </w:tc>
        <w:tc>
          <w:tcPr>
            <w:tcW w:type="dxa" w:w="248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escrow.locked / released / penalized / arbitrated</w:t>
            </w:r>
          </w:p>
        </w:tc>
      </w:tr>
    </w:tbl>
    <w:p>
      <w:pPr>
        <w:spacing w:after="120" w:before="0" w:line="276"/>
        <w:jc w:val="both"/>
      </w:pPr>
      <w:r>
        <w:rPr>
          <w:rFonts w:ascii="Calibri" w:cs="Calibri" w:eastAsia="Calibri" w:hAnsi="Calibri"/>
          <w:b w:val="false"/>
          <w:bCs w:val="false"/>
          <w:i w:val="false"/>
          <w:iCs w:val="false"/>
          <w:color w:val="111827"/>
          <w:sz w:val="21"/>
          <w:szCs w:val="21"/>
        </w:rPr>
        <w:t xml:space="preserve">Contract, product và escrow outbox poll mỗi giây. Consumer retry tối đa ba lần với backoff 1s, 2s, 4s; payload invalid không retry; message hết retry đi DLQ theo service và routing key.</w:t>
      </w:r>
    </w:p>
    <w:p>
      <w:pPr>
        <w:pStyle w:val="Heading1"/>
        <w:pBdr>
          <w:bottom w:val="single" w:color="D1D5DB" w:sz="6" w:space="6"/>
        </w:pBdr>
        <w:spacing w:after="120" w:before="320"/>
      </w:pPr>
      <w:r>
        <w:rPr>
          <w:rFonts w:ascii="Calibri" w:cs="Calibri" w:eastAsia="Calibri" w:hAnsi="Calibri"/>
          <w:b/>
          <w:bCs/>
          <w:color w:val="1F2A37"/>
          <w:sz w:val="30"/>
          <w:szCs w:val="30"/>
        </w:rPr>
        <w:t xml:space="preserve">6. Consistency và concurrency</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Aggregate change và outgoing event được lưu cùng local transaction.</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Outbox row ở PENDING khi RabbitMQ lỗi; poll sau thử lại; publish thành công chuyển PUBLISHED.</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Contract và Escrow dùng optimistic version để tránh lost update.</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Release scheduler và dispute cùng thay đổi EscrowAccount; optimistic locking bảo vệ race tại dispute deadline.</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Escrow unique theo contractId; notification unique theo cặp eventId và recipient.</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Không có bảng processed_events TTL trong implementation hiện tại.</w:t>
      </w:r>
    </w:p>
    <w:p>
      <w:pPr>
        <w:pStyle w:val="Heading1"/>
        <w:pBdr>
          <w:bottom w:val="single" w:color="D1D5DB" w:sz="6" w:space="6"/>
        </w:pBdr>
        <w:spacing w:after="120" w:before="320"/>
      </w:pPr>
      <w:r>
        <w:rPr>
          <w:rFonts w:ascii="Calibri" w:cs="Calibri" w:eastAsia="Calibri" w:hAnsi="Calibri"/>
          <w:b/>
          <w:bCs/>
          <w:color w:val="1F2A37"/>
          <w:sz w:val="30"/>
          <w:szCs w:val="30"/>
        </w:rPr>
        <w:t xml:space="preserve">7. Local deployment</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500"/>
        <w:gridCol w:w="2500"/>
        <w:gridCol w:w="4638"/>
      </w:tblGrid>
      <w:tr>
        <w:trPr>
          <w:tblHeader/>
        </w:trPr>
        <w:tc>
          <w:tcPr>
            <w:tcW w:type="dxa" w:w="25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Surface</w:t>
            </w:r>
          </w:p>
        </w:tc>
        <w:tc>
          <w:tcPr>
            <w:tcW w:type="dxa" w:w="25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URL / port</w:t>
            </w:r>
          </w:p>
        </w:tc>
        <w:tc>
          <w:tcPr>
            <w:tcW w:type="dxa" w:w="46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Ghi chú</w:t>
            </w:r>
          </w:p>
        </w:tc>
      </w:tr>
      <w:tr>
        <w:tc>
          <w:tcPr>
            <w:tcW w:type="dxa" w:w="2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Frontend</w:t>
            </w:r>
          </w:p>
        </w:tc>
        <w:tc>
          <w:tcPr>
            <w:tcW w:type="dxa" w:w="2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localhost:5173</w:t>
            </w:r>
          </w:p>
        </w:tc>
        <w:tc>
          <w:tcPr>
            <w:tcW w:type="dxa" w:w="4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Chạy npm run dev; chưa nằm trong Compose.</w:t>
            </w:r>
          </w:p>
        </w:tc>
      </w:tr>
      <w:tr>
        <w:tc>
          <w:tcPr>
            <w:tcW w:type="dxa" w:w="2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API Gateway</w:t>
            </w:r>
          </w:p>
        </w:tc>
        <w:tc>
          <w:tcPr>
            <w:tcW w:type="dxa" w:w="2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localhost:8080</w:t>
            </w:r>
          </w:p>
        </w:tc>
        <w:tc>
          <w:tcPr>
            <w:tcW w:type="dxa" w:w="4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Map vào container port 8888.</w:t>
            </w:r>
          </w:p>
        </w:tc>
      </w:tr>
      <w:tr>
        <w:tc>
          <w:tcPr>
            <w:tcW w:type="dxa" w:w="2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Keycloak</w:t>
            </w:r>
          </w:p>
        </w:tc>
        <w:tc>
          <w:tcPr>
            <w:tcW w:type="dxa" w:w="2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localhost:8180</w:t>
            </w:r>
          </w:p>
        </w:tc>
        <w:tc>
          <w:tcPr>
            <w:tcW w:type="dxa" w:w="4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Import agricontract-realm.json thủ công.</w:t>
            </w:r>
          </w:p>
        </w:tc>
      </w:tr>
      <w:tr>
        <w:tc>
          <w:tcPr>
            <w:tcW w:type="dxa" w:w="2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RabbitMQ UI</w:t>
            </w:r>
          </w:p>
        </w:tc>
        <w:tc>
          <w:tcPr>
            <w:tcW w:type="dxa" w:w="2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localhost:15672</w:t>
            </w:r>
          </w:p>
        </w:tc>
        <w:tc>
          <w:tcPr>
            <w:tcW w:type="dxa" w:w="4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guest / guest trong local.</w:t>
            </w:r>
          </w:p>
        </w:tc>
      </w:tr>
      <w:tr>
        <w:tc>
          <w:tcPr>
            <w:tcW w:type="dxa" w:w="2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MailHog</w:t>
            </w:r>
          </w:p>
        </w:tc>
        <w:tc>
          <w:tcPr>
            <w:tcW w:type="dxa" w:w="2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localhost:8025</w:t>
            </w:r>
          </w:p>
        </w:tc>
        <w:tc>
          <w:tcPr>
            <w:tcW w:type="dxa" w:w="4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Xem email phát từ notification-service.</w:t>
            </w:r>
          </w:p>
        </w:tc>
      </w:tr>
      <w:tr>
        <w:tc>
          <w:tcPr>
            <w:tcW w:type="dxa" w:w="2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Direct services</w:t>
            </w:r>
          </w:p>
        </w:tc>
        <w:tc>
          <w:tcPr>
            <w:tcW w:type="dxa" w:w="2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8081–8084</w:t>
            </w:r>
          </w:p>
        </w:tc>
        <w:tc>
          <w:tcPr>
            <w:tcW w:type="dxa" w:w="4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Chỉ expose khi dùng backend/docker-compose.override.yml.</w:t>
            </w:r>
          </w:p>
        </w:tc>
      </w:tr>
    </w:tbl>
    <w:p>
      <w:pPr>
        <w:pBdr>
          <w:top w:val="single" w:color="D1D5DB" w:sz="6" w:space="6"/>
        </w:pBdr>
        <w:spacing w:before="300"/>
      </w:pPr>
      <w:r>
        <w:rPr>
          <w:rFonts w:ascii="Calibri" w:cs="Calibri" w:eastAsia="Calibri" w:hAnsi="Calibri"/>
          <w:i/>
          <w:iCs/>
          <w:color w:val="6B7280"/>
          <w:sz w:val="19"/>
          <w:szCs w:val="19"/>
        </w:rPr>
        <w:t xml:space="preserve">— Hết tài liệu —</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rFonts w:ascii="Calibri" w:cs="Calibri" w:eastAsia="Calibri" w:hAnsi="Calibri"/>
        <w:color w:val="6B7280"/>
        <w:sz w:val="16"/>
        <w:szCs w:val="16"/>
      </w:rPr>
      <w:t xml:space="preserve">AgriContract v1.3 · Trang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color w:val="6B7280"/>
        <w:sz w:val="16"/>
        <w:szCs w:val="16"/>
      </w:rPr>
      <w:t xml:space="preserve">AgriContract · Phase 1 · Architecture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374151"/>
      </w:rPr>
    </w:lvl>
  </w:abstractNum>
  <w:abstractNum w:abstractNumId="3" w15:restartNumberingAfterBreak="0">
    <w:multiLevelType w:val="hybridMultilevel"/>
    <w:lvl w:ilvl="0" w15:tentative="1">
      <w:start w:val="1"/>
      <w:numFmt w:val="decimal"/>
      <w:lvlText w:val="%1."/>
      <w:lvlJc w:val="left"/>
      <w:pPr>
        <w:ind w:left="360" w:hanging="2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8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2A37"/>
      <w:sz w:val="30"/>
      <w:szCs w:val="30"/>
    </w:rPr>
  </w:style>
  <w:style w:type="paragraph" w:styleId="Heading2">
    <w:name w:val="Heading 2"/>
    <w:basedOn w:val="Normal"/>
    <w:next w:val="Normal"/>
    <w:qFormat/>
    <w:pPr>
      <w:outlineLvl w:val="1"/>
    </w:pPr>
    <w:rPr>
      <w:rFonts w:ascii="Calibri" w:cs="Calibri" w:eastAsia="Calibri" w:hAnsi="Calibri"/>
      <w:b/>
      <w:bCs/>
      <w:color w:val="1F2A37"/>
      <w:sz w:val="25"/>
      <w:szCs w:val="25"/>
    </w:rPr>
  </w:style>
  <w:style w:type="paragraph" w:styleId="Heading3">
    <w:name w:val="Heading 3"/>
    <w:basedOn w:val="Normal"/>
    <w:next w:val="Normal"/>
    <w:qFormat/>
    <w:pPr>
      <w:outlineLvl w:val="2"/>
    </w:pPr>
    <w:rPr>
      <w:rFonts w:ascii="Calibri" w:cs="Calibri" w:eastAsia="Calibri" w:hAnsi="Calibri"/>
      <w:b/>
      <w:bCs/>
      <w:color w:val="374151"/>
      <w:sz w:val="22"/>
      <w:szCs w:val="22"/>
    </w:rPr>
  </w:style>
  <w:style w:type="paragraph" w:styleId="Heading4">
    <w:name w:val="Heading 4"/>
    <w:basedOn w:val="Normal"/>
    <w:next w:val="Normal"/>
    <w:qFormat/>
    <w:pPr>
      <w:outlineLvl w:val="3"/>
    </w:pPr>
    <w:rPr>
      <w:rFonts w:ascii="Calibri" w:cs="Calibri" w:eastAsia="Calibri" w:hAnsi="Calibri"/>
      <w:b/>
      <w:bCs/>
      <w:color w:val="374151"/>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AgriContract — Kiến Trúc Kỹ Thuật Phase 1</dc:title>
  <dc:creator>AgriContract</dc:creator>
  <cp:lastModifiedBy>Un-named</cp:lastModifiedBy>
  <cp:revision>1</cp:revision>
  <dcterms:created xsi:type="dcterms:W3CDTF">2026-07-16T22:19:52.762Z</dcterms:created>
  <dcterms:modified xsi:type="dcterms:W3CDTF">2026-07-16T22:19:52.762Z</dcterms:modified>
</cp:coreProperties>
</file>

<file path=docProps/custom.xml><?xml version="1.0" encoding="utf-8"?>
<Properties xmlns="http://schemas.openxmlformats.org/officeDocument/2006/custom-properties" xmlns:vt="http://schemas.openxmlformats.org/officeDocument/2006/docPropsVTypes"/>
</file>