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pPr>
      <w:r>
        <w:rPr>
          <w:rFonts w:ascii="Calibri" w:cs="Calibri" w:eastAsia="Calibri" w:hAnsi="Calibri"/>
          <w:b/>
          <w:bCs/>
          <w:color w:val="374151"/>
          <w:spacing w:val="60"/>
          <w:sz w:val="26"/>
          <w:szCs w:val="26"/>
        </w:rPr>
        <w:t xml:space="preserve">AGRICONTRACT · PHASE 1</w:t>
      </w:r>
    </w:p>
    <w:p>
      <w:pPr>
        <w:pBdr>
          <w:bottom w:val="single" w:color="1F2A37" w:sz="8" w:space="8"/>
        </w:pBdr>
        <w:spacing w:after="60" w:before="120"/>
      </w:pPr>
      <w:r>
        <w:rPr>
          <w:rFonts w:ascii="Calibri" w:cs="Calibri" w:eastAsia="Calibri" w:hAnsi="Calibri"/>
          <w:b/>
          <w:bCs/>
          <w:color w:val="1F2A37"/>
          <w:sz w:val="44"/>
          <w:szCs w:val="44"/>
        </w:rPr>
        <w:t xml:space="preserve">Software Design Specification</w:t>
      </w:r>
    </w:p>
    <w:p>
      <w:pPr>
        <w:spacing w:after="40" w:before="120"/>
      </w:pPr>
      <w:r>
        <w:rPr>
          <w:rFonts w:ascii="Calibri" w:cs="Calibri" w:eastAsia="Calibri" w:hAnsi="Calibri"/>
          <w:i/>
          <w:iCs/>
          <w:color w:val="374151"/>
          <w:sz w:val="23"/>
          <w:szCs w:val="23"/>
        </w:rPr>
        <w:t xml:space="preserve">Module design · Interface contracts · Runtime behavior · Verification</w:t>
      </w:r>
    </w:p>
    <w:p>
      <w:pPr>
        <w:spacing w:before="240"/>
      </w:pPr>
      <w:r>
        <w:rPr>
          <w:rFonts w:ascii="Calibri" w:cs="Calibri" w:eastAsia="Calibri" w:hAnsi="Calibri"/>
          <w:color w:val="6B7280"/>
          <w:sz w:val="20"/>
          <w:szCs w:val="20"/>
        </w:rPr>
        <w:t xml:space="preserve">Phase 1 MVP · v1.3</w:t>
      </w:r>
    </w:p>
    <w:p>
      <w:pPr>
        <w:spacing w:after="0"/>
      </w:pPr>
      <w:r>
        <w:rPr>
          <w:rFonts w:ascii="Calibri" w:cs="Calibri" w:eastAsia="Calibri" w:hAnsi="Calibri"/>
          <w:color w:val="6B7280"/>
          <w:sz w:val="20"/>
          <w:szCs w:val="20"/>
        </w:rPr>
        <w:t xml:space="preserve">Baseline code: main · cập nhật 17/07/2026</w:t>
      </w:r>
    </w:p>
    <w:p>
      <w:pPr>
        <w:spacing w:after="0" w:before="360"/>
      </w:pPr>
      <w:r>
        <w:br w:type="page"/>
      </w:r>
    </w:p>
    <w:p>
      <w:pPr>
        <w:spacing w:after="180"/>
      </w:pPr>
      <w:r>
        <w:rPr>
          <w:rFonts w:ascii="Calibri" w:cs="Calibri" w:eastAsia="Calibri" w:hAnsi="Calibri"/>
          <w:b/>
          <w:bCs/>
          <w:color w:val="1F2A37"/>
          <w:sz w:val="30"/>
          <w:szCs w:val="30"/>
        </w:rPr>
        <w:t xml:space="preserve">Mục lục</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900"/>
        <w:gridCol w:w="8738"/>
      </w:tblGrid>
      <w:tr>
        <w:trPr>
          <w:tblHeader/>
        </w:trPr>
        <w:tc>
          <w:tcPr>
            <w:tcW w:type="dxa" w:w="9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Mục</w:t>
            </w:r>
          </w:p>
        </w:tc>
        <w:tc>
          <w:tcPr>
            <w:tcW w:type="dxa" w:w="8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Nội dung</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1</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Mục đích và baseline</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2</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Module map</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3</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Interface contracts</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4</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Backend design</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5</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 design</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6</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Authorization và transition matrix</w:t>
            </w:r>
          </w:p>
        </w:tc>
      </w:tr>
      <w:tr>
        <w:tc>
          <w:tcPr>
            <w:tcW w:type="dxa" w:w="9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7</w:t>
            </w:r>
          </w:p>
        </w:tc>
        <w:tc>
          <w:tcPr>
            <w:tcW w:type="dxa" w:w="8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Failure handling</w:t>
            </w:r>
          </w:p>
        </w:tc>
      </w:tr>
      <w:tr>
        <w:tc>
          <w:tcPr>
            <w:tcW w:type="dxa" w:w="9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111827"/>
                <w:sz w:val="19"/>
                <w:szCs w:val="19"/>
              </w:rPr>
              <w:t xml:space="preserve">8</w:t>
            </w:r>
          </w:p>
        </w:tc>
        <w:tc>
          <w:tcPr>
            <w:tcW w:type="dxa" w:w="8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Verification</w:t>
            </w:r>
          </w:p>
        </w:tc>
      </w:tr>
    </w:tbl>
    <w:p>
      <w:pPr>
        <w:spacing w:before="240"/>
      </w:pPr>
      <w:r>
        <w:br w:type="page"/>
      </w:r>
    </w:p>
    <w:p>
      <w:pPr>
        <w:pBdr>
          <w:top w:val="single" w:color="D1D5DB" w:sz="2" w:space="6"/>
          <w:bottom w:val="single" w:color="D1D5DB" w:sz="2" w:space="6"/>
          <w:left w:val="single" w:color="374151" w:sz="12" w:space="10"/>
          <w:right w:val="single" w:color="D1D5DB" w:sz="2" w:space="6"/>
        </w:pBdr>
        <w:shd w:fill="F3F4F6" w:color="auto" w:val="clear"/>
        <w:spacing w:after="140" w:before="120" w:line="264"/>
        <w:ind w:left="60" w:right="60"/>
      </w:pPr>
      <w:r>
        <w:rPr>
          <w:rFonts w:ascii="Calibri" w:cs="Calibri" w:eastAsia="Calibri" w:hAnsi="Calibri"/>
          <w:b/>
          <w:bCs/>
          <w:color w:val="1F2A37"/>
          <w:sz w:val="20"/>
          <w:szCs w:val="20"/>
        </w:rPr>
        <w:t xml:space="preserve">TRẠNG THÁI TÀI LIỆU — </w:t>
      </w:r>
      <w:r>
        <w:rPr>
          <w:rFonts w:ascii="Calibri" w:cs="Calibri" w:eastAsia="Calibri" w:hAnsi="Calibri"/>
          <w:color w:val="374151"/>
          <w:sz w:val="20"/>
          <w:szCs w:val="20"/>
        </w:rPr>
        <w:t xml:space="preserve">Tài liệu này mô tả implementation đang có trên main. Nội dung tại đây thay thế các giả định Phase 1 cũ nếu có mâu thuẫn về API, state machine, database, event hoặc cách chạy hệ thống.</w:t>
      </w:r>
    </w:p>
    <w:p>
      <w:pPr>
        <w:pStyle w:val="Heading1"/>
        <w:pBdr>
          <w:bottom w:val="single" w:color="D1D5DB" w:sz="6" w:space="6"/>
        </w:pBdr>
        <w:spacing w:after="120" w:before="320"/>
      </w:pPr>
      <w:r>
        <w:rPr>
          <w:rFonts w:ascii="Calibri" w:cs="Calibri" w:eastAsia="Calibri" w:hAnsi="Calibri"/>
          <w:b/>
          <w:bCs/>
          <w:color w:val="1F2A37"/>
          <w:sz w:val="30"/>
          <w:szCs w:val="30"/>
        </w:rPr>
        <w:t xml:space="preserve">1. Mục đích và baseline</w:t>
      </w:r>
    </w:p>
    <w:p>
      <w:pPr>
        <w:spacing w:after="120" w:before="0" w:line="276"/>
        <w:jc w:val="both"/>
      </w:pPr>
      <w:r>
        <w:rPr>
          <w:rFonts w:ascii="Calibri" w:cs="Calibri" w:eastAsia="Calibri" w:hAnsi="Calibri"/>
          <w:b w:val="false"/>
          <w:bCs w:val="false"/>
          <w:i w:val="false"/>
          <w:iCs w:val="false"/>
          <w:color w:val="111827"/>
          <w:sz w:val="21"/>
          <w:szCs w:val="21"/>
        </w:rPr>
        <w:t xml:space="preserve">SDS này ghi nhận thiết kế thực tế sau khi frontend Phase 1, negotiation history, dispute hold, delayed release và arbitration flow đã được merge vào main. Đây không còn là task breakdown theo người hoặc kế hoạch tuần.</w:t>
      </w:r>
    </w:p>
    <w:p>
      <w:pPr>
        <w:pStyle w:val="Heading1"/>
        <w:pBdr>
          <w:bottom w:val="single" w:color="D1D5DB" w:sz="6" w:space="6"/>
        </w:pBdr>
        <w:spacing w:after="120" w:before="320"/>
      </w:pPr>
      <w:r>
        <w:rPr>
          <w:rFonts w:ascii="Calibri" w:cs="Calibri" w:eastAsia="Calibri" w:hAnsi="Calibri"/>
          <w:b/>
          <w:bCs/>
          <w:color w:val="1F2A37"/>
          <w:sz w:val="30"/>
          <w:szCs w:val="30"/>
        </w:rPr>
        <w:t xml:space="preserve">2. Module map</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100"/>
        <w:gridCol w:w="2600"/>
        <w:gridCol w:w="2600"/>
        <w:gridCol w:w="2338"/>
      </w:tblGrid>
      <w:tr>
        <w:trPr>
          <w:tblHeader/>
        </w:trPr>
        <w:tc>
          <w:tcPr>
            <w:tcW w:type="dxa" w:w="21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Module</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Phụ thuộc</w:t>
            </w:r>
          </w:p>
        </w:tc>
        <w:tc>
          <w:tcPr>
            <w:tcW w:type="dxa" w:w="26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Được dùng bởi</w:t>
            </w:r>
          </w:p>
        </w:tc>
        <w:tc>
          <w:tcPr>
            <w:tcW w:type="dxa" w:w="23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Aggregate / state</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user-service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 trusted headers</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UserProfile</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product-service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 RabbitMQ</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 frontend</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Category, Product, Listing</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contract-service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product/user Feign; RabbitMQ</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notification; frontend</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 NegotiationRevision</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escrow-service</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RabbitMQ; Gateway</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 notification; frontend</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EscrowAccount; EscrowTransaction</w:t>
            </w:r>
          </w:p>
        </w:tc>
      </w:tr>
      <w:tr>
        <w:tc>
          <w:tcPr>
            <w:tcW w:type="dxa" w:w="21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notification-service</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RabbitMQ; MailHog</w:t>
            </w:r>
          </w:p>
        </w:tc>
        <w:tc>
          <w:tcPr>
            <w:tcW w:type="dxa" w:w="26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Development users</w:t>
            </w:r>
          </w:p>
        </w:tc>
        <w:tc>
          <w:tcPr>
            <w:tcW w:type="dxa" w:w="23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NotificationLog</w:t>
            </w:r>
          </w:p>
        </w:tc>
      </w:tr>
      <w:tr>
        <w:tc>
          <w:tcPr>
            <w:tcW w:type="dxa" w:w="21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 Keycloak</w:t>
            </w:r>
          </w:p>
        </w:tc>
        <w:tc>
          <w:tcPr>
            <w:tcW w:type="dxa" w:w="26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Browser users</w:t>
            </w:r>
          </w:p>
        </w:tc>
        <w:tc>
          <w:tcPr>
            <w:tcW w:type="dxa" w:w="23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Auth/UI interaction state</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3. Interface contracts</w:t>
      </w:r>
    </w:p>
    <w:p>
      <w:pPr>
        <w:pStyle w:val="Heading2"/>
        <w:spacing w:after="80" w:before="240"/>
      </w:pPr>
      <w:r>
        <w:rPr>
          <w:rFonts w:ascii="Calibri" w:cs="Calibri" w:eastAsia="Calibri" w:hAnsi="Calibri"/>
          <w:b/>
          <w:bCs/>
          <w:color w:val="1F2A37"/>
          <w:sz w:val="25"/>
          <w:szCs w:val="25"/>
        </w:rPr>
        <w:t xml:space="preserve">3.1 REST envelope</w:t>
      </w:r>
    </w:p>
    <w:p>
      <w:pPr>
        <w:spacing w:after="120" w:before="0" w:line="276"/>
        <w:jc w:val="both"/>
      </w:pPr>
      <w:r>
        <w:rPr>
          <w:rFonts w:ascii="Calibri" w:cs="Calibri" w:eastAsia="Calibri" w:hAnsi="Calibri"/>
          <w:b w:val="false"/>
          <w:bCs w:val="false"/>
          <w:i w:val="false"/>
          <w:iCs w:val="false"/>
          <w:color w:val="111827"/>
          <w:sz w:val="21"/>
          <w:szCs w:val="21"/>
        </w:rPr>
        <w:t xml:space="preserve">Các backend API dùng envelope thống nhất: success (boolean), data (generic hoặc null), error (string hoặc null), timestamp (Instant). Validation/domain errors được map thành HTTP 400/403/404/409 phù hợp.</w:t>
      </w:r>
    </w:p>
    <w:p>
      <w:pPr>
        <w:pStyle w:val="Heading2"/>
        <w:spacing w:after="80" w:before="240"/>
      </w:pPr>
      <w:r>
        <w:rPr>
          <w:rFonts w:ascii="Calibri" w:cs="Calibri" w:eastAsia="Calibri" w:hAnsi="Calibri"/>
          <w:b/>
          <w:bCs/>
          <w:color w:val="1F2A37"/>
          <w:sz w:val="25"/>
          <w:szCs w:val="25"/>
        </w:rPr>
        <w:t xml:space="preserve">3.2 Trusted headers</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200"/>
        <w:gridCol w:w="2800"/>
        <w:gridCol w:w="4638"/>
      </w:tblGrid>
      <w:tr>
        <w:trPr>
          <w:tblHeader/>
        </w:trPr>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Header</w:t>
            </w:r>
          </w:p>
        </w:tc>
        <w:tc>
          <w:tcPr>
            <w:tcW w:type="dxa" w:w="28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Nguồn</w:t>
            </w:r>
          </w:p>
        </w:tc>
        <w:tc>
          <w:tcPr>
            <w:tcW w:type="dxa" w:w="46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Mục đích</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Authorization</w:t>
            </w:r>
          </w:p>
        </w:tc>
        <w:tc>
          <w:tcPr>
            <w:tcW w:type="dxa" w:w="2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 → Gateway</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Bearer JWT; bị strip trước khi forward.</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X-User-Id</w:t>
            </w:r>
          </w:p>
        </w:tc>
        <w:tc>
          <w:tcPr>
            <w:tcW w:type="dxa" w:w="2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Keycloak sub; principal name downstream.</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X-User-Email</w:t>
            </w:r>
          </w:p>
        </w:tc>
        <w:tc>
          <w:tcPr>
            <w:tcW w:type="dxa" w:w="2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Email snapshot và notification recipient.</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X-User-Role</w:t>
            </w:r>
          </w:p>
        </w:tc>
        <w:tc>
          <w:tcPr>
            <w:tcW w:type="dxa" w:w="2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Comma-separated realm roles.</w:t>
            </w:r>
          </w:p>
        </w:tc>
      </w:tr>
      <w:tr>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X-Gateway-Secret</w:t>
            </w:r>
          </w:p>
        </w:tc>
        <w:tc>
          <w:tcPr>
            <w:tcW w:type="dxa" w:w="28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Gateway</w:t>
            </w:r>
          </w:p>
        </w:tc>
        <w:tc>
          <w:tcPr>
            <w:tcW w:type="dxa" w:w="46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Chứng minh request đi qua gateway.</w:t>
            </w:r>
          </w:p>
        </w:tc>
      </w:tr>
      <w:tr>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X-Internal-Secret</w:t>
            </w:r>
          </w:p>
        </w:tc>
        <w:tc>
          <w:tcPr>
            <w:tcW w:type="dxa" w:w="28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Service caller</w:t>
            </w:r>
          </w:p>
        </w:tc>
        <w:tc>
          <w:tcPr>
            <w:tcW w:type="dxa" w:w="46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Cho phép Feign internal operation.</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4. Backend design</w:t>
      </w:r>
    </w:p>
    <w:p>
      <w:pPr>
        <w:pStyle w:val="Heading2"/>
        <w:spacing w:after="80" w:before="240"/>
      </w:pPr>
      <w:r>
        <w:rPr>
          <w:rFonts w:ascii="Calibri" w:cs="Calibri" w:eastAsia="Calibri" w:hAnsi="Calibri"/>
          <w:b/>
          <w:bCs/>
          <w:color w:val="1F2A37"/>
          <w:sz w:val="25"/>
          <w:szCs w:val="25"/>
        </w:rPr>
        <w:t xml:space="preserve">4.1 user-service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POST /api/v1/users/register lấy identity từ trusted headers, không nhận userId/email/role từ body.</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Create idempotent: 201 khi mới, 200 và trả profile cũ khi đã tồn tại.</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GET /me phục vụ AuthBootstrap; GET /{userId} phục vụ contract-service snapshot.</w:t>
      </w:r>
    </w:p>
    <w:p>
      <w:pPr>
        <w:pStyle w:val="Heading2"/>
        <w:spacing w:after="80" w:before="240"/>
      </w:pPr>
      <w:r>
        <w:rPr>
          <w:rFonts w:ascii="Calibri" w:cs="Calibri" w:eastAsia="Calibri" w:hAnsi="Calibri"/>
          <w:b/>
          <w:bCs/>
          <w:color w:val="1F2A37"/>
          <w:sz w:val="25"/>
          <w:szCs w:val="25"/>
        </w:rPr>
        <w:t xml:space="preserve">4.2 product-service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Category có PENDING → APPROVED/REJECTED; duplicate chặn bằng normalized_name unique.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Product bắt buộc approved category và 1–5 image URLs; create hỗ trợ client-provided productId.</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Listing snapshot productName và coverImageUrl; public list chỉ lấy ACTIVE; seller list là protected.</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Category review event được ghi product_domain_events và gửi email cho proposer.</w:t>
      </w:r>
    </w:p>
    <w:p>
      <w:pPr>
        <w:pStyle w:val="Heading2"/>
        <w:spacing w:after="80" w:before="240"/>
      </w:pPr>
      <w:r>
        <w:rPr>
          <w:rFonts w:ascii="Calibri" w:cs="Calibri" w:eastAsia="Calibri" w:hAnsi="Calibri"/>
          <w:b/>
          <w:bCs/>
          <w:color w:val="1F2A37"/>
          <w:sz w:val="25"/>
          <w:szCs w:val="25"/>
        </w:rPr>
        <w:t xml:space="preserve">4.3 contract-service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CreateContract gọi product-service để kiểm tra listing và user-service để snapshot organization/email.</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Mỗi counter-offer tăng termsRevision, clear signatories và append contract_negotiations.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Đủ hai chữ ký mới phát contract.signed; listing được đóng bằng internal Feign call.</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List API phân trang theo buyer hoặc seller và optional status; negotiation history là endpoint riêng.</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escrow.locked activate; escrow.released settle delivery bình thường; escrow.arbitrated settle dispute.</w:t>
      </w:r>
    </w:p>
    <w:p>
      <w:pPr>
        <w:pStyle w:val="Heading2"/>
        <w:spacing w:after="80" w:before="240"/>
      </w:pPr>
      <w:r>
        <w:rPr>
          <w:rFonts w:ascii="Calibri" w:cs="Calibri" w:eastAsia="Calibri" w:hAnsi="Calibri"/>
          <w:b/>
          <w:bCs/>
          <w:color w:val="1F2A37"/>
          <w:sz w:val="25"/>
          <w:szCs w:val="25"/>
        </w:rPr>
        <w:t xml:space="preserve">4.4 escrow-service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contract.signed lock buyer amount và tạo BUYER_LOCKED; seller confirm tạo FULLY_LOCKED.</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contract.delivered schedule release, không release ngay; mặc định dispute window PT30S.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contract.disputed đưa FULLY_LOCKED hoặc DELIVERY_PENDING sang DISPUTED và hủy deadline.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Admin split toàn bộ totalAmount + sellerDeposit; tạo hai arbitration ledger rows.</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Escrow aggregate save cùng outgoing event trong escrow_domain_events; row dùng optimistic version.</w:t>
      </w:r>
    </w:p>
    <w:p>
      <w:pPr>
        <w:pStyle w:val="Heading2"/>
        <w:spacing w:after="80" w:before="240"/>
      </w:pPr>
      <w:r>
        <w:rPr>
          <w:rFonts w:ascii="Calibri" w:cs="Calibri" w:eastAsia="Calibri" w:hAnsi="Calibri"/>
          <w:b/>
          <w:bCs/>
          <w:color w:val="1F2A37"/>
          <w:sz w:val="25"/>
          <w:szCs w:val="25"/>
        </w:rPr>
        <w:t xml:space="preserve">4.5 notification-service</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Consume contract, escrow và category events qua RabbitMQ.</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Notification key là (eventId, recipient), cho phép một event gửi nhiều recipient nhưng không duplicate từng người.</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Send failure đánh FAILED và tăng retryCount; listener retry tối đa ba lần trước DLQ.</w:t>
      </w:r>
    </w:p>
    <w:p>
      <w:pPr>
        <w:pStyle w:val="ListParagraph"/>
        <w:numPr>
          <w:ilvl w:val="0"/>
          <w:numId w:val="2"/>
        </w:numPr>
        <w:spacing w:after="60" w:line="276"/>
      </w:pPr>
      <w:r>
        <w:rPr>
          <w:rFonts w:ascii="Calibri" w:cs="Calibri" w:eastAsia="Calibri" w:hAnsi="Calibri"/>
          <w:b w:val="false"/>
          <w:bCs w:val="false"/>
          <w:i w:val="false"/>
          <w:iCs w:val="false"/>
          <w:color w:val="111827"/>
          <w:sz w:val="21"/>
          <w:szCs w:val="21"/>
        </w:rPr>
        <w:t xml:space="preserve">Arbitration result email gửi buyer và seller, gồm contractId và justification.</w:t>
      </w:r>
    </w:p>
    <w:p>
      <w:pPr>
        <w:pStyle w:val="Heading1"/>
        <w:pBdr>
          <w:bottom w:val="single" w:color="D1D5DB" w:sz="6" w:space="6"/>
        </w:pBdr>
        <w:spacing w:after="120" w:before="320"/>
      </w:pPr>
      <w:r>
        <w:rPr>
          <w:rFonts w:ascii="Calibri" w:cs="Calibri" w:eastAsia="Calibri" w:hAnsi="Calibri"/>
          <w:b/>
          <w:bCs/>
          <w:color w:val="1F2A37"/>
          <w:sz w:val="30"/>
          <w:szCs w:val="30"/>
        </w:rPr>
        <w:t xml:space="preserve">5. Frontend design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50"/>
        <w:gridCol w:w="2050"/>
        <w:gridCol w:w="5238"/>
      </w:tblGrid>
      <w:tr>
        <w:trPr>
          <w:tblHeader/>
        </w:trPr>
        <w:tc>
          <w:tcPr>
            <w:tcW w:type="dxa" w:w="23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Route</w:t>
            </w:r>
          </w:p>
        </w:tc>
        <w:tc>
          <w:tcPr>
            <w:tcW w:type="dxa" w:w="20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Access</w:t>
            </w:r>
          </w:p>
        </w:tc>
        <w:tc>
          <w:tcPr>
            <w:tcW w:type="dxa" w:w="52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Behavior</w:t>
            </w:r>
          </w:p>
        </w:tc>
      </w:tr>
      <w:tr>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/login</w:t>
            </w:r>
          </w:p>
        </w:tc>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Public</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Start Keycloak login.</w:t>
            </w:r>
          </w:p>
        </w:tc>
      </w:tr>
      <w:tr>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/register-profile</w:t>
            </w:r>
          </w:p>
        </w:tc>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Authenticated</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Profile onboarding khi GET /users/me trả missing.</w:t>
            </w:r>
          </w:p>
        </w:tc>
      </w:tr>
      <w:tr>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/listings, /listings/:id</w:t>
            </w:r>
          </w:p>
        </w:tc>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Public</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Marketplace; buyer authenticated tạo offer.</w:t>
            </w:r>
          </w:p>
        </w:tc>
      </w:tr>
      <w:tr>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/listings/create, /listings/mine</w:t>
            </w:r>
          </w:p>
        </w:tc>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Tạo product/listing và xem listing của mình.</w:t>
            </w:r>
          </w:p>
        </w:tc>
      </w:tr>
      <w:tr>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/contracts, /contracts/:id</w:t>
            </w:r>
          </w:p>
        </w:tc>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Authenticated</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List, revision history và action theo role/status.</w:t>
            </w:r>
          </w:p>
        </w:tc>
      </w:tr>
      <w:tr>
        <w:tc>
          <w:tcPr>
            <w:tcW w:type="dxa" w:w="23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w:t>
            </w:r>
          </w:p>
        </w:tc>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Authenticated</w:t>
            </w:r>
          </w:p>
        </w:tc>
        <w:tc>
          <w:tcPr>
            <w:tcW w:type="dxa" w:w="52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account và append-only transaction history.</w:t>
            </w:r>
          </w:p>
        </w:tc>
      </w:tr>
      <w:tr>
        <w:tc>
          <w:tcPr>
            <w:tcW w:type="dxa" w:w="23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/admin/arbitrate/:id</w:t>
            </w:r>
          </w:p>
        </w:tc>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w:t>
            </w:r>
          </w:p>
        </w:tc>
        <w:tc>
          <w:tcPr>
            <w:tcW w:type="dxa" w:w="52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Split held amount và gửi justification.</w:t>
            </w:r>
          </w:p>
        </w:tc>
      </w:tr>
    </w:tbl>
    <w:p>
      <w:pPr>
        <w:spacing w:after="120" w:before="0" w:line="276"/>
        <w:jc w:val="both"/>
      </w:pPr>
      <w:r>
        <w:rPr>
          <w:rFonts w:ascii="Calibri" w:cs="Calibri" w:eastAsia="Calibri" w:hAnsi="Calibri"/>
          <w:b w:val="false"/>
          <w:bCs w:val="false"/>
          <w:i w:val="false"/>
          <w:iCs w:val="false"/>
          <w:color w:val="111827"/>
          <w:sz w:val="21"/>
          <w:szCs w:val="21"/>
        </w:rPr>
        <w:t xml:space="preserve">TanStack Query quản lý server state và polling. Zustand giữ auth/session và interaction state nhỏ. Axios refresh Keycloak token; global interceptor chuyển 401 về login và phát UI notification cho 403/5xx.</w:t>
      </w:r>
    </w:p>
    <w:p>
      <w:pPr>
        <w:pStyle w:val="Heading1"/>
        <w:pBdr>
          <w:bottom w:val="single" w:color="D1D5DB" w:sz="6" w:space="6"/>
        </w:pBdr>
        <w:spacing w:after="120" w:before="320"/>
      </w:pPr>
      <w:r>
        <w:rPr>
          <w:rFonts w:ascii="Calibri" w:cs="Calibri" w:eastAsia="Calibri" w:hAnsi="Calibri"/>
          <w:b/>
          <w:bCs/>
          <w:color w:val="1F2A37"/>
          <w:sz w:val="30"/>
          <w:szCs w:val="30"/>
        </w:rPr>
        <w:t xml:space="preserve">6. Authorization và transition matrix</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050"/>
        <w:gridCol w:w="1850"/>
        <w:gridCol w:w="2000"/>
        <w:gridCol w:w="3738"/>
      </w:tblGrid>
      <w:tr>
        <w:trPr>
          <w:tblHeader/>
        </w:trPr>
        <w:tc>
          <w:tcPr>
            <w:tcW w:type="dxa" w:w="20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Action</w:t>
            </w:r>
          </w:p>
        </w:tc>
        <w:tc>
          <w:tcPr>
            <w:tcW w:type="dxa" w:w="185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Actor</w:t>
            </w:r>
          </w:p>
        </w:tc>
        <w:tc>
          <w:tcPr>
            <w:tcW w:type="dxa" w:w="2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State hợp lệ</w:t>
            </w:r>
          </w:p>
        </w:tc>
        <w:tc>
          <w:tcPr>
            <w:tcW w:type="dxa" w:w="37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Counter-offer</w:t>
            </w:r>
          </w:p>
        </w:tc>
        <w:tc>
          <w:tcPr>
            <w:tcW w:type="dxa" w:w="18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Buyer/Seller</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 NEGOTIATING</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NEGOTIATING; revision++ và reset signatures</w:t>
            </w:r>
          </w:p>
        </w:tc>
      </w:tr>
      <w:tr>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Sign</w:t>
            </w:r>
          </w:p>
        </w:tc>
        <w:tc>
          <w:tcPr>
            <w:tcW w:type="dxa" w:w="18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Buyer/Seller</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OFFERED, NEGOTIATING</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SIGNED khi đủ hai bên</w:t>
            </w:r>
          </w:p>
        </w:tc>
      </w:tr>
      <w:tr>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Confirm deposit</w:t>
            </w:r>
          </w:p>
        </w:tc>
        <w:tc>
          <w:tcPr>
            <w:tcW w:type="dxa" w:w="18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Seller</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BUYER_LOCKED</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FULLY_LOCKED; contract ACTIVE async</w:t>
            </w:r>
          </w:p>
        </w:tc>
      </w:tr>
      <w:tr>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Cancel</w:t>
            </w:r>
          </w:p>
        </w:tc>
        <w:tc>
          <w:tcPr>
            <w:tcW w:type="dxa" w:w="18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Buyer/Seller</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CANCELLED và penalty async</w:t>
            </w:r>
          </w:p>
        </w:tc>
      </w:tr>
      <w:tr>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Confirm delivery</w:t>
            </w:r>
          </w:p>
        </w:tc>
        <w:tc>
          <w:tcPr>
            <w:tcW w:type="dxa" w:w="18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ACTIVE</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 release scheduled</w:t>
            </w:r>
          </w:p>
        </w:tc>
      </w:tr>
      <w:tr>
        <w:tc>
          <w:tcPr>
            <w:tcW w:type="dxa" w:w="20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w:t>
            </w:r>
          </w:p>
        </w:tc>
        <w:tc>
          <w:tcPr>
            <w:tcW w:type="dxa" w:w="185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Buyer</w:t>
            </w:r>
          </w:p>
        </w:tc>
        <w:tc>
          <w:tcPr>
            <w:tcW w:type="dxa" w:w="2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DELIVERED</w:t>
            </w:r>
          </w:p>
        </w:tc>
        <w:tc>
          <w:tcPr>
            <w:tcW w:type="dxa" w:w="37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DISPUTED; escrow hold async</w:t>
            </w:r>
          </w:p>
        </w:tc>
      </w:tr>
      <w:tr>
        <w:tc>
          <w:tcPr>
            <w:tcW w:type="dxa" w:w="20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Arbitrate</w:t>
            </w:r>
          </w:p>
        </w:tc>
        <w:tc>
          <w:tcPr>
            <w:tcW w:type="dxa" w:w="185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Admin</w:t>
            </w:r>
          </w:p>
        </w:tc>
        <w:tc>
          <w:tcPr>
            <w:tcW w:type="dxa" w:w="2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DISPUTED</w:t>
            </w:r>
          </w:p>
        </w:tc>
        <w:tc>
          <w:tcPr>
            <w:tcW w:type="dxa" w:w="37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Escrow ARBITRATED; contract SETTLED async</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7. Failure handling</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700"/>
        <w:gridCol w:w="3000"/>
        <w:gridCol w:w="3938"/>
      </w:tblGrid>
      <w:tr>
        <w:trPr>
          <w:tblHeader/>
        </w:trPr>
        <w:tc>
          <w:tcPr>
            <w:tcW w:type="dxa" w:w="27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Failure</w:t>
            </w:r>
          </w:p>
        </w:tc>
        <w:tc>
          <w:tcPr>
            <w:tcW w:type="dxa" w:w="30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Cơ chế</w:t>
            </w:r>
          </w:p>
        </w:tc>
        <w:tc>
          <w:tcPr>
            <w:tcW w:type="dxa" w:w="39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Kết quả</w:t>
            </w:r>
          </w:p>
        </w:tc>
      </w:tr>
      <w:tr>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RabbitMQ unavailable khi publish</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Outbox row giữ PENDING</w:t>
            </w:r>
          </w:p>
        </w:tc>
        <w:tc>
          <w:tcPr>
            <w:tcW w:type="dxa" w:w="3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Poll sau publish lại.</w:t>
            </w:r>
          </w:p>
        </w:tc>
      </w:tr>
      <w:tr>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Consumer transient exception</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3 attempts, exponential backoff</w:t>
            </w:r>
          </w:p>
        </w:tc>
        <w:tc>
          <w:tcPr>
            <w:tcW w:type="dxa" w:w="3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Hết retry vào DLQ.</w:t>
            </w:r>
          </w:p>
        </w:tc>
      </w:tr>
      <w:tr>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Payload malformed</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InvalidEventPayloadException non-retryable</w:t>
            </w:r>
          </w:p>
        </w:tc>
        <w:tc>
          <w:tcPr>
            <w:tcW w:type="dxa" w:w="3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Reject và DLQ ngay.</w:t>
            </w:r>
          </w:p>
        </w:tc>
      </w:tr>
      <w:tr>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Duplicate contract/escrow action</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Unique ID + status guard</w:t>
            </w:r>
          </w:p>
        </w:tc>
        <w:tc>
          <w:tcPr>
            <w:tcW w:type="dxa" w:w="3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Không lặp business side effect hợp lệ.</w:t>
            </w:r>
          </w:p>
        </w:tc>
      </w:tr>
      <w:tr>
        <w:tc>
          <w:tcPr>
            <w:tcW w:type="dxa" w:w="27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Concurrent release và dispute</w:t>
            </w:r>
          </w:p>
        </w:tc>
        <w:tc>
          <w:tcPr>
            <w:tcW w:type="dxa" w:w="30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JPA optimistic version</w:t>
            </w:r>
          </w:p>
        </w:tc>
        <w:tc>
          <w:tcPr>
            <w:tcW w:type="dxa" w:w="39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Một transaction thắng; transaction stale rollback/skip.</w:t>
            </w:r>
          </w:p>
        </w:tc>
      </w:tr>
      <w:tr>
        <w:tc>
          <w:tcPr>
            <w:tcW w:type="dxa" w:w="27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Duplicate notification delivery</w:t>
            </w:r>
          </w:p>
        </w:tc>
        <w:tc>
          <w:tcPr>
            <w:tcW w:type="dxa" w:w="30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Unique (event_id, user_id)</w:t>
            </w:r>
          </w:p>
        </w:tc>
        <w:tc>
          <w:tcPr>
            <w:tcW w:type="dxa" w:w="39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Không gửi trùng recipient.</w:t>
            </w:r>
          </w:p>
        </w:tc>
      </w:tr>
    </w:tbl>
    <w:p>
      <w:pPr>
        <w:pStyle w:val="Heading1"/>
        <w:pBdr>
          <w:bottom w:val="single" w:color="D1D5DB" w:sz="6" w:space="6"/>
        </w:pBdr>
        <w:spacing w:after="120" w:before="320"/>
      </w:pPr>
      <w:r>
        <w:rPr>
          <w:rFonts w:ascii="Calibri" w:cs="Calibri" w:eastAsia="Calibri" w:hAnsi="Calibri"/>
          <w:b/>
          <w:bCs/>
          <w:color w:val="1F2A37"/>
          <w:sz w:val="30"/>
          <w:szCs w:val="30"/>
        </w:rPr>
        <w:t xml:space="preserve">8. Verification</w:t>
      </w:r>
    </w:p>
    <w:tbl>
      <w:tblPr>
        <w:tblW w:type="dxa" w:w="9638"/>
        <w:tblBorders>
          <w:top w:val="single" w:color="D1D5DB" w:sz="4"/>
          <w:left w:val="single" w:color="D1D5DB" w:sz="4"/>
          <w:bottom w:val="single" w:color="D1D5DB" w:sz="4"/>
          <w:right w:val="single" w:color="D1D5DB" w:sz="4"/>
          <w:insideH w:val="single" w:color="D1D5DB" w:sz="4"/>
          <w:insideV w:val="single" w:color="D1D5DB" w:sz="4"/>
        </w:tblBorders>
      </w:tblPr>
      <w:tblGrid>
        <w:gridCol w:w="2300"/>
        <w:gridCol w:w="2200"/>
        <w:gridCol w:w="5138"/>
      </w:tblGrid>
      <w:tr>
        <w:trPr>
          <w:tblHeader/>
        </w:trPr>
        <w:tc>
          <w:tcPr>
            <w:tcW w:type="dxa" w:w="23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Suite</w:t>
            </w:r>
          </w:p>
        </w:tc>
        <w:tc>
          <w:tcPr>
            <w:tcW w:type="dxa" w:w="2200"/>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Tool</w:t>
            </w:r>
          </w:p>
        </w:tc>
        <w:tc>
          <w:tcPr>
            <w:tcW w:type="dxa" w:w="5138"/>
            <w:tcBorders>
              <w:top w:val="single" w:color="D1D5DB" w:sz="4"/>
              <w:left w:val="single" w:color="D1D5DB" w:sz="4"/>
              <w:bottom w:val="single" w:color="D1D5DB" w:sz="4"/>
              <w:right w:val="single" w:color="D1D5DB" w:sz="4"/>
            </w:tcBorders>
            <w:shd w:fill="374151" w:color="auto" w:val="clear"/>
            <w:tcMar>
              <w:top w:type="dxa" w:w="60"/>
              <w:left w:type="dxa" w:w="90"/>
              <w:bottom w:type="dxa" w:w="60"/>
              <w:right w:type="dxa" w:w="90"/>
            </w:tcMar>
            <w:vAlign w:val="center"/>
          </w:tcPr>
          <w:p>
            <w:pPr>
              <w:spacing w:after="0" w:line="252"/>
              <w:jc w:val="left"/>
            </w:pPr>
            <w:r>
              <w:rPr>
                <w:rFonts w:ascii="Calibri" w:cs="Calibri" w:eastAsia="Calibri" w:hAnsi="Calibri"/>
                <w:b/>
                <w:bCs/>
                <w:color w:val="FFFFFF"/>
                <w:sz w:val="19"/>
                <w:szCs w:val="19"/>
              </w:rPr>
              <w:t xml:space="preserve">Coverage hiện tại</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Backend</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Maven / JUnit</w:t>
            </w:r>
          </w:p>
        </w:tc>
        <w:tc>
          <w:tcPr>
            <w:tcW w:type="dxa" w:w="5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Domain transitions, use cases, security filters, consumers, release scheduler.</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Frontend unit</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Vitest + Testing Library</w:t>
            </w:r>
          </w:p>
        </w:tc>
        <w:tc>
          <w:tcPr>
            <w:tcW w:type="dxa" w:w="5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ContractActionsBar và ContractNegotiationHistory.</w:t>
            </w:r>
          </w:p>
        </w:tc>
      </w:tr>
      <w:tr>
        <w:tc>
          <w:tcPr>
            <w:tcW w:type="dxa" w:w="23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Browser E2E</w:t>
            </w:r>
          </w:p>
        </w:tc>
        <w:tc>
          <w:tcPr>
            <w:tcW w:type="dxa" w:w="2200"/>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Playwright</w:t>
            </w:r>
          </w:p>
        </w:tc>
        <w:tc>
          <w:tcPr>
            <w:tcW w:type="dxa" w:w="5138"/>
            <w:tcBorders>
              <w:top w:val="single" w:color="D1D5DB" w:sz="4"/>
              <w:left w:val="single" w:color="D1D5DB" w:sz="4"/>
              <w:bottom w:val="single" w:color="D1D5DB" w:sz="4"/>
              <w:right w:val="single" w:color="D1D5DB" w:sz="4"/>
            </w:tcBorders>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Login, marketplace, offer/sign/deposit, settle, cancel, dispute, arbitrate.</w:t>
            </w:r>
          </w:p>
        </w:tc>
      </w:tr>
      <w:tr>
        <w:tc>
          <w:tcPr>
            <w:tcW w:type="dxa" w:w="23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API E2E</w:t>
            </w:r>
          </w:p>
        </w:tc>
        <w:tc>
          <w:tcPr>
            <w:tcW w:type="dxa" w:w="2200"/>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Bruno</w:t>
            </w:r>
          </w:p>
        </w:tc>
        <w:tc>
          <w:tcPr>
            <w:tcW w:type="dxa" w:w="5138"/>
            <w:tcBorders>
              <w:top w:val="single" w:color="D1D5DB" w:sz="4"/>
              <w:left w:val="single" w:color="D1D5DB" w:sz="4"/>
              <w:bottom w:val="single" w:color="D1D5DB" w:sz="4"/>
              <w:right w:val="single" w:color="D1D5DB" w:sz="4"/>
            </w:tcBorders>
            <w:shd w:fill="F9FAFB" w:color="auto" w:val="clear"/>
            <w:tcMar>
              <w:top w:type="dxa" w:w="60"/>
              <w:left w:type="dxa" w:w="90"/>
              <w:bottom w:type="dxa" w:w="60"/>
              <w:right w:type="dxa" w:w="90"/>
            </w:tcMar>
            <w:vAlign w:val="center"/>
          </w:tcPr>
          <w:p>
            <w:pPr>
              <w:spacing w:after="0" w:line="252"/>
              <w:jc w:val="left"/>
            </w:pPr>
            <w:r>
              <w:rPr>
                <w:rFonts w:ascii="Calibri" w:cs="Calibri" w:eastAsia="Calibri" w:hAnsi="Calibri"/>
                <w:b w:val="false"/>
                <w:bCs w:val="false"/>
                <w:color w:val="111827"/>
                <w:sz w:val="19"/>
                <w:szCs w:val="19"/>
              </w:rPr>
              <w:t xml:space="preserve">Auth bypass, invalid states, idempotency, list filters, penalties và arbitration.</w:t>
            </w:r>
          </w:p>
        </w:tc>
      </w:tr>
    </w:tbl>
    <w:p>
      <w:pPr>
        <w:pBdr>
          <w:top w:val="single" w:color="D1D5DB" w:sz="6" w:space="6"/>
        </w:pBdr>
        <w:spacing w:before="300"/>
      </w:pPr>
      <w:r>
        <w:rPr>
          <w:rFonts w:ascii="Calibri" w:cs="Calibri" w:eastAsia="Calibri" w:hAnsi="Calibri"/>
          <w:i/>
          <w:iCs/>
          <w:color w:val="6B7280"/>
          <w:sz w:val="19"/>
          <w:szCs w:val="19"/>
        </w:rPr>
        <w:t xml:space="preserve">— Hết tài liệu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rFonts w:ascii="Calibri" w:cs="Calibri" w:eastAsia="Calibri" w:hAnsi="Calibri"/>
        <w:color w:val="6B7280"/>
        <w:sz w:val="16"/>
        <w:szCs w:val="16"/>
      </w:rPr>
      <w:t xml:space="preserve">AgriContract v1.3 · Trang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color w:val="6B7280"/>
        <w:sz w:val="16"/>
        <w:szCs w:val="16"/>
      </w:rPr>
      <w:t xml:space="preserve">AgriContract · Phase 1 · SDS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374151"/>
      </w:r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37"/>
      <w:sz w:val="30"/>
      <w:szCs w:val="30"/>
    </w:rPr>
  </w:style>
  <w:style w:type="paragraph" w:styleId="Heading2">
    <w:name w:val="Heading 2"/>
    <w:basedOn w:val="Normal"/>
    <w:next w:val="Normal"/>
    <w:qFormat/>
    <w:pPr>
      <w:outlineLvl w:val="1"/>
    </w:pPr>
    <w:rPr>
      <w:rFonts w:ascii="Calibri" w:cs="Calibri" w:eastAsia="Calibri" w:hAnsi="Calibri"/>
      <w:b/>
      <w:bCs/>
      <w:color w:val="1F2A37"/>
      <w:sz w:val="25"/>
      <w:szCs w:val="25"/>
    </w:rPr>
  </w:style>
  <w:style w:type="paragraph" w:styleId="Heading3">
    <w:name w:val="Heading 3"/>
    <w:basedOn w:val="Normal"/>
    <w:next w:val="Normal"/>
    <w:qFormat/>
    <w:pPr>
      <w:outlineLvl w:val="2"/>
    </w:pPr>
    <w:rPr>
      <w:rFonts w:ascii="Calibri" w:cs="Calibri" w:eastAsia="Calibri" w:hAnsi="Calibri"/>
      <w:b/>
      <w:bCs/>
      <w:color w:val="374151"/>
      <w:sz w:val="22"/>
      <w:szCs w:val="22"/>
    </w:rPr>
  </w:style>
  <w:style w:type="paragraph" w:styleId="Heading4">
    <w:name w:val="Heading 4"/>
    <w:basedOn w:val="Normal"/>
    <w:next w:val="Normal"/>
    <w:qFormat/>
    <w:pPr>
      <w:outlineLvl w:val="3"/>
    </w:pPr>
    <w:rPr>
      <w:rFonts w:ascii="Calibri" w:cs="Calibri" w:eastAsia="Calibri" w:hAnsi="Calibri"/>
      <w:b/>
      <w:bCs/>
      <w:color w:val="374151"/>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AgriContract — Software Design Specification Phase 1</dc:title>
  <dc:creator>AgriContract</dc:creator>
  <cp:lastModifiedBy>Un-named</cp:lastModifiedBy>
  <cp:revision>1</cp:revision>
  <dcterms:created xsi:type="dcterms:W3CDTF">2026-07-16T22:19:52.801Z</dcterms:created>
  <dcterms:modified xsi:type="dcterms:W3CDTF">2026-07-16T22:19:52.801Z</dcterms:modified>
</cp:coreProperties>
</file>

<file path=docProps/custom.xml><?xml version="1.0" encoding="utf-8"?>
<Properties xmlns="http://schemas.openxmlformats.org/officeDocument/2006/custom-properties" xmlns:vt="http://schemas.openxmlformats.org/officeDocument/2006/docPropsVTypes"/>
</file>