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rPr>
          <w:rFonts w:ascii="Calibri" w:cs="Calibri" w:eastAsia="Calibri" w:hAnsi="Calibri"/>
          <w:b/>
          <w:bCs/>
          <w:color w:val="374151"/>
          <w:spacing w:val="60"/>
          <w:sz w:val="26"/>
          <w:szCs w:val="26"/>
        </w:rPr>
        <w:t xml:space="preserve">AGRICONTRACT · PHASE 1</w:t>
      </w:r>
    </w:p>
    <w:p>
      <w:pPr>
        <w:pBdr>
          <w:bottom w:val="single" w:color="1F2A37" w:sz="8" w:space="8"/>
        </w:pBdr>
        <w:spacing w:after="60" w:before="120"/>
      </w:pPr>
      <w:r>
        <w:rPr>
          <w:rFonts w:ascii="Calibri" w:cs="Calibri" w:eastAsia="Calibri" w:hAnsi="Calibri"/>
          <w:b/>
          <w:bCs/>
          <w:color w:val="1F2A37"/>
          <w:sz w:val="44"/>
          <w:szCs w:val="44"/>
        </w:rPr>
        <w:t xml:space="preserve">Technical Specification</w:t>
      </w:r>
    </w:p>
    <w:p>
      <w:pPr>
        <w:spacing w:after="40" w:before="120"/>
      </w:pPr>
      <w:r>
        <w:rPr>
          <w:rFonts w:ascii="Calibri" w:cs="Calibri" w:eastAsia="Calibri" w:hAnsi="Calibri"/>
          <w:i/>
          <w:iCs/>
          <w:color w:val="374151"/>
          <w:sz w:val="23"/>
          <w:szCs w:val="23"/>
        </w:rPr>
        <w:t xml:space="preserve">Stack · REST API · Database · Events · Configuration · Tests</w:t>
      </w:r>
    </w:p>
    <w:p>
      <w:pPr>
        <w:spacing w:before="24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Phase 1 MVP · v1.3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Baseline code: main · cập nhật 17/07/2026</w:t>
      </w:r>
    </w:p>
    <w:p>
      <w:pPr>
        <w:spacing w:after="0" w:before="360"/>
      </w:pPr>
      <w:r>
        <w:br w:type="page"/>
      </w:r>
    </w:p>
    <w:p>
      <w:pPr>
        <w:spacing w:after="180"/>
      </w:pPr>
      <w:r>
        <w:rPr>
          <w:rFonts w:ascii="Calibri" w:cs="Calibri" w:eastAsia="Calibri" w:hAnsi="Calibri"/>
          <w:b/>
          <w:bCs/>
          <w:color w:val="1F2A37"/>
          <w:sz w:val="30"/>
          <w:szCs w:val="30"/>
        </w:rPr>
        <w:t xml:space="preserve">Mục lục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8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Nội dung</w:t>
            </w:r>
          </w:p>
        </w:tc>
      </w:tr>
      <w:t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1</w:t>
            </w:r>
          </w:p>
        </w:tc>
        <w:tc>
          <w:tcPr>
            <w:tcW w:type="dxa" w:w="8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Technology baseline</w:t>
            </w:r>
          </w:p>
        </w:tc>
      </w:tr>
      <w:t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2</w:t>
            </w:r>
          </w:p>
        </w:tc>
        <w:tc>
          <w:tcPr>
            <w:tcW w:type="dxa" w:w="8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REST API</w:t>
            </w:r>
          </w:p>
        </w:tc>
      </w:tr>
      <w:t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3</w:t>
            </w:r>
          </w:p>
        </w:tc>
        <w:tc>
          <w:tcPr>
            <w:tcW w:type="dxa" w:w="8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Core DTO và value objects</w:t>
            </w:r>
          </w:p>
        </w:tc>
      </w:tr>
      <w:t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4</w:t>
            </w:r>
          </w:p>
        </w:tc>
        <w:tc>
          <w:tcPr>
            <w:tcW w:type="dxa" w:w="8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Database specification</w:t>
            </w:r>
          </w:p>
        </w:tc>
      </w:tr>
      <w:t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5</w:t>
            </w:r>
          </w:p>
        </w:tc>
        <w:tc>
          <w:tcPr>
            <w:tcW w:type="dxa" w:w="8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Event catalog</w:t>
            </w:r>
          </w:p>
        </w:tc>
      </w:tr>
      <w:t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6</w:t>
            </w:r>
          </w:p>
        </w:tc>
        <w:tc>
          <w:tcPr>
            <w:tcW w:type="dxa" w:w="8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Runtime configuration</w:t>
            </w:r>
          </w:p>
        </w:tc>
      </w:tr>
      <w:t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7</w:t>
            </w:r>
          </w:p>
        </w:tc>
        <w:tc>
          <w:tcPr>
            <w:tcW w:type="dxa" w:w="8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Build và verification commands</w:t>
            </w:r>
          </w:p>
        </w:tc>
      </w:tr>
    </w:tbl>
    <w:p>
      <w:pPr>
        <w:spacing w:before="240"/>
      </w:pPr>
      <w:r>
        <w:br w:type="page"/>
      </w:r>
    </w:p>
    <w:p>
      <w:pPr>
        <w:pBdr>
          <w:top w:val="single" w:color="D1D5DB" w:sz="2" w:space="6"/>
          <w:bottom w:val="single" w:color="D1D5DB" w:sz="2" w:space="6"/>
          <w:left w:val="single" w:color="374151" w:sz="12" w:space="10"/>
          <w:right w:val="single" w:color="D1D5DB" w:sz="2" w:space="6"/>
        </w:pBdr>
        <w:shd w:fill="F3F4F6" w:color="auto" w:val="clear"/>
        <w:spacing w:after="140" w:before="120" w:line="264"/>
        <w:ind w:left="60" w:right="60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TRẠNG THÁI TÀI LIỆU —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Tài liệu này mô tả implementation đang có trên main. Nội dung tại đây thay thế các giả định Phase 1 cũ nếu có mâu thuẫn về API, state machine, database, event hoặc cách chạy hệ thống.</w:t>
      </w:r>
    </w:p>
    <w:p>
      <w:pPr>
        <w:pStyle w:val="Heading1"/>
        <w:pBdr>
          <w:bottom w:val="single" w:color="D1D5DB" w:sz="6" w:space="6"/>
        </w:pBdr>
        <w:spacing w:after="120" w:before="320"/>
      </w:pPr>
      <w:r>
        <w:rPr>
          <w:rFonts w:ascii="Calibri" w:cs="Calibri" w:eastAsia="Calibri" w:hAnsi="Calibri"/>
          <w:b/>
          <w:bCs/>
          <w:color w:val="1F2A37"/>
          <w:sz w:val="30"/>
          <w:szCs w:val="30"/>
        </w:rPr>
        <w:t xml:space="preserve">1. Technology baseline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500"/>
        <w:gridCol w:w="3200"/>
        <w:gridCol w:w="3938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 / usage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Backend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Java, Spring Boot, Spring Cloud</w:t>
            </w:r>
          </w:p>
        </w:tc>
        <w:tc>
          <w:tcPr>
            <w:tcW w:type="dxa" w:w="3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Java 21; Boot 3.3.5; Cloud 2023.0.3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Persistence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JPA, Flyway, MySQL</w:t>
            </w:r>
          </w:p>
        </w:tc>
        <w:tc>
          <w:tcPr>
            <w:tcW w:type="dxa" w:w="3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Database per service; MySQL 8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Messaging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Spring AMQP, RabbitMQ</w:t>
            </w:r>
          </w:p>
        </w:tc>
        <w:tc>
          <w:tcPr>
            <w:tcW w:type="dxa" w:w="3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RabbitMQ 3.13; Topic exchanges; DLQ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IAM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Keycloak</w:t>
            </w:r>
          </w:p>
        </w:tc>
        <w:tc>
          <w:tcPr>
            <w:tcW w:type="dxa" w:w="3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24.0.4; realm agricontract; PKCE S256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Frontend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React, TypeScript, Vite</w:t>
            </w:r>
          </w:p>
        </w:tc>
        <w:tc>
          <w:tcPr>
            <w:tcW w:type="dxa" w:w="3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React 19; TypeScript 6; Vite 8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Frontend state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TanStack Query, Zustand</w:t>
            </w:r>
          </w:p>
        </w:tc>
        <w:tc>
          <w:tcPr>
            <w:tcW w:type="dxa" w:w="3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Server state và auth/client interaction state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Testing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JUnit, Vitest, Playwright, Bruno</w:t>
            </w:r>
          </w:p>
        </w:tc>
        <w:tc>
          <w:tcPr>
            <w:tcW w:type="dxa" w:w="3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Unit, component, browser và API E2E</w:t>
            </w:r>
          </w:p>
        </w:tc>
      </w:tr>
    </w:tbl>
    <w:p>
      <w:pPr>
        <w:pStyle w:val="Heading1"/>
        <w:pBdr>
          <w:bottom w:val="single" w:color="D1D5DB" w:sz="6" w:space="6"/>
        </w:pBdr>
        <w:spacing w:after="120" w:before="320"/>
      </w:pPr>
      <w:r>
        <w:rPr>
          <w:rFonts w:ascii="Calibri" w:cs="Calibri" w:eastAsia="Calibri" w:hAnsi="Calibri"/>
          <w:b/>
          <w:bCs/>
          <w:color w:val="1F2A37"/>
          <w:sz w:val="30"/>
          <w:szCs w:val="30"/>
        </w:rPr>
        <w:t xml:space="preserve">2. REST API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2A37"/>
          <w:sz w:val="25"/>
          <w:szCs w:val="25"/>
        </w:rPr>
        <w:t xml:space="preserve">2.1 User endpoints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0"/>
        <w:gridCol w:w="3300"/>
        <w:gridCol w:w="5338"/>
      </w:tblGrid>
      <w:tr>
        <w:trPr>
          <w:tblHeader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5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/api/v1/users/register</w:t>
            </w:r>
          </w:p>
        </w:tc>
        <w:tc>
          <w:tcPr>
            <w:tcW w:type="dxa" w:w="5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Body organizationName, phone, address; identity từ gateway headers; 201 mới / 200 existing.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/api/v1/users/me</w:t>
            </w:r>
          </w:p>
        </w:tc>
        <w:tc>
          <w:tcPr>
            <w:tcW w:type="dxa" w:w="5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Profile của principal hiện tại.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/api/v1/users/{userId}</w:t>
            </w:r>
          </w:p>
        </w:tc>
        <w:tc>
          <w:tcPr>
            <w:tcW w:type="dxa" w:w="5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UserInfo snapshot cho contract-service.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2A37"/>
          <w:sz w:val="25"/>
          <w:szCs w:val="25"/>
        </w:rPr>
        <w:t xml:space="preserve">2.2 Product endpoints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0"/>
        <w:gridCol w:w="3500"/>
        <w:gridCol w:w="5138"/>
      </w:tblGrid>
      <w:tr>
        <w:trPr>
          <w:tblHeader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Access / contract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/api/v1/products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Public; pagination page/size/sortBy/sortDirection.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/api/v1/products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SELLER; categoryId APPROVED; 1–5 imageUrls.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/api/v1/products/{id}/images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SELLER; replace 1–5 imageUrls.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/api/v1/listings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Public; ACTIVE listings; pagination.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/api/v1/listings/{id}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Public listing detail.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/api/v1/listings/seller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SELLER; own listings.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/api/v1/listings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SELLER; productId, quantity/unit, floor price/currency, deadline.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/api/v1/listings/{id}/close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Internal secret; idempotent close.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/api/v1/categories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SELLER/BUYER; direct product-service in current local setup.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/api/v1/categories/{id}/approve|reject</w:t>
            </w:r>
          </w:p>
        </w:tc>
        <w:tc>
          <w:tcPr>
            <w:tcW w:type="dxa" w:w="5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ADMIN; direct product-service in current local setup.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2A37"/>
          <w:sz w:val="25"/>
          <w:szCs w:val="25"/>
        </w:rPr>
        <w:t xml:space="preserve">2.3 Contract endpoints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0"/>
        <w:gridCol w:w="3800"/>
        <w:gridCol w:w="4838"/>
      </w:tblGrid>
      <w:tr>
        <w:trPr>
          <w:tblHeader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/api/v1/contracts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Create offer; optional contractId idempotency key.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/api/v1/contracts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role BUYER(default)/SELLER; optional status; pagination.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/api/v1/contracts/{id}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Participant hoặc ADMIN.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/api/v1/contracts/{id}/negotiations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Ordered terms revision history.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/api/v1/contracts/{id}/negotiate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Body newTerms; revision++ và reset signatures.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/api/v1/contracts/{id}/sign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Principal ký revision hiện tại.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/api/v1/contracts/{id}/cancel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Body reason; chỉ ACTIVE.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/api/v1/contracts/{id}/confirm-delivery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Chỉ Buyer; ACTIVE → DELIVERED.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/api/v1/contracts/{id}/dispute</w:t>
            </w:r>
          </w:p>
        </w:tc>
        <w:tc>
          <w:tcPr>
            <w:tcW w:type="dxa" w:w="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Body reason; Buyer; chỉ DELIVERED.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2A37"/>
          <w:sz w:val="25"/>
          <w:szCs w:val="25"/>
        </w:rPr>
        <w:t xml:space="preserve">2.4 Escrow endpoints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0"/>
        <w:gridCol w:w="3900"/>
        <w:gridCol w:w="4738"/>
      </w:tblGrid>
      <w:tr>
        <w:trPr>
          <w:tblHeader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/api/v1/escrows/contract/{contractId}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Participant/Admin; account status.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/api/v1/escrows/{escrowId}/transactions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Participant/Admin; append-only ledger.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/api/v1/escrows/{contractId}/confirm-deposit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SELLER; BUYER_LOCKED → FULLY_LOCKED.</w:t>
            </w:r>
          </w:p>
        </w:tc>
      </w:tr>
      <w:t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PUT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/api/v1/escrows/{contractId}/arbitrate</w:t>
            </w:r>
          </w:p>
        </w:tc>
        <w:tc>
          <w:tcPr>
            <w:tcW w:type="dxa" w:w="4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ADMIN; buyerAmount, sellerAmount, justification.</w:t>
            </w:r>
          </w:p>
        </w:tc>
      </w:tr>
    </w:tbl>
    <w:p>
      <w:pPr>
        <w:pStyle w:val="Heading1"/>
        <w:pBdr>
          <w:bottom w:val="single" w:color="D1D5DB" w:sz="6" w:space="6"/>
        </w:pBdr>
        <w:spacing w:after="120" w:before="320"/>
      </w:pPr>
      <w:r>
        <w:rPr>
          <w:rFonts w:ascii="Calibri" w:cs="Calibri" w:eastAsia="Calibri" w:hAnsi="Calibri"/>
          <w:b/>
          <w:bCs/>
          <w:color w:val="1F2A37"/>
          <w:sz w:val="30"/>
          <w:szCs w:val="30"/>
        </w:rPr>
        <w:t xml:space="preserve">3. Core DTO và value objects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Fields chính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ApiResponse&lt;T&gt;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success, data, error, timestamp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ContractTerms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quantity(value/unit), agreedPrice(amount/currency), deliveryDeadline, buyerPenaltyRate, sellerDepositRate, qualitySpec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ContractResponse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contract/listing/buyer/seller snapshots, terms, status, cancel fields, termsRevision, signatories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NegotiationHistoryResponse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contractId, termsRevision, proposedBy, proposedAt, terms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ProductResponse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productId, name, unit, categoryId, images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ListingResponse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IDs, productName, coverImageUrl, quantity, floor price, deadline, status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EscrowAccountResponse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escrowId, contract/party IDs, amount/deposit/rate, status, releaseEligibleAt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EscrowTransactionResponse</w:t>
            </w:r>
          </w:p>
        </w:tc>
        <w:tc>
          <w:tcPr>
            <w:tcW w:type="dxa" w:w="7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transactionId, escrowId, type, amount/currency, note, createdAt</w:t>
            </w:r>
          </w:p>
        </w:tc>
      </w:tr>
    </w:tbl>
    <w:p>
      <w:pPr>
        <w:pStyle w:val="Heading1"/>
        <w:pBdr>
          <w:bottom w:val="single" w:color="D1D5DB" w:sz="6" w:space="6"/>
        </w:pBdr>
        <w:spacing w:after="120" w:before="320"/>
      </w:pPr>
      <w:r>
        <w:rPr>
          <w:rFonts w:ascii="Calibri" w:cs="Calibri" w:eastAsia="Calibri" w:hAnsi="Calibri"/>
          <w:b/>
          <w:bCs/>
          <w:color w:val="1F2A37"/>
          <w:sz w:val="30"/>
          <w:szCs w:val="30"/>
        </w:rPr>
        <w:t xml:space="preserve">4. Database specification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2A37"/>
          <w:sz w:val="25"/>
          <w:szCs w:val="25"/>
        </w:rPr>
        <w:t xml:space="preserve">4.1 product_db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Columns / constraints chính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categories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category_id unique; normalized_name unique; status; reason; proposer identity/email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products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product_id unique; name; unit; category_id; images JSON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listings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listing_id unique; seller/product refs; product_name + cover_image_url snapshots; quantity; price; deadline; status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product_domain_events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event_id unique; type; aggregate; JSON payload; PENDING/PUBLISHED; timestamps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2A37"/>
          <w:sz w:val="25"/>
          <w:szCs w:val="25"/>
        </w:rPr>
        <w:t xml:space="preserve">4.2 contract_db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Columns / constraints chính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contract_id unique; snapshots; terms; status; cancel fields; signatories; terms_revision; optimistic version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contract_negotiations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FK contract_id; unique (contract_id, terms_revision); proposer/time; full terms snapshot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contract_domain_events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event_id unique; type; aggregate; JSON payload; PENDING/PUBLISHED; timestamps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2A37"/>
          <w:sz w:val="25"/>
          <w:szCs w:val="25"/>
        </w:rPr>
        <w:t xml:space="preserve">4.3 escrow_db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Columns / constraints chính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escrow_accounts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escrow_id + contract_id unique; party IDs/emails; total/deposit/rate; status; release_eligible_at; optimistic version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escrow_transactions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transaction_id unique; account FK; type; amount/currency; note; created_at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escrow_domain_events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event_id unique; type; aggregate; JSON payload; PENDING/PUBLISHED; timestamps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F2A37"/>
          <w:sz w:val="25"/>
          <w:szCs w:val="25"/>
        </w:rPr>
        <w:t xml:space="preserve">4.4 user_db và notification_db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Columns / constraints chính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user_profiles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user_id unique; organization; role; email/phone/address; verification_status</w:t>
            </w:r>
          </w:p>
        </w:tc>
      </w:tr>
      <w:t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notification_logs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notification_id unique; unique (event_id, user_id); channel; subject/body; status; retry_count</w:t>
            </w:r>
          </w:p>
        </w:tc>
      </w:tr>
    </w:tbl>
    <w:p>
      <w:pPr>
        <w:pStyle w:val="Heading1"/>
        <w:pBdr>
          <w:bottom w:val="single" w:color="D1D5DB" w:sz="6" w:space="6"/>
        </w:pBdr>
        <w:spacing w:after="120" w:before="320"/>
      </w:pPr>
      <w:r>
        <w:rPr>
          <w:rFonts w:ascii="Calibri" w:cs="Calibri" w:eastAsia="Calibri" w:hAnsi="Calibri"/>
          <w:b/>
          <w:bCs/>
          <w:color w:val="1F2A37"/>
          <w:sz w:val="30"/>
          <w:szCs w:val="30"/>
        </w:rPr>
        <w:t xml:space="preserve">5. Event catalog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350"/>
        <w:gridCol w:w="2300"/>
        <w:gridCol w:w="2500"/>
        <w:gridCol w:w="2488"/>
      </w:tblGrid>
      <w:tr>
        <w:trPr>
          <w:tblHeader/>
        </w:trP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Consumer Phase 1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Payload quan trọng</w:t>
            </w:r>
          </w:p>
        </w:tc>
      </w:tr>
      <w:t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category.approved/rejected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product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notification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categoryId, name, proposer email, rejectionReason</w:t>
            </w:r>
          </w:p>
        </w:tc>
      </w:tr>
      <w:t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contract.signed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escrow, notification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contract/party IDs + emails, listingId, terms</w:t>
            </w:r>
          </w:p>
        </w:tc>
      </w:tr>
      <w:t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contract.delivered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escrow, notification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contractId, emails, confirmedBy</w:t>
            </w:r>
          </w:p>
        </w:tc>
      </w:tr>
      <w:t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contract.cancelled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escrow, notification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cancelledBy, reason, buyerPenaltyRate</w:t>
            </w:r>
          </w:p>
        </w:tc>
      </w:tr>
      <w:t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contract.disputed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escrow, notification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disputedBy, reason</w:t>
            </w:r>
          </w:p>
        </w:tc>
      </w:tr>
      <w:t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escrow.locked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contract, notification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escrowId, contractId, emails</w:t>
            </w:r>
          </w:p>
        </w:tc>
      </w:tr>
      <w:t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escrow.released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contract, notification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escrowId, contractId, emails</w:t>
            </w:r>
          </w:p>
        </w:tc>
      </w:tr>
      <w:t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escrow.penalized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notification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penalizedParty, amount</w:t>
            </w:r>
          </w:p>
        </w:tc>
      </w:tr>
      <w:tr>
        <w:tc>
          <w:tcPr>
            <w:tcW w:type="dxa" w:w="23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escrow.arbitrated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escrow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contract, notification</w:t>
            </w:r>
          </w:p>
        </w:tc>
        <w:tc>
          <w:tcPr>
            <w:tcW w:type="dxa" w:w="24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buyerAmount, sellerAmount, justification</w:t>
            </w:r>
          </w:p>
        </w:tc>
      </w:tr>
    </w:tbl>
    <w:p>
      <w:pPr>
        <w:spacing w:after="12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Mọi DomainEvent có eventId và occurredAt. Các lifecycle events khác vẫn được publish cho khả năng mở rộng nhưng không nhất thiết có consumer Phase 1.</w:t>
      </w:r>
    </w:p>
    <w:p>
      <w:pPr>
        <w:pStyle w:val="Heading1"/>
        <w:pBdr>
          <w:bottom w:val="single" w:color="D1D5DB" w:sz="6" w:space="6"/>
        </w:pBdr>
        <w:spacing w:after="120" w:before="320"/>
      </w:pPr>
      <w:r>
        <w:rPr>
          <w:rFonts w:ascii="Calibri" w:cs="Calibri" w:eastAsia="Calibri" w:hAnsi="Calibri"/>
          <w:b/>
          <w:bCs/>
          <w:color w:val="1F2A37"/>
          <w:sz w:val="30"/>
          <w:szCs w:val="30"/>
        </w:rPr>
        <w:t xml:space="preserve">6. Runtime configuration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300"/>
        <w:gridCol w:w="2100"/>
        <w:gridCol w:w="4238"/>
      </w:tblGrid>
      <w:tr>
        <w:trPr>
          <w:tblHeader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Default local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37415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Mục đích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GATEWAY_INTERNAL_SECRET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required in .env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Gateway → downstream trust.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SERVICE_INTERNAL_SECRET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required in .env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Feign service-to-service trust.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KEYCLOAK_JWK_URI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keycloak realm JWKS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Gateway validation.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DELIVERY_DISPUTE_WINDOW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PT30S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Khoảng chờ trước release.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DELIVERY_RELEASE_POLL_INTERVAL_MS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1000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Release scheduler interval.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VITE_API_BASE_URL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http://localhost:8080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Frontend gateway target.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VITE_KEYCLOAK_URL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http://localhost:8180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Frontend identity provider.</w:t>
            </w:r>
          </w:p>
        </w:tc>
      </w:tr>
      <w:t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VITE_USE_MOCKS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false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9"/>
                <w:szCs w:val="19"/>
              </w:rPr>
              <w:t xml:space="preserve">Switch API adapters sang mock data.</w:t>
            </w:r>
          </w:p>
        </w:tc>
      </w:tr>
    </w:tbl>
    <w:p>
      <w:pPr>
        <w:pStyle w:val="Heading1"/>
        <w:pBdr>
          <w:bottom w:val="single" w:color="D1D5DB" w:sz="6" w:space="6"/>
        </w:pBdr>
        <w:spacing w:after="120" w:before="320"/>
      </w:pPr>
      <w:r>
        <w:rPr>
          <w:rFonts w:ascii="Calibri" w:cs="Calibri" w:eastAsia="Calibri" w:hAnsi="Calibri"/>
          <w:b/>
          <w:bCs/>
          <w:color w:val="1F2A37"/>
          <w:sz w:val="30"/>
          <w:szCs w:val="30"/>
        </w:rPr>
        <w:t xml:space="preserve">7. Build và verification commands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Backend: mvn test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Frontend: npm test; npm run lint; npm run build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Browser E2E: npm run test:e2e với backend, Keycloak realm và frontend đang chạy.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Bruno contract E2E: bật backend/docker-compose.override.yml rồi chạy ./scripts/run-e2e.sh.</w:t>
      </w:r>
    </w:p>
    <w:p>
      <w:pPr>
        <w:pBdr>
          <w:top w:val="single" w:color="D1D5DB" w:sz="2" w:space="6"/>
          <w:bottom w:val="single" w:color="D1D5DB" w:sz="2" w:space="6"/>
          <w:left w:val="single" w:color="B45454" w:sz="12" w:space="10"/>
          <w:right w:val="single" w:color="D1D5DB" w:sz="2" w:space="6"/>
        </w:pBdr>
        <w:shd w:fill="FDF2F2" w:color="auto" w:val="clear"/>
        <w:spacing w:after="140" w:before="120" w:line="264"/>
        <w:ind w:left="60" w:right="60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KNOWN BOUNDARIES — </w:t>
      </w:r>
      <w:r>
        <w:rPr>
          <w:rFonts w:ascii="Calibri" w:cs="Calibri" w:eastAsia="Calibri" w:hAnsi="Calibri"/>
          <w:color w:val="374151"/>
          <w:sz w:val="20"/>
          <w:szCs w:val="20"/>
        </w:rPr>
        <w:t xml:space="preserve">Frontend chưa có Docker service; category routes chưa qua gateway mặc định; Swagger downstream không được proxy; filter marketplace chủ yếu client-side; escrow chỉ là mock.</w:t>
      </w:r>
    </w:p>
    <w:p>
      <w:pPr>
        <w:pBdr>
          <w:top w:val="single" w:color="D1D5DB" w:sz="6" w:space="6"/>
        </w:pBdr>
        <w:spacing w:before="30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— Hết tài liệu —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AgriContract v1.3 · Trang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/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AgriContract · Phase 1 · Technical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37415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2A37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A37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374151"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Calibri" w:cs="Calibri" w:eastAsia="Calibri" w:hAnsi="Calibri"/>
      <w:b/>
      <w:bCs/>
      <w:color w:val="37415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AgriContract — Technical Specification Phase 1</dc:title>
  <dc:creator>AgriContract</dc:creator>
  <cp:lastModifiedBy>Un-named</cp:lastModifiedBy>
  <cp:revision>1</cp:revision>
  <dcterms:created xsi:type="dcterms:W3CDTF">2026-07-16T22:19:52.835Z</dcterms:created>
  <dcterms:modified xsi:type="dcterms:W3CDTF">2026-07-16T22:19:52.835Z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