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0"/>
        <w:rPr/>
      </w:pPr>
      <w:r>
        <w:rPr>
          <w:rFonts w:eastAsia="Calibri" w:cs="Calibri"/>
          <w:b/>
          <w:bCs/>
          <w:color w:val="374151"/>
          <w:spacing w:val="60"/>
          <w:sz w:val="26"/>
          <w:szCs w:val="26"/>
        </w:rPr>
        <w:t>AGRICONTRACT</w:t>
      </w:r>
    </w:p>
    <w:p>
      <w:pPr>
        <w:pStyle w:val="Normal"/>
        <w:pBdr>
          <w:bottom w:val="single" w:sz="8" w:space="8" w:color="1F2A37"/>
        </w:pBdr>
        <w:spacing w:before="120" w:after="60"/>
        <w:rPr/>
      </w:pPr>
      <w:r>
        <w:rPr>
          <w:rFonts w:eastAsia="Calibri" w:cs="Calibri"/>
          <w:b/>
          <w:bCs/>
          <w:color w:val="1F2A37"/>
          <w:sz w:val="44"/>
          <w:szCs w:val="44"/>
        </w:rPr>
        <w:t>Kiến trúc hệ thống Phase 2</w:t>
      </w:r>
    </w:p>
    <w:p>
      <w:pPr>
        <w:pStyle w:val="Normal"/>
        <w:spacing w:before="120" w:after="40"/>
        <w:rPr/>
      </w:pPr>
      <w:r>
        <w:rPr>
          <w:rFonts w:eastAsia="Calibri" w:cs="Calibri"/>
          <w:i/>
          <w:iCs/>
          <w:color w:val="374151"/>
          <w:sz w:val="23"/>
          <w:szCs w:val="23"/>
        </w:rPr>
        <w:t>Boundary, ownership, interaction, trust model, state choreography và quality attributes</w:t>
      </w:r>
    </w:p>
    <w:p>
      <w:pPr>
        <w:pStyle w:val="Normal"/>
        <w:spacing w:before="240" w:after="0"/>
        <w:rPr/>
      </w:pPr>
      <w:r>
        <w:rPr>
          <w:rFonts w:eastAsia="Calibri" w:cs="Calibri"/>
          <w:color w:val="6B7280"/>
          <w:sz w:val="20"/>
          <w:szCs w:val="20"/>
        </w:rPr>
        <w:t>Tài liệu kiến trúc đồ án</w:t>
      </w:r>
    </w:p>
    <w:p>
      <w:pPr>
        <w:pStyle w:val="Normal"/>
        <w:spacing w:before="0" w:after="0"/>
        <w:rPr/>
      </w:pPr>
      <w:r>
        <w:rPr>
          <w:rFonts w:eastAsia="Calibri" w:cs="Calibri"/>
          <w:color w:val="6B7280"/>
          <w:sz w:val="20"/>
          <w:szCs w:val="20"/>
        </w:rPr>
        <w:t>Phiên bản final · Tháng 7/2026</w:t>
      </w:r>
    </w:p>
    <w:p>
      <w:pPr>
        <w:pStyle w:val="Normal"/>
        <w:spacing w:before="36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2A37"/>
          <w:sz w:val="28"/>
          <w:szCs w:val="28"/>
        </w:rPr>
        <w:t>Mục lục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2289_AgriContract">
            <w:r>
              <w:rPr>
                <w:rStyle w:val="IndexLink"/>
              </w:rPr>
              <w:t>Tóm tắt điều hành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91_AgriContract">
            <w:r>
              <w:rPr>
                <w:rStyle w:val="IndexLink"/>
              </w:rPr>
              <w:t>1. Context, phạm vi và nguyên tắc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93_AgriContract">
            <w:r>
              <w:rPr>
                <w:rStyle w:val="IndexLink"/>
              </w:rPr>
              <w:t>1.1 Context hệ thống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95_AgriContract">
            <w:r>
              <w:rPr>
                <w:rStyle w:val="IndexLink"/>
              </w:rPr>
              <w:t>1.2 Nguyên tắc kiến trúc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97_AgriContract">
            <w:r>
              <w:rPr>
                <w:rStyle w:val="IndexLink"/>
              </w:rPr>
              <w:t>2. Phân rã lớp và trust boundary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99_AgriContract">
            <w:r>
              <w:rPr>
                <w:rStyle w:val="IndexLink"/>
              </w:rPr>
              <w:t>3. Service ownership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1_AgriContract">
            <w:r>
              <w:rPr>
                <w:rStyle w:val="IndexLink"/>
              </w:rPr>
              <w:t>3.1 Ownership của decision và lifecycle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3_AgriContract">
            <w:r>
              <w:rPr>
                <w:rStyle w:val="IndexLink"/>
              </w:rPr>
              <w:t>3.2 Ownership của signature và evidence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05_AgriContract">
            <w:r>
              <w:rPr>
                <w:rStyle w:val="IndexLink"/>
              </w:rPr>
              <w:t>4. Integration model và consistency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7_AgriContract">
            <w:r>
              <w:rPr>
                <w:rStyle w:val="IndexLink"/>
              </w:rPr>
              <w:t>4.1 Đồng bộ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9_AgriContract">
            <w:r>
              <w:rPr>
                <w:rStyle w:val="IndexLink"/>
              </w:rPr>
              <w:t>4.2 Bất đồng bộ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11_AgriContract">
            <w:r>
              <w:rPr>
                <w:rStyle w:val="IndexLink"/>
              </w:rPr>
              <w:t>4.3 Idempotency theo boundary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13_AgriContract">
            <w:r>
              <w:rPr>
                <w:rStyle w:val="IndexLink"/>
              </w:rPr>
              <w:t>4.4 Completion reconciler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15_AgriContract">
            <w:r>
              <w:rPr>
                <w:rStyle w:val="IndexLink"/>
              </w:rPr>
              <w:t>5. Event và command architecture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17_AgriContract">
            <w:r>
              <w:rPr>
                <w:rStyle w:val="IndexLink"/>
              </w:rPr>
              <w:t>5.1 Canonical consequence boundary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19_AgriContract">
            <w:r>
              <w:rPr>
                <w:rStyle w:val="IndexLink"/>
              </w:rPr>
              <w:t>5.2 Domain/bank event catalog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21_AgriContract">
            <w:r>
              <w:rPr>
                <w:rStyle w:val="IndexLink"/>
              </w:rPr>
              <w:t>5.3 Notification command catalog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23_AgriContract">
            <w:r>
              <w:rPr>
                <w:rStyle w:val="IndexLink"/>
              </w:rPr>
              <w:t>6. Data architecture và invariant storage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25_AgriContract">
            <w:r>
              <w:rPr>
                <w:rStyle w:val="IndexLink"/>
              </w:rPr>
              <w:t>6.1 Database-per-service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27_AgriContract">
            <w:r>
              <w:rPr>
                <w:rStyle w:val="IndexLink"/>
              </w:rPr>
              <w:t>6.2 Core persistence constraints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29_AgriContract">
            <w:r>
              <w:rPr>
                <w:rStyle w:val="IndexLink"/>
              </w:rPr>
              <w:t>7. State machines và choreography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1_AgriContract">
            <w:r>
              <w:rPr>
                <w:rStyle w:val="IndexLink"/>
              </w:rPr>
              <w:t>7.1 Contract lifecycle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3_AgriContract">
            <w:r>
              <w:rPr>
                <w:rStyle w:val="IndexLink"/>
              </w:rPr>
              <w:t>7.2 Attribution/remedy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5_AgriContract">
            <w:r>
              <w:rPr>
                <w:rStyle w:val="IndexLink"/>
              </w:rPr>
              <w:t>7.3 Milestone/funding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7_AgriContract">
            <w:r>
              <w:rPr>
                <w:rStyle w:val="IndexLink"/>
              </w:rPr>
              <w:t>7.4 Mutual replacement saga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39_AgriContract">
            <w:r>
              <w:rPr>
                <w:rStyle w:val="IndexLink"/>
              </w:rPr>
              <w:t>8. Security, governance và evidence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41_AgriContract">
            <w:r>
              <w:rPr>
                <w:rStyle w:val="IndexLink"/>
              </w:rPr>
              <w:t>8.1 Authentication/authorization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43_AgriContract">
            <w:r>
              <w:rPr>
                <w:rStyle w:val="IndexLink"/>
              </w:rPr>
              <w:t>8.2 External Verifier emergency control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45_AgriContract">
            <w:r>
              <w:rPr>
                <w:rStyle w:val="IndexLink"/>
              </w:rPr>
              <w:t>8.3 Evidence scope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47_AgriContract">
            <w:r>
              <w:rPr>
                <w:rStyle w:val="IndexLink"/>
              </w:rPr>
              <w:t>8.4 Retention/DR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49_AgriContract">
            <w:r>
              <w:rPr>
                <w:rStyle w:val="IndexLink"/>
              </w:rPr>
              <w:t>9. Deployment và quality attributes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51_AgriContract">
            <w:r>
              <w:rPr>
                <w:rStyle w:val="IndexLink"/>
              </w:rPr>
              <w:t>10. API surface overview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53_AgriContract">
            <w:r>
              <w:rPr>
                <w:rStyle w:val="IndexLink"/>
              </w:rPr>
              <w:t>11. Known limitations và Future Work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55_AgriContract">
            <w:r>
              <w:rPr>
                <w:rStyle w:val="IndexLink"/>
              </w:rPr>
              <w:t>12. Source-of-truth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spacing w:before="240" w:after="0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D1D5DB"/>
        </w:pBdr>
        <w:spacing w:before="0" w:after="120"/>
        <w:rPr/>
      </w:pPr>
      <w:bookmarkStart w:id="0" w:name="__RefHeading___Toc2289_AgriContract"/>
      <w:bookmarkEnd w:id="0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Tóm tắt điều hành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Kiến trúc mục tiêu gồm </w:t>
      </w:r>
      <w:r>
        <w:rPr>
          <w:rFonts w:eastAsia="Calibri" w:cs="Calibri"/>
          <w:b/>
          <w:bCs/>
          <w:i w:val="false"/>
          <w:iCs w:val="false"/>
          <w:color w:val="111827"/>
          <w:sz w:val="21"/>
          <w:szCs w:val="21"/>
        </w:rPr>
        <w:t>12 business services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và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api-gateway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ở lớp biên. Signature/OTP thuộc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hash chain/anchor thuộc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audit-service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gateway không được tính như business service. Hệ thống dùng database-per-service, transactional outbox và at-least-once messaging, nhưng đặt guard mạnh hơn trên đường tiền: bank ledger là nguồn sự thật duy nhất, mỗi money leg có idempotency key riêng, và lifecycle terminal chỉ được commit sau ledger reconciliation + zero remaining lock.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Ranh giới quan trọng nhất là </w:t>
      </w:r>
      <w:r>
        <w:rPr>
          <w:rFonts w:eastAsia="Calibri" w:cs="Calibri"/>
          <w:b/>
          <w:bCs/>
          <w:i w:val="false"/>
          <w:iCs w:val="false"/>
          <w:color w:val="111827"/>
          <w:sz w:val="21"/>
          <w:szCs w:val="21"/>
        </w:rPr>
        <w:t>decision trước consequence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requestedBy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allegation và final attribution được tách.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remedy.finalized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là event canonical duy nhất kích hoạt money consequences và negative reputation.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contract.settled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/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contract.terminated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chỉ phản ánh lifecycle/audit/analytics; bank và reputation không được consume chúng để release/seize/lock.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Kiến trúc áp dụng các control zero-trust-oriented tại edge, internal route và External Verifier, nhưng không claim full Zero Trust. Bank thật, CA signature, external inspection production và một số DR/data integration vẫn ngoài phạm vi Phase 2 implementation.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1" w:name="__RefHeading___Toc2291_AgriContract"/>
      <w:bookmarkEnd w:id="1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1. Context, phạm vi và nguyên tắc</w:t>
      </w:r>
    </w:p>
    <w:p>
      <w:pPr>
        <w:pStyle w:val="Heading2"/>
        <w:spacing w:before="240" w:after="80"/>
        <w:rPr/>
      </w:pPr>
      <w:bookmarkStart w:id="2" w:name="__RefHeading___Toc2293_AgriContract"/>
      <w:bookmarkEnd w:id="2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1.1 Context hệ thống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External actors gồm Buyer, Seller, Inspector, Admin, Operator, External Verifier, tổ chức giám định Level 2, nhà cung cấp email/OTP, nguồn giá và custodian/ngân hàng. Tất cả request người dùng đi qua Nginx/API Gateway;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/internal/**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chỉ cho service-to-service. External Verifier là ngoại lệ có endpoint ký ES256 trực tiếp tới bank-service qua route chuyên biệt, không JWT và không retry.</w:t>
      </w:r>
    </w:p>
    <w:p>
      <w:pPr>
        <w:pStyle w:val="Heading2"/>
        <w:spacing w:before="240" w:after="80"/>
        <w:rPr/>
      </w:pPr>
      <w:bookmarkStart w:id="3" w:name="__RefHeading___Toc2295_AgriContract"/>
      <w:bookmarkEnd w:id="3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1.2 Nguyên tắc kiến trúc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Business capability ownership rõ và database-per-service; không cross-service DB access.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Rich aggregate/state transition; không để controller/repository tự sửa state.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Outbox cùng local transaction; consumer idempotent; DLQ replay giữ event ID gốc.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Số tiền chỉ authoritative ở bank ledger. escrow/contract giữ projection, expected legs và state, không tạo balance thứ hai.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Decision side effect có canonical boundary; lifecycle/notification/analytics không được trở thành đường phạt song song.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Immutability áp cho ledger/audit/lock facts; quyền xoá áp qua retention/legal hold/tombstone ở dữ liệu phù hợp.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Fail-closed cho identity/eligibility/signing/listing/offer; analytics/notification không được chặn đường giao dịch cốt lõi trừ OTP synchronous.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4" w:name="__RefHeading___Toc2297_AgriContract"/>
      <w:bookmarkEnd w:id="4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2. Phân rã lớp và trust boundary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31"/>
        <w:gridCol w:w="3476"/>
        <w:gridCol w:w="3631"/>
      </w:tblGrid>
      <w:tr>
        <w:trPr>
          <w:tblHeader w:val="true"/>
        </w:trPr>
        <w:tc>
          <w:tcPr>
            <w:tcW w:w="25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Lớp</w:t>
            </w:r>
          </w:p>
        </w:tc>
        <w:tc>
          <w:tcPr>
            <w:tcW w:w="34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Thành phần</w:t>
            </w:r>
          </w:p>
        </w:tc>
        <w:tc>
          <w:tcPr>
            <w:tcW w:w="36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Ranh giới</w:t>
            </w:r>
          </w:p>
        </w:tc>
      </w:tr>
      <w:tr>
        <w:trPr/>
        <w:tc>
          <w:tcPr>
            <w:tcW w:w="25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Edge</w:t>
            </w:r>
          </w:p>
        </w:tc>
        <w:tc>
          <w:tcPr>
            <w:tcW w:w="34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Nginx, api-gateway</w:t>
            </w:r>
          </w:p>
        </w:tc>
        <w:tc>
          <w:tcPr>
            <w:tcW w:w="36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TLS termination, size/rate/CORS, JWT, strip/overwrite identity header, coarse role; không fine-grained ownership</w:t>
            </w:r>
          </w:p>
        </w:tc>
      </w:tr>
      <w:tr>
        <w:trPr/>
        <w:tc>
          <w:tcPr>
            <w:tcW w:w="25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Business core</w:t>
            </w:r>
          </w:p>
        </w:tc>
        <w:tc>
          <w:tcPr>
            <w:tcW w:w="34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contract, escrow, bank, inspection, reputation</w:t>
            </w:r>
          </w:p>
        </w:tc>
        <w:tc>
          <w:tcPr>
            <w:tcW w:w="36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State/decision/money/trust facts; transaction và invariant quan trọng</w:t>
            </w:r>
          </w:p>
        </w:tc>
      </w:tr>
      <w:tr>
        <w:trPr/>
        <w:tc>
          <w:tcPr>
            <w:tcW w:w="25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Data/support</w:t>
            </w:r>
          </w:p>
        </w:tc>
        <w:tc>
          <w:tcPr>
            <w:tcW w:w="34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user, product, file, pricing, analytics, notification, audit</w:t>
            </w:r>
          </w:p>
        </w:tc>
        <w:tc>
          <w:tcPr>
            <w:tcW w:w="36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Eligibility, evidence, reference data, projection, delivery, verification</w:t>
            </w:r>
          </w:p>
        </w:tc>
      </w:tr>
      <w:tr>
        <w:trPr/>
        <w:tc>
          <w:tcPr>
            <w:tcW w:w="25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Infrastructure</w:t>
            </w:r>
          </w:p>
        </w:tc>
        <w:tc>
          <w:tcPr>
            <w:tcW w:w="34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RabbitMQ, MySQL schemas, MinIO, email/OTP, scheduler</w:t>
            </w:r>
          </w:p>
        </w:tc>
        <w:tc>
          <w:tcPr>
            <w:tcW w:w="36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At-least-once, persistence, blob lifecycle, external adapters</w:t>
            </w:r>
          </w:p>
        </w:tc>
      </w:tr>
    </w:tbl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Gateway không route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/internal/**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downstream không tin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X-User-*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do client cung cấp. Owner service luôn kiểm tra participant/ownership. External Verifier request bị cap 64 KB, canonicalized, verify key/timestamp/nonce/action và không có Admin bypass.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5" w:name="__RefHeading___Toc2299_AgriContract"/>
      <w:bookmarkEnd w:id="5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3. Service ownership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666"/>
        <w:gridCol w:w="2194"/>
        <w:gridCol w:w="1582"/>
        <w:gridCol w:w="2178"/>
        <w:gridCol w:w="2018"/>
      </w:tblGrid>
      <w:tr>
        <w:trPr>
          <w:tblHeader w:val="true"/>
        </w:trPr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Năng lực sở hữu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Storage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Tương tác chính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Boundary quan trọng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Identity, KYC, role, eligibility và lock projection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 KYC/lock commands; internal eligibility API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sở hữu reputation ledger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product-service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Plot registry, product/listing, commodity gate, geo/yield risk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product_db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 eligibility; file.ready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Plot là seller-owned; overlap là signal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Contract, milestone, signature/OTP, attribution, remedy, termination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REST commands; domain events; internal user/OTP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 duy nhất của business decision và lifecycle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Projection escrow và chuyển remedy legs thành bank commands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contract.signed, remedy.finalized, milestone outcomes, bank results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là source of truth số tiền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Append-only monetary ledger, lock/release/refund/seize, security lock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</w:t>
            </w:r>
            <w:r>
              <w:rPr>
                <w:rFonts w:eastAsia="Calibri" w:cs="Calibri"/>
                <w:b w:val="false"/>
                <w:bCs w:val="false"/>
                <w:i/>
                <w:iCs/>
                <w:color w:val="111827"/>
                <w:sz w:val="17"/>
                <w:szCs w:val="17"/>
              </w:rPr>
              <w:t>_requested; structuring signal; external verifier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Single source of truth cho tiền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Level 1.5/2 commission, result/report hash, confirmation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contract/milestone commands, file.ready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ra phán quyết pháp lý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Immutable completion/dispute/lock facts và derived score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remedy.finalized, settled facts, risk signals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Negative consequence chỉ từ remedy.finalized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Append-only dual hash chain, anchor, verify, evidence query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evidence/security/domain events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sửa source facts; dedup source_event_id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Three trust-boundary ingests, malware scan, retention/legal hold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file_db + MinIO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upload/email/system-generated; file events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READY gate trước khi thành evidence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pricing-service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PriceQuote, VNSAT/manual ingestion và read API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pricing_db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scheduled/admin ingestion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là settlement engine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analytics-service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CQRS read models, monthly recompute, AML structuring signals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analytics_db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domain/ledger facts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Non-critical; catch-up queue backlog only</w:t>
            </w:r>
          </w:p>
        </w:tc>
      </w:tr>
      <w:tr>
        <w:trPr/>
        <w:tc>
          <w:tcPr>
            <w:tcW w:w="166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notification-service</w:t>
            </w:r>
          </w:p>
        </w:tc>
        <w:tc>
          <w:tcPr>
            <w:tcW w:w="21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Template delivery, evidence attachment, OTP sync</w:t>
            </w:r>
          </w:p>
        </w:tc>
        <w:tc>
          <w:tcPr>
            <w:tcW w:w="158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notification_db</w:t>
            </w:r>
          </w:p>
        </w:tc>
        <w:tc>
          <w:tcPr>
            <w:tcW w:w="217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notification commands; internal OTP API</w:t>
            </w:r>
          </w:p>
        </w:tc>
        <w:tc>
          <w:tcPr>
            <w:tcW w:w="201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consume business event để tạo sanction</w:t>
            </w:r>
          </w:p>
        </w:tc>
      </w:tr>
    </w:tbl>
    <w:p>
      <w:pPr>
        <w:pStyle w:val="Heading2"/>
        <w:spacing w:before="240" w:after="80"/>
        <w:rPr/>
      </w:pPr>
      <w:bookmarkStart w:id="6" w:name="__RefHeading___Toc2301_AgriContract"/>
      <w:bookmarkEnd w:id="6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3.1 Ownership của decision và lifecycle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sở hữu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BreachCase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AttributionDecision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RemedyDecision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contract/milestone state và phát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remedy.finalized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 escrow-service chỉ dịch từng remedy leg thành bank command; bank-service chỉ thực hiện ledger effect. reputation-service chỉ tạo lock khi payload final cho phép. Cách phân rã này ngăn việc allegation, request initiator hoặc lifecycle event bị biến thành money/reputation consequence.</w:t>
      </w:r>
    </w:p>
    <w:p>
      <w:pPr>
        <w:pStyle w:val="Heading2"/>
        <w:spacing w:before="240" w:after="80"/>
        <w:rPr/>
      </w:pPr>
      <w:bookmarkStart w:id="7" w:name="__RefHeading___Toc2303_AgriContract"/>
      <w:bookmarkEnd w:id="7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3.2 Ownership của signature và evidence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Signature/OTP challenge là domain con của contract-service vì phải binding với exact terms hash và state. audit-service sở hữu audit record/hash/anchor; file-service sở hữu blob lifecycle; inspection-service sở hữu result/report commitment. Các hash khác nhau có mục tiêu khác nhau và không được trộn thành một “hash chung”.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8" w:name="__RefHeading___Toc2305_AgriContract"/>
      <w:bookmarkEnd w:id="8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4. Integration model và consistency</w:t>
      </w:r>
    </w:p>
    <w:p>
      <w:pPr>
        <w:pStyle w:val="Heading2"/>
        <w:spacing w:before="240" w:after="80"/>
        <w:rPr/>
      </w:pPr>
      <w:bookmarkStart w:id="9" w:name="__RefHeading___Toc2307_AgriContract"/>
      <w:bookmarkEnd w:id="9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4.1 Đồng bộ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REST chỉ dùng khi caller cần kết quả ngay: command từ UI, internal eligibility, OTP delivery, audit/ledger query phục vụ reconciliation. Mọi write endpoint yêu cầu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Idempotency-Key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theo OpenAPI; identity từ JWT/service auth, không từ body/header client.</w:t>
      </w:r>
    </w:p>
    <w:p>
      <w:pPr>
        <w:pStyle w:val="Heading2"/>
        <w:spacing w:before="240" w:after="80"/>
        <w:rPr/>
      </w:pPr>
      <w:bookmarkStart w:id="10" w:name="__RefHeading___Toc2309_AgriContract"/>
      <w:bookmarkEnd w:id="10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4.2 Bất đồng bộ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RabbitMQ mang domain event, bank command/result và notification command. Event envelope chuẩn có event identity, version, producer, aggregate, timestamp, correlation/causation và payload. Publisher ghi business state + outbox cùng transaction. Consumer lưu processed event/source event trước hoặc cùng side effect.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098"/>
        <w:gridCol w:w="2309"/>
        <w:gridCol w:w="2197"/>
        <w:gridCol w:w="3033"/>
      </w:tblGrid>
      <w:tr>
        <w:trPr>
          <w:tblHeader w:val="true"/>
        </w:trPr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Envelope field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Yêu cầu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Kiểu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Ý nghĩa</w:t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eventId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eventType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eventVersion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integer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occurredAt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producer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aggregateId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Canonical identifier of the source aggregate that produced the event.</w:t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correlationId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Nullable/tuỳ trường hợp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['string', 'null']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Required by contract when the event belongs to a request, saga, or scheduled workflow. The producer must generate it when possible. A standalone event that does not belong to such a workflow may omit it.</w:t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causationId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Nullable/tuỳ trường hợp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['string', 'null']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Absent or null for a root event. For a derived event, the eventId or commandId that directly caused it. Producers must not fabricate a value for validation.</w:t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subject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Nullable/tuỳ trường hợp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subject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Optional audit/business subject. Include only when authoritative design defines a subject such as CONTRACT, USER_PAIR, or SYSTEM. It is semantically independent from aggregateId.</w:t>
            </w:r>
          </w:p>
        </w:tc>
      </w:tr>
      <w:tr>
        <w:trPr/>
        <w:tc>
          <w:tcPr>
            <w:tcW w:w="20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payload</w:t>
            </w:r>
          </w:p>
        </w:tc>
        <w:tc>
          <w:tcPr>
            <w:tcW w:w="23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19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object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</w:tbl>
    <w:p>
      <w:pPr>
        <w:pStyle w:val="Heading2"/>
        <w:spacing w:before="240" w:after="80"/>
        <w:rPr/>
      </w:pPr>
      <w:bookmarkStart w:id="11" w:name="__RefHeading___Toc2311_AgriContract"/>
      <w:bookmarkEnd w:id="11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4.3 Idempotency theo boundary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555"/>
        <w:gridCol w:w="3547"/>
        <w:gridCol w:w="3536"/>
      </w:tblGrid>
      <w:tr>
        <w:trPr>
          <w:tblHeader w:val="true"/>
        </w:trPr>
        <w:tc>
          <w:tcPr>
            <w:tcW w:w="255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Boundary</w:t>
            </w:r>
          </w:p>
        </w:tc>
        <w:tc>
          <w:tcPr>
            <w:tcW w:w="35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Dedup key/constraint</w:t>
            </w:r>
          </w:p>
        </w:tc>
        <w:tc>
          <w:tcPr>
            <w:tcW w:w="353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Lý do</w:t>
            </w:r>
          </w:p>
        </w:tc>
      </w:tr>
      <w:tr>
        <w:trPr/>
        <w:tc>
          <w:tcPr>
            <w:tcW w:w="255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Bank request</w:t>
            </w:r>
          </w:p>
        </w:tc>
        <w:tc>
          <w:tcPr>
            <w:tcW w:w="35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payload.sourceEventId == envelope.eventId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;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UNIQUE(source_event_id)</w:t>
            </w:r>
          </w:p>
        </w:tc>
        <w:tc>
          <w:tcPr>
            <w:tcW w:w="353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Duplicate request không tạo bộ ledger thứ hai</w:t>
            </w:r>
          </w:p>
        </w:tc>
      </w:tr>
      <w:tr>
        <w:trPr/>
        <w:tc>
          <w:tcPr>
            <w:tcW w:w="255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Remedy leg</w:t>
            </w:r>
          </w:p>
        </w:tc>
        <w:tc>
          <w:tcPr>
            <w:tcW w:w="35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UNIQUE(remedy_leg_id)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khi có</w:t>
            </w:r>
          </w:p>
        </w:tc>
        <w:tc>
          <w:tcPr>
            <w:tcW w:w="353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Một decision có nhiều leg; không unique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ở ledger</w:t>
            </w:r>
          </w:p>
        </w:tc>
      </w:tr>
      <w:tr>
        <w:trPr/>
        <w:tc>
          <w:tcPr>
            <w:tcW w:w="255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Reputation lock</w:t>
            </w:r>
          </w:p>
        </w:tc>
        <w:tc>
          <w:tcPr>
            <w:tcW w:w="35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UNIQUE(remedy_decision_id)</w:t>
            </w:r>
          </w:p>
        </w:tc>
        <w:tc>
          <w:tcPr>
            <w:tcW w:w="353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Một final decision tạo tối đa một negative lock</w:t>
            </w:r>
          </w:p>
        </w:tc>
      </w:tr>
      <w:tr>
        <w:trPr/>
        <w:tc>
          <w:tcPr>
            <w:tcW w:w="255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Audit</w:t>
            </w:r>
          </w:p>
        </w:tc>
        <w:tc>
          <w:tcPr>
            <w:tcW w:w="35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UNIQUE(audit_record.source_event_id)</w:t>
            </w:r>
          </w:p>
        </w:tc>
        <w:tc>
          <w:tcPr>
            <w:tcW w:w="353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Replay không tạo record/anchor/email thứ hai</w:t>
            </w:r>
          </w:p>
        </w:tc>
      </w:tr>
      <w:tr>
        <w:trPr/>
        <w:tc>
          <w:tcPr>
            <w:tcW w:w="255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Notification</w:t>
            </w:r>
          </w:p>
        </w:tc>
        <w:tc>
          <w:tcPr>
            <w:tcW w:w="35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(event_id, recipient_email, notification_type)</w:t>
            </w:r>
          </w:p>
        </w:tc>
        <w:tc>
          <w:tcPr>
            <w:tcW w:w="353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Một command có thể có nhiều recipient/type</w:t>
            </w:r>
          </w:p>
        </w:tc>
      </w:tr>
      <w:tr>
        <w:trPr/>
        <w:tc>
          <w:tcPr>
            <w:tcW w:w="255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API command</w:t>
            </w:r>
          </w:p>
        </w:tc>
        <w:tc>
          <w:tcPr>
            <w:tcW w:w="35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Idempotency-Key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+ actor/resource/operation scope</w:t>
            </w:r>
          </w:p>
        </w:tc>
        <w:tc>
          <w:tcPr>
            <w:tcW w:w="353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Retry HTTP không lặp business transition</w:t>
            </w:r>
          </w:p>
        </w:tc>
      </w:tr>
    </w:tbl>
    <w:p>
      <w:pPr>
        <w:pStyle w:val="Heading2"/>
        <w:spacing w:before="240" w:after="80"/>
        <w:rPr/>
      </w:pPr>
      <w:bookmarkStart w:id="12" w:name="__RefHeading___Toc2313_AgriContract"/>
      <w:bookmarkEnd w:id="12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4.4 Completion reconciler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Contract-service không consume bank result trực tiếp để quyết định terminal. Reconciler đọc internal bank ledger theo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so expected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remedyDecisionId/remedyLegId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trạng thái leg và remaining lock. Chỉ khi bộ leg đầy đủ và lock bằng 0 mới commit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SETTLED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TERMINATED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SUPERSEDED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hoặc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ACTIVATION_FAILED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và publish lifecycle event.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13" w:name="__RefHeading___Toc2315_AgriContract"/>
      <w:bookmarkEnd w:id="13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5. Event và command architecture</w:t>
      </w:r>
    </w:p>
    <w:p>
      <w:pPr>
        <w:pStyle w:val="Heading2"/>
        <w:spacing w:before="240" w:after="80"/>
        <w:rPr/>
      </w:pPr>
      <w:bookmarkStart w:id="14" w:name="__RefHeading___Toc2317_AgriContract"/>
      <w:bookmarkEnd w:id="14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5.1 Canonical consequence boundary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remedy.finalized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: producer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consumers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escrow-service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reputation-service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audit-service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sole trigger cho money/reputation consequences.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contract.terminated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: consumers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audit-service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analytics-service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lifecycle facts only. Notification đi qua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notification.contract_terminated_requested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contract.settled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: positive completion/audit/analytics/reputation facts; bank không release deposit từ event này.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milestone.cancelled_with_penalty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: observational outcome cho analytics/audit; money đã được biểu diễn bằng remedy legs.</w:t>
      </w:r>
    </w:p>
    <w:p>
      <w:pPr>
        <w:pStyle w:val="Heading2"/>
        <w:spacing w:before="240" w:after="80"/>
        <w:rPr/>
      </w:pPr>
      <w:bookmarkStart w:id="15" w:name="__RefHeading___Toc2319_AgriContract"/>
      <w:bookmarkEnd w:id="15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5.2 Domain/bank event catalog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362"/>
        <w:gridCol w:w="2046"/>
        <w:gridCol w:w="2498"/>
        <w:gridCol w:w="2731"/>
      </w:tblGrid>
      <w:tr>
        <w:trPr>
          <w:tblHeader w:val="true"/>
        </w:trPr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Event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Producer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Consumers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Boundary/nguồn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contract.signed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escrow-service, analytics-service, 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7.2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escrow.deposit_locked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contract-service, 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7.2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escrow.deposit_lock_failed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sections 3.1 and 7.2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bank.lock_requested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bank.lock_completed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bank.lock_failed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bank.release_requested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sections 3.1 and 3.3;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bank.release_completed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bank.release_failed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bank.seize_requested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sections 3 and 3.2;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bank.seize_completed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bank.seize_failed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bank.refund_requested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sections 3.1-3.3;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bank.refund_completed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bank.refund_failed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3; SDS Event Catalog 4.2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contract.settled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reputation-service, analytics-service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Lifecycle/positive-history event only. Normal completion first emits the existing SYSTEM/no-fault remedy.finalized owner-return legs; this event is published only after all expected legs reconcile and remaining lock is zero, and must not be consumed by escrow-service for money.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contract.terminated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audit-service, analytics-service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Lifecycle/audit/analytics/notification only. Escrow and reputation MUST NOT consume this event for consequences.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breach.reported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Allegation only; no bank or reputation consumer is permitted.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remedy.finalized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escrow-service, reputation-service, 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Sole canonical trigger for termination/remedy money legs and reputation lock, including normal-completion return of contract-level deposits.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milestone.settled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escrow-service, analytics-service, 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milestone.dispute_resolved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milestone.level2_provisional_settled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milestone.level2_buffer_reconciled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milestone.level2_terminal_settled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inspection.report_confirmed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audit-service, contract-service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inspection-phase2-design.md section 4; milestone-escrow-phase2-design.md section 3.2; approved OQ-02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milestone.seller_weighed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file-service, 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sections 2.2, 3.2 and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milestone.buyer_confirmed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sections 2.2, 3.2 and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milestone.flagged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sections 3.2 and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milestone.force_majeure_claimed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sections 2.2, 3.2 and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milestone.force_majeure_resolved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escrow-service, 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sections 3.2 and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milestone.cancelled_with_penalty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analytics-service, 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Observational milestone outcome only. Money and reputation are already triggered by remedy.finalized and must not be consumed here.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escrow.milestone_funding_failed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escrow-service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milestone-escrow-phase2-design.md section 6b and 7.1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reputation.locked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user-service-phase2-design.md sections 2.2 and 7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reputation.unlocked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user-service-phase2-design.md sections 2.2 and 7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file.ready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contract-service, inspection-service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file-service-phase2-design.md section 5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file.failed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contract-service, inspection-service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file-service-phase2-design.md section 5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bank.security_lock_changed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sections 3.5.4 and 3.5.7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bank.verifier_key_registered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3.5.6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bank.large_transaction_flagged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reputation-service, 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3.4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bank.suspicious_report_created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bank-service-phase2-design.md section 3.4b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analytics.structuring_pattern_detected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analytics-service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reputation-service, bank-service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analytics-service-phase2-design.md section 3.5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reputation.elevated_risk_cleared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reputation-service-phase2-design.md section 8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inspection.level2_commissioned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inspection-phase2-design.md sections 3.4 and 4</w:t>
            </w:r>
          </w:p>
        </w:tc>
      </w:tr>
      <w:tr>
        <w:trPr/>
        <w:tc>
          <w:tcPr>
            <w:tcW w:w="23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file.email_notice</w:t>
            </w:r>
          </w:p>
        </w:tc>
        <w:tc>
          <w:tcPr>
            <w:tcW w:w="20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file-service</w:t>
            </w:r>
          </w:p>
        </w:tc>
        <w:tc>
          <w:tcPr>
            <w:tcW w:w="24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inspection-service</w:t>
            </w:r>
          </w:p>
        </w:tc>
        <w:tc>
          <w:tcPr>
            <w:tcW w:w="273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file-service-phase2-design.md sections 4.1 and 5</w:t>
            </w:r>
          </w:p>
        </w:tc>
      </w:tr>
    </w:tbl>
    <w:p>
      <w:pPr>
        <w:pStyle w:val="Heading2"/>
        <w:spacing w:before="240" w:after="80"/>
        <w:rPr/>
      </w:pPr>
      <w:bookmarkStart w:id="16" w:name="__RefHeading___Toc2321_AgriContract"/>
      <w:bookmarkEnd w:id="16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5.3 Notification command catalog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667"/>
        <w:gridCol w:w="2324"/>
        <w:gridCol w:w="2377"/>
        <w:gridCol w:w="2269"/>
      </w:tblGrid>
      <w:tr>
        <w:trPr>
          <w:tblHeader w:val="true"/>
        </w:trPr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Producer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Consumer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Payload required</w:t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contractAnchorRequested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contractActivationFailedRequested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contractTerminatedRequested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breachNoticeRequested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remedyFinalizedRequested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milestoneFundingStatusRequested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milestoneStatusRequested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milestoneAnchorRequested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level2CommissionRequested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auditDigestRequested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auditFailureRequested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securityLockChangedRequested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reconciliationMismatchRequested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userKycResultRequested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userLockChangedRequested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verifierKeyAnchorRequested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</w:tbl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17" w:name="__RefHeading___Toc2323_AgriContract"/>
      <w:bookmarkEnd w:id="17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6. Data architecture và invariant storage</w:t>
      </w:r>
    </w:p>
    <w:p>
      <w:pPr>
        <w:pStyle w:val="Heading2"/>
        <w:spacing w:before="240" w:after="80"/>
        <w:rPr/>
      </w:pPr>
      <w:bookmarkStart w:id="18" w:name="__RefHeading___Toc2325_AgriContract"/>
      <w:bookmarkEnd w:id="18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6.1 Database-per-service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Mỗi service có schema và DB user riêng. FK chỉ tồn tại trong schema owner; cross-service ID là UUID snapshot/reference. Migration deployment theo producer/consumer compatibility và outbox; không dùng distributed transaction.</w:t>
      </w:r>
    </w:p>
    <w:p>
      <w:pPr>
        <w:pStyle w:val="Heading2"/>
        <w:spacing w:before="240" w:after="80"/>
        <w:rPr/>
      </w:pPr>
      <w:bookmarkStart w:id="19" w:name="__RefHeading___Toc2327_AgriContract"/>
      <w:bookmarkEnd w:id="19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6.2 Core persistence constraints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683"/>
        <w:gridCol w:w="3543"/>
        <w:gridCol w:w="3412"/>
      </w:tblGrid>
      <w:tr>
        <w:trPr>
          <w:tblHeader w:val="true"/>
        </w:trPr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Schema/table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Ràng buộc chính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Invariant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contract/remedy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immutable signed terms hash; unique decision IDs; state/version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Hai chữ ký cùng terms; allegation không sửa decision đã final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bank.ledger_entry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append-only; source_event_id unique; remedy_leg_id partial unique; amount positive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 double money; one decision may have many legs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reputation.lock_entry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insert-only; remedy_decision_id unique; source_event_id unique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≤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1 lock/decision; history không UPDATE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audit.audit_record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source_event_id unique; chain sequence/hash unique; append-only grants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Replay/tamper detected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file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ingest channel server-derived; state; legal_hold; tombstone/version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File infected không READY; hold chặn xoá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user projection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last_lock_revision persisted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Old event không ghi đè sau restart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analytics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processed_event + month bucket key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At-least-once safe; recompute touched months</w:t>
            </w:r>
          </w:p>
        </w:tc>
      </w:tr>
      <w:tr>
        <w:trPr/>
        <w:tc>
          <w:tcPr>
            <w:tcW w:w="26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notification_log</w:t>
            </w:r>
          </w:p>
        </w:tc>
        <w:tc>
          <w:tcPr>
            <w:tcW w:w="35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event/recipient/type unique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Retry không gửi trùng</w:t>
            </w:r>
          </w:p>
        </w:tc>
      </w:tr>
    </w:tbl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20" w:name="__RefHeading___Toc2329_AgriContract"/>
      <w:bookmarkEnd w:id="20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7. State machines và choreography</w:t>
      </w:r>
    </w:p>
    <w:p>
      <w:pPr>
        <w:pStyle w:val="Heading2"/>
        <w:spacing w:before="240" w:after="80"/>
        <w:rPr/>
      </w:pPr>
      <w:bookmarkStart w:id="21" w:name="__RefHeading___Toc2331_AgriContract"/>
      <w:bookmarkEnd w:id="21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7.1 Contract lifecycle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OFFERED → NEGOTIATING → SIGNED → ACTIVE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Từ pre-sign có thể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WITHDRAWN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activation failure đi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ACTIVATION_REFUND_PENDING → ACTIVATION_FAILED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replacement đi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REPLACEMENT_PENDING → SUPERSEDE_REFUND_PENDING → SUPERSEDED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completion đi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SETTLED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các nhánh chấm dứt khác đi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TERMINATED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sau reconciliation.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Không có current state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CANCELLED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hoặc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DELIVERED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Terminal state luôn zero-lock;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WITHDRAWN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là ngoại lệ đơn giản vì chưa phát sinh lock.</w:t>
      </w:r>
    </w:p>
    <w:p>
      <w:pPr>
        <w:pStyle w:val="Heading2"/>
        <w:spacing w:before="240" w:after="80"/>
        <w:rPr/>
      </w:pPr>
      <w:bookmarkStart w:id="22" w:name="__RefHeading___Toc2333_AgriContract"/>
      <w:bookmarkEnd w:id="22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7.2 Attribution/remedy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Rổ A: objective guard →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AttributionDecision(SYSTEM)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→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RemedyDecision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Rổ B: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BreachCase REPORTED → UNDER_REVIEW → RESOLVED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→ decision.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finalBreachingRole = null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bắt buộc penalty/reputation false và chỉ có settlement/refund legs.</w:t>
      </w:r>
    </w:p>
    <w:p>
      <w:pPr>
        <w:pStyle w:val="Heading2"/>
        <w:spacing w:before="240" w:after="80"/>
        <w:rPr/>
      </w:pPr>
      <w:bookmarkStart w:id="23" w:name="__RefHeading___Toc2335_AgriContract"/>
      <w:bookmarkEnd w:id="23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7.3 Milestone/funding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Funding: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FUNDING_PENDING → LOCKED | FUNDING_FAILED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retry/cure có timer riêng. Delivery: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CREATED → IN_PROGRESS → SELLER_WEIGHED → BUYER_RECEIVED → AWAITING_SELLER_RESPONSE/CONTESTED/FORCE_MAJEURE_PENDING_REVIEW → SETTLED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 Inspection pending chặn auto-confirm.</w:t>
      </w:r>
    </w:p>
    <w:p>
      <w:pPr>
        <w:pStyle w:val="Heading2"/>
        <w:spacing w:before="240" w:after="80"/>
        <w:rPr/>
      </w:pPr>
      <w:bookmarkStart w:id="24" w:name="__RefHeading___Toc2337_AgriContract"/>
      <w:bookmarkEnd w:id="24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7.4 Mutual replacement saga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Draft/replacement phải đủ hai chữ ký trước khi đụng contract cũ. Khi replacement signed, cũ vào pending, refund toàn bộ lock còn lại, rồi mới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SUPERSEDED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contract mới tự activation từ zero. Crash ở bất kỳ cửa sổ nào phải để state retryable và không rollback settled history.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25" w:name="__RefHeading___Toc2339_AgriContract"/>
      <w:bookmarkEnd w:id="25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8. Security, governance và evidence</w:t>
      </w:r>
    </w:p>
    <w:p>
      <w:pPr>
        <w:pStyle w:val="Heading2"/>
        <w:spacing w:before="240" w:after="80"/>
        <w:rPr/>
      </w:pPr>
      <w:bookmarkStart w:id="26" w:name="__RefHeading___Toc2341_AgriContract"/>
      <w:bookmarkEnd w:id="26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8.1 Authentication/authorization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JWT cho user; service auth cho internal. Gateway coarse role; service owner fine-grained. Public user DTO không lộ PII; public reputation summary vẫn cần JWT. OPERATOR không truy cập đường ADMIN high-risk; maker-checker chặn self-approval.</w:t>
      </w:r>
    </w:p>
    <w:p>
      <w:pPr>
        <w:pStyle w:val="Heading2"/>
        <w:spacing w:before="240" w:after="80"/>
        <w:rPr/>
      </w:pPr>
      <w:bookmarkStart w:id="27" w:name="__RefHeading___Toc2343_AgriContract"/>
      <w:bookmarkEnd w:id="27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8.2 External Verifier emergency control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ES256 public key baked/deploy-time, RFC 8785 canonicalization, timestamp ±300s, nonce persist, action binding. Lock active làm mọi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bank.*_requested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fail. Unlock mirror lock; không Admin bypass. Đây là một control khẩn cấp hẹp, không phải full Zero Trust.</w:t>
      </w:r>
    </w:p>
    <w:p>
      <w:pPr>
        <w:pStyle w:val="Heading2"/>
        <w:spacing w:before="240" w:after="80"/>
        <w:rPr/>
      </w:pPr>
      <w:bookmarkStart w:id="28" w:name="__RefHeading___Toc2345_AgriContract"/>
      <w:bookmarkEnd w:id="28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8.3 Evidence scope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Audit hash chứng minh record không bị sửa sau commit; content/report hash chứng minh artefact bytes/normalized result; OTP chứng minh challenge holder hoàn tất thao tác; không lớp nào tự chứng minh thẩm quyền pháp lý, sự thật ngoài đời hoặc tính hợp pháp của điều khoản.</w:t>
      </w:r>
    </w:p>
    <w:p>
      <w:pPr>
        <w:pStyle w:val="Heading2"/>
        <w:spacing w:before="240" w:after="80"/>
        <w:rPr/>
      </w:pPr>
      <w:bookmarkStart w:id="29" w:name="__RefHeading___Toc2347_AgriContract"/>
      <w:bookmarkEnd w:id="29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8.4 Retention/DR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PII/evidence/ledger/audit có retention khác nhau; legal hold override deletion. File xoá hai bước tự lành. DLQ replay giữ original event ID. Restore bank/audit phải qua hai verification pass trước mở money traffic. Cross-border/ND13 là deployment constraint chưa được “giải quyết tự động”.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30" w:name="__RefHeading___Toc2349_AgriContract"/>
      <w:bookmarkEnd w:id="30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9. Deployment và quality attributes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Môi trường mục tiêu dùng container, MySQL per service/schema, RabbitMQ, MinIO và reverse proxy. CI pin image digest, không nhúng secret, protected branch/approval. Observability dùng correlation/causation/trace ID; alert riêng cho money leg failed, reconciliation mismatch, audit verify fail, security lock và DLQ.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661"/>
        <w:gridCol w:w="3643"/>
        <w:gridCol w:w="3334"/>
      </w:tblGrid>
      <w:tr>
        <w:trPr>
          <w:tblHeader w:val="true"/>
        </w:trPr>
        <w:tc>
          <w:tcPr>
            <w:tcW w:w="266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Quality attribute</w:t>
            </w:r>
          </w:p>
        </w:tc>
        <w:tc>
          <w:tcPr>
            <w:tcW w:w="36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Cơ chế</w:t>
            </w:r>
          </w:p>
        </w:tc>
        <w:tc>
          <w:tcPr>
            <w:tcW w:w="333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Giới hạn</w:t>
            </w:r>
          </w:p>
        </w:tc>
      </w:tr>
      <w:tr>
        <w:trPr/>
        <w:tc>
          <w:tcPr>
            <w:tcW w:w="266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Consistency</w:t>
            </w:r>
          </w:p>
        </w:tc>
        <w:tc>
          <w:tcPr>
            <w:tcW w:w="36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local transaction + outbox + idempotency + reconciliation</w:t>
            </w:r>
          </w:p>
        </w:tc>
        <w:tc>
          <w:tcPr>
            <w:tcW w:w="333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Eventual consistency ngoài terminal money guard</w:t>
            </w:r>
          </w:p>
        </w:tc>
      </w:tr>
      <w:tr>
        <w:trPr/>
        <w:tc>
          <w:tcPr>
            <w:tcW w:w="266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Integrity</w:t>
            </w:r>
          </w:p>
        </w:tc>
        <w:tc>
          <w:tcPr>
            <w:tcW w:w="36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append-only ledger/audit, hash chain, source IDs</w:t>
            </w:r>
          </w:p>
        </w:tc>
        <w:tc>
          <w:tcPr>
            <w:tcW w:w="333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Trusted operator/collusion risk vẫn tồn tại</w:t>
            </w:r>
          </w:p>
        </w:tc>
      </w:tr>
      <w:tr>
        <w:trPr/>
        <w:tc>
          <w:tcPr>
            <w:tcW w:w="266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Availability</w:t>
            </w:r>
          </w:p>
        </w:tc>
        <w:tc>
          <w:tcPr>
            <w:tcW w:w="36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retry/DLQ/circuit breaker; analytics noncritical</w:t>
            </w:r>
          </w:p>
        </w:tc>
        <w:tc>
          <w:tcPr>
            <w:tcW w:w="333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OTP and eligibility intentionally fail-closed</w:t>
            </w:r>
          </w:p>
        </w:tc>
      </w:tr>
      <w:tr>
        <w:trPr/>
        <w:tc>
          <w:tcPr>
            <w:tcW w:w="266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Security</w:t>
            </w:r>
          </w:p>
        </w:tc>
        <w:tc>
          <w:tcPr>
            <w:tcW w:w="36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JWT/service auth, edge policies, maker-checker, verifier signature</w:t>
            </w:r>
          </w:p>
        </w:tc>
        <w:tc>
          <w:tcPr>
            <w:tcW w:w="333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Không full mTLS/Zero Trust production</w:t>
            </w:r>
          </w:p>
        </w:tc>
      </w:tr>
      <w:tr>
        <w:trPr/>
        <w:tc>
          <w:tcPr>
            <w:tcW w:w="266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Recoverability</w:t>
            </w:r>
          </w:p>
        </w:tc>
        <w:tc>
          <w:tcPr>
            <w:tcW w:w="36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backups, replay, two-pass verify</w:t>
            </w:r>
          </w:p>
        </w:tc>
        <w:tc>
          <w:tcPr>
            <w:tcW w:w="333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RTO/RPO production phải benchmark</w:t>
            </w:r>
          </w:p>
        </w:tc>
      </w:tr>
      <w:tr>
        <w:trPr/>
        <w:tc>
          <w:tcPr>
            <w:tcW w:w="266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Auditability</w:t>
            </w:r>
          </w:p>
        </w:tc>
        <w:tc>
          <w:tcPr>
            <w:tcW w:w="364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immutable facts, evidence export, read audit</w:t>
            </w:r>
          </w:p>
        </w:tc>
        <w:tc>
          <w:tcPr>
            <w:tcW w:w="333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Chất lượng source evidence vẫn cần con người</w:t>
            </w:r>
          </w:p>
        </w:tc>
      </w:tr>
    </w:tbl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31" w:name="__RefHeading___Toc2351_AgriContract"/>
      <w:bookmarkEnd w:id="31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10. API surface overview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OpenAPI frozen có 41 paths. Bảng dưới là ownership-level catalog; request/response schema chi tiết nằm trong SDS.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206"/>
        <w:gridCol w:w="2074"/>
        <w:gridCol w:w="1502"/>
        <w:gridCol w:w="1673"/>
        <w:gridCol w:w="1662"/>
        <w:gridCol w:w="1520"/>
      </w:tblGrid>
      <w:tr>
        <w:trPr>
          <w:tblHeader w:val="true"/>
        </w:trPr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Method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Path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Operation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Auth/role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createContract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CreateContractRequest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listContracts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getContract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PATCH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updateContractTerms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ContractTermsRequest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/api/v1/contracts/{contractId}/sign/initiate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initiateSign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InitiateSignRequest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/api/v1/contracts/{contractId}/sign/verify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verifyOtpAndSign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VerifyOtpAndSignRequest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/api/v1/contracts/{contractId}/withdraw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withdrawOffer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/api/v1/contracts/{contractId}/termination/mutual/propose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proposeMutualTermination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/api/v1/contracts/{contractId}/termination/mutual/confirm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confirmMutualTermination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/api/v1/contracts/{contractId}/replacement/propose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proposeMutualReplacement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ReplacementProposalRequest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/api/v1/contracts/{contractId}/replacement/confirm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confirmMutualReplacement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/api/v1/contracts/{contractId}/breach-cases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reportBreachCase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BreachCaseReportRequest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SELLER, SYSTEM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/api/v1/contracts/{contractId}/breach-cases/{breachCaseId}/review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reviewBreachCase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ADMIN, INSPECTOR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/api/v1/contracts/{contractId}/breach-cases/{breachCaseId}/resolve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resolveBreachCase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BreachCaseResolutionRequest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ADMIN, INSPECTOR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/api/v1/contracts/{contractId}/termination/execute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executeTermination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TerminationExecuteRequest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SELLER, 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/api/v1/contracts/{contractId}/activation/retry-deposit-lock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retryDepositLock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/api/v1/contracts/{contractId}/activation/mark-failed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markActivationFailed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/api/v1/contracts/{contractId}/milestones/{milestoneId}/weigh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recordSellerWeighed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SellerWeighedRequest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/api/v1/contracts/{contractId}/milestones/{milestoneId}/confirm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confirmMilestoneClean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BuyerReceivedRequest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/api/v1/contracts/{contractId}/milestones/{milestoneId}/flag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flagMilestoneIssue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BuyerReceivedRequest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/api/v1/contracts/{contractId}/milestones/{milestoneId}/respond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respondToMilestoneFlag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/api/v1/contracts/{contractId}/milestones/{milestoneId}/force-majeure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claimForceMajeure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ForceMajeureClaimRequest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/api/v1/contracts/{contractId}/milestones/{milestoneId}/force-majeure/resolve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resolveForceMajeure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ForceMajeureResolveRequest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/api/v1/contracts/{contractId}/milestones/{milestoneId}/funding/retry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escrow-service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retryMilestoneFunding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/api/v1/users/register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registerUser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/api/v1/users/me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getMyProfile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/api/v1/users/{userId}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getPublicUser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/api/v1/reputation/{userId}/public-summary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getPublicReputationSummary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/api/v1/admin/reputation/actions/propose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proposeReputationAction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ReputationActionProposalRequest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ADMIN, OPERATOR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/api/v1/admin/reputation/actions/{actionId}/approve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approveReputationAction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/api/v1/admin/reputation/actions/{actionId}/reject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rejectReputationAction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/api/v1/admin/users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listPendingUsers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/api/v1/admin/users/{userId}/verify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VerifyUserRequest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/api/v1/admin/users/{userId}/reject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rejectUser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RejectUserRequest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/internal/v1/users/{userId}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getInternalUserInfo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/internal/v1/notifications/otp-email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notification-service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sendOtpEmail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OtpEmailRequest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/internal/v1/audit/records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audit-service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getAuditRecordsForReconciliation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/api/v1/security/audit-hash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audit-service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getAuditHash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/api/v1/security/emergency-lock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emergencyLock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ExternalVerifierRequest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 Verifier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/api/v1/security/emergency-unlock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emergencyUnlock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ExternalVerifierRequest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 Verifier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/api/v1/escrows/statements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escrow-service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exportEscrowStatement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/internal/v1/bank/ledger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getInternalLedgerEntries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</w:tbl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32" w:name="__RefHeading___Toc2353_AgriContract"/>
      <w:bookmarkEnd w:id="32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11. Known limitations và Future Work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Bank/custodian, external inspection, CA signature, email/OAuth/source pricing là adapter/mocks cần production integration.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Full mTLS/service mesh, multi-region HA, HSM/KMS, external immutable storage policy và automated cold rebuild không phải Phase 2 completed capability.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Full contract amendment, partial mutual termination, quality-indexed settlement và automated legal rule engine nằm ngoài scope; replacement là cơ chế hiện tại.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Geo/yield/AML signals không auto convict/hold; external legal/EUDR validation vẫn cần.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Analytics catch-up được bảo đảm từ queue backlog cho outage ngắn, không claim rebuild mọi history từ empty DB.</w:t>
      </w:r>
    </w:p>
    <w:p>
      <w:pPr>
        <w:pStyle w:val="Heading1"/>
        <w:pBdr>
          <w:bottom w:val="single" w:sz="6" w:space="6" w:color="D1D5DB"/>
        </w:pBdr>
        <w:spacing w:before="320" w:after="120"/>
        <w:rPr/>
      </w:pPr>
      <w:bookmarkStart w:id="33" w:name="__RefHeading___Toc2355_AgriContract"/>
      <w:bookmarkEnd w:id="33"/>
      <w:r>
        <w:rPr>
          <w:rFonts w:eastAsia="Calibri" w:cs="Calibri" w:ascii="Calibri" w:hAnsi="Calibri"/>
          <w:b/>
          <w:bCs/>
          <w:color w:val="1F2A37"/>
          <w:sz w:val="30"/>
          <w:szCs w:val="30"/>
        </w:rPr>
        <w:t>12. Source-of-truth index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Thiết kế chi tiết được đồng bộ từ toàn bộ design service, Verification Matrix, state machine/integration/enum/error/golden-flow contract, OpenAPI, event/notification schemas và implementation plan ngày 20/07/2026. Khi có mâu thuẫn, design mới nhất và Verification Matrix được ưu tiên; source code chỉ là baseline triển khai.</w:t>
      </w:r>
    </w:p>
    <w:p>
      <w:pPr>
        <w:pStyle w:val="Normal"/>
        <w:pBdr>
          <w:top w:val="single" w:sz="6" w:space="6" w:color="D1D5DB"/>
        </w:pBdr>
        <w:spacing w:before="300" w:after="0"/>
        <w:rPr/>
      </w:pPr>
      <w:r>
        <w:rPr>
          <w:rFonts w:eastAsia="Calibri" w:cs="Calibri"/>
          <w:i/>
          <w:iCs/>
          <w:color w:val="6B7280"/>
          <w:sz w:val="19"/>
          <w:szCs w:val="19"/>
        </w:rPr>
        <w:t xml:space="preserve">— </w:t>
      </w:r>
      <w:r>
        <w:rPr>
          <w:rFonts w:eastAsia="Calibri" w:cs="Calibri"/>
          <w:i/>
          <w:iCs/>
          <w:color w:val="6B7280"/>
          <w:sz w:val="19"/>
          <w:szCs w:val="19"/>
        </w:rPr>
        <w:t>Hết tài liệu —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color w:val="6B7280"/>
        <w:sz w:val="16"/>
        <w:szCs w:val="16"/>
      </w:rPr>
      <w:t xml:space="preserve">Final · Tháng 7/2026 · Trang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  <w:r>
      <w:rPr>
        <w:rFonts w:eastAsia="Calibri" w:cs="Calibri"/>
        <w:color w:val="6B7280"/>
        <w:sz w:val="16"/>
        <w:szCs w:val="16"/>
      </w:rPr>
      <w:t>/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color w:val="6B7280"/>
        <w:sz w:val="16"/>
        <w:szCs w:val="16"/>
      </w:rPr>
      <w:t xml:space="preserve">Final · Tháng 7/2026 · Trang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  <w:r>
      <w:rPr>
        <w:rFonts w:eastAsia="Calibri" w:cs="Calibri"/>
        <w:color w:val="6B7280"/>
        <w:sz w:val="16"/>
        <w:szCs w:val="16"/>
      </w:rPr>
      <w:t>/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end"/>
      <w:rPr/>
    </w:pPr>
    <w:r>
      <w:rPr>
        <w:rFonts w:eastAsia="Calibri" w:cs="Calibri"/>
        <w:color w:val="6B7280"/>
        <w:sz w:val="16"/>
        <w:szCs w:val="16"/>
      </w:rPr>
      <w:t>AgriContract · Architecture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end"/>
      <w:rPr/>
    </w:pPr>
    <w:r>
      <w:rPr>
        <w:rFonts w:eastAsia="Calibri" w:cs="Calibri"/>
        <w:color w:val="6B7280"/>
        <w:sz w:val="16"/>
        <w:szCs w:val="16"/>
      </w:rPr>
      <w:t>AgriContract · Architecture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20"/>
      </w:pPr>
      <w:rPr>
        <w:rFonts w:ascii="Symbol" w:hAnsi="Symbol" w:cs="Symbol" w:hint="default"/>
        <w:color w:val="374151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11827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11827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Calibri" w:hAnsi="Calibri" w:eastAsia="Calibri" w:cs="Calibri"/>
      <w:b/>
      <w:bCs/>
      <w:color w:val="1F2A37"/>
      <w:sz w:val="30"/>
      <w:szCs w:val="30"/>
    </w:rPr>
  </w:style>
  <w:style w:type="paragraph" w:styleId="Heading2">
    <w:name w:val="heading 2"/>
    <w:basedOn w:val="Heading"/>
    <w:qFormat/>
    <w:pPr>
      <w:outlineLvl w:val="1"/>
    </w:pPr>
    <w:rPr>
      <w:rFonts w:ascii="Calibri" w:hAnsi="Calibri" w:eastAsia="Calibri" w:cs="Calibri"/>
      <w:b/>
      <w:bCs/>
      <w:color w:val="1F2A37"/>
      <w:sz w:val="25"/>
      <w:szCs w:val="25"/>
    </w:rPr>
  </w:style>
  <w:style w:type="paragraph" w:styleId="Heading3">
    <w:name w:val="heading 3"/>
    <w:basedOn w:val="Heading"/>
    <w:qFormat/>
    <w:pPr>
      <w:outlineLvl w:val="2"/>
    </w:pPr>
    <w:rPr>
      <w:rFonts w:ascii="Calibri" w:hAnsi="Calibri" w:eastAsia="Calibri" w:cs="Calibri"/>
      <w:b/>
      <w:bCs/>
      <w:color w:val="374151"/>
      <w:sz w:val="22"/>
      <w:szCs w:val="22"/>
    </w:rPr>
  </w:style>
  <w:style w:type="paragraph" w:styleId="Heading4">
    <w:name w:val="heading 4"/>
    <w:basedOn w:val="Heading"/>
    <w:qFormat/>
    <w:pPr>
      <w:outlineLvl w:val="3"/>
    </w:pPr>
    <w:rPr>
      <w:rFonts w:ascii="Calibri" w:hAnsi="Calibri" w:eastAsia="Calibri" w:cs="Calibri"/>
      <w:b/>
      <w:bCs/>
      <w:color w:val="374151"/>
      <w:sz w:val="21"/>
      <w:szCs w:val="21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111827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11827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2026-07-19T20:45:43Z</dcterms:created>
  <dc:creator>AgriContract</dc:creator>
  <dc:description/>
  <dc:language>en-US</dc:language>
  <cp:lastModifiedBy/>
  <dcterms:modified xsi:type="dcterms:W3CDTF">2026-07-19T20:45:47Z</dcterms:modified>
  <cp:revision>2</cp:revision>
  <dc:subject/>
  <dc:title>AgriContract — Kiến trúc hệ thống Phase 2 — Final</dc:title>
</cp:coreProperties>
</file>