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Calibri" w:cs="Calibri" w:eastAsia="Calibri" w:hAnsi="Calibri"/>
          <w:b/>
          <w:bCs/>
          <w:color w:val="1A5276"/>
          <w:sz w:val="56"/>
          <w:szCs w:val="56"/>
        </w:rPr>
        <w:t xml:space="preserve">AgriContract</w:t>
      </w:r>
    </w:p>
    <w:p>
      <w:pPr>
        <w:spacing w:after="160" w:before="160"/>
        <w:jc w:val="center"/>
      </w:pPr>
      <w:r>
        <w:rPr>
          <w:rFonts w:ascii="Calibri" w:cs="Calibri" w:eastAsia="Calibri" w:hAnsi="Calibri"/>
          <w:b/>
          <w:bCs/>
          <w:color w:val="2E4057"/>
          <w:sz w:val="30"/>
          <w:szCs w:val="30"/>
        </w:rPr>
        <w:t xml:space="preserve">Giải Pháp, Người Dùng &amp; Mô Hình Kinh Doanh</w:t>
      </w:r>
    </w:p>
    <w:p>
      <w:pPr>
        <w:jc w:val="center"/>
      </w:pPr>
      <w:r>
        <w:rPr>
          <w:rFonts w:ascii="Calibri" w:cs="Calibri" w:eastAsia="Calibri" w:hAnsi="Calibri"/>
          <w:i/>
          <w:iCs/>
          <w:color w:val="888888"/>
          <w:sz w:val="20"/>
          <w:szCs w:val="20"/>
        </w:rPr>
        <w:t xml:space="preserve">Tài liệu nội bộ — Đồ Án Tốt Nghiệp · Phiên bản 4.0 · Tháng 6/2026</w:t>
      </w:r>
    </w:p>
    <w:p>
      <w:pPr>
        <w:pageBreakBefore/>
      </w:pPr>
      <w:r>
        <w:t xml:space="preserve"/>
      </w:r>
    </w:p>
    <w:p>
      <w:pPr>
        <w:pStyle w:val="Heading1"/>
        <w:spacing w:after="180" w:before="400"/>
      </w:pPr>
      <w:r>
        <w:rPr>
          <w:rFonts w:ascii="Calibri" w:cs="Calibri" w:eastAsia="Calibri" w:hAnsi="Calibri"/>
          <w:b/>
          <w:bCs/>
          <w:color w:val="1A5276"/>
          <w:sz w:val="30"/>
          <w:szCs w:val="30"/>
        </w:rPr>
        <w:t xml:space="preserve">1. Định Nghĩa Sản Phẩm</w:t>
      </w:r>
    </w:p>
    <w:p>
      <w:pPr>
        <w:spacing w:after="100" w:before="80"/>
      </w:pPr>
      <w:r>
        <w:rPr>
          <w:rFonts w:ascii="Calibri" w:cs="Calibri" w:eastAsia="Calibri" w:hAnsi="Calibri"/>
          <w:sz w:val="22"/>
          <w:szCs w:val="22"/>
        </w:rPr>
        <w:t xml:space="preserve">AgriContract số hóa vòng đời hợp đồng mua bán nông sản B2B — từ đàm phán điều khoản, ký kết điện tử, giữ tiền ký quỹ, đến giải ngân sau khi xác nhận giao nhận. Mọi thao tác ghi vào audit trail bất biến. Hợp đồng điện tử trên nền tảng có giá trị pháp lý tương đương hợp đồng giấy theo Luật Giao dịch Điện tử 2023, Điều 34.</w:t>
      </w:r>
    </w:p>
    <w:p>
      <w:pPr>
        <w:spacing w:after="60" w:before="60"/>
      </w:pPr>
      <w:r>
        <w:t xml:space="preserve"/>
      </w:r>
    </w:p>
    <w:p>
      <w:pPr>
        <w:spacing w:after="100" w:before="80"/>
      </w:pPr>
      <w:r>
        <w:rPr>
          <w:rFonts w:ascii="Calibri" w:cs="Calibri" w:eastAsia="Calibri" w:hAnsi="Calibri"/>
          <w:sz w:val="22"/>
          <w:szCs w:val="22"/>
        </w:rPr>
        <w:t xml:space="preserve">Phạm vi của sản phẩm được giới hạn có chủ đích ở tầng hợp đồng: AgriContract không xử lý logistics, không phải sàn thương mại điện tử, không thay thế hệ thống kế toán doanh nghiệp. Phần mềm giải quyết một vấn đề cụ thể — thiếu cơ chế tự thực thi trong giao dịch forward contract nông sản B2B — và không có tham vọng giải quyết toàn bộ chuỗi cung ứng.</w:t>
      </w:r>
    </w:p>
    <w:p>
      <w:pPr>
        <w:spacing w:after="60" w:before="60"/>
      </w:pPr>
      <w:r>
        <w:t xml:space="preserve"/>
      </w:r>
    </w:p>
    <w:p>
      <w:pPr>
        <w:spacing w:after="100" w:before="80"/>
      </w:pPr>
      <w:r>
        <w:rPr>
          <w:rFonts w:ascii="Calibri" w:cs="Calibri" w:eastAsia="Calibri" w:hAnsi="Calibri"/>
          <w:i/>
          <w:iCs/>
          <w:color w:val="1A5276"/>
          <w:sz w:val="19"/>
          <w:szCs w:val="19"/>
        </w:rPr>
        <w:t xml:space="preserve">⚖  Luật GDĐT 2023, Điều 34: "Giá trị pháp lý của hợp đồng điện tử không thể bị phủ nhận chỉ vì hợp đồng đó được thể hiện dưới dạng thông điệp dữ liệu." Điều 14.2: Giá trị chứng cứ của thông điệp dữ liệu được xác định dựa trên độ tin cậy của phương thức khởi tạo, lưu trữ và bảo toàn tính nguyên vẹn.</w:t>
      </w:r>
    </w:p>
    <w:p>
      <w:pPr>
        <w:spacing w:after="60" w:before="60"/>
      </w:pPr>
      <w:r>
        <w:t xml:space="preserve"/>
      </w:r>
    </w:p>
    <w:p>
      <w:pPr>
        <w:pStyle w:val="Heading1"/>
        <w:spacing w:after="180" w:before="400"/>
      </w:pPr>
      <w:r>
        <w:rPr>
          <w:rFonts w:ascii="Calibri" w:cs="Calibri" w:eastAsia="Calibri" w:hAnsi="Calibri"/>
          <w:b/>
          <w:bCs/>
          <w:color w:val="1A5276"/>
          <w:sz w:val="30"/>
          <w:szCs w:val="30"/>
        </w:rPr>
        <w:t xml:space="preserve">2. Năm Tầng Người Dùng</w:t>
      </w:r>
    </w:p>
    <w:p>
      <w:pPr>
        <w:spacing w:after="100" w:before="80"/>
      </w:pPr>
      <w:r>
        <w:rPr>
          <w:rFonts w:ascii="Calibri" w:cs="Calibri" w:eastAsia="Calibri" w:hAnsi="Calibri"/>
          <w:sz w:val="22"/>
          <w:szCs w:val="22"/>
        </w:rPr>
        <w:t xml:space="preserve">Năm nhóm người dùng có quan hệ pháp lý và quyền hạn hoàn toàn khác nhau với nền tảng. Nhầm lẫn giữa các tầng này dẫn đến hiểu sai về mô hình doanh thu, cơ chế trust, và phân tích rủi ro pháp lý.</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4"/>
              <w:bottom w:val="single" w:color="1A5276" w:sz="4"/>
              <w:right w:val="single" w:color="1A5276" w:sz="4"/>
            </w:tcBorders>
            <w:shd w:fill="D5F5E3" w:val="clear"/>
            <w:tcMar>
              <w:top w:type="dxa" w:w="160"/>
              <w:left w:type="dxa" w:w="280"/>
              <w:bottom w:type="dxa" w:w="160"/>
              <w:right w:type="dxa" w:w="280"/>
            </w:tcMar>
          </w:tcPr>
          <w:p>
            <w:pPr>
              <w:spacing w:after="60" w:before="0"/>
            </w:pPr>
            <w:r>
              <w:rPr>
                <w:rFonts w:ascii="Calibri" w:cs="Calibri" w:eastAsia="Calibri" w:hAnsi="Calibri"/>
                <w:b/>
                <w:bCs/>
                <w:color w:val="1A5276"/>
                <w:sz w:val="23"/>
                <w:szCs w:val="23"/>
              </w:rPr>
              <w:t xml:space="preserve">Tầng 1 — Software Buyer — Bên mua phần mềm</w:t>
            </w:r>
          </w:p>
          <w:p>
            <w:pPr>
              <w:spacing w:after="40" w:before="0"/>
            </w:pPr>
            <w:r>
              <w:rPr>
                <w:rFonts w:ascii="Calibri" w:cs="Calibri" w:eastAsia="Calibri" w:hAnsi="Calibri"/>
                <w:sz w:val="20"/>
                <w:szCs w:val="20"/>
              </w:rPr>
              <w:t xml:space="preserve">Hiệp hội ngành hàng (VICOFA, VRA, VINACAS) hoặc doanh nghiệp thu mua lớn (Intimex, Phúc Sinh Group, XNK 2/9 Đắk Lắk). Đây là khách hàng tạo ra doanh thu cho AgriContract.</w:t>
            </w:r>
          </w:p>
          <w:p>
            <w:pPr>
              <w:spacing w:after="60" w:before="0"/>
            </w:pPr>
            <w:r>
              <w:rPr>
                <w:rFonts w:ascii="Calibri" w:cs="Calibri" w:eastAsia="Calibri" w:hAnsi="Calibri"/>
                <w:sz w:val="20"/>
                <w:szCs w:val="20"/>
              </w:rPr>
              <w:t xml:space="preserve">Thanh toán phí license hoặc subscription. Triển khai nền tảng cho cộng đồng thành viên hoặc chuỗi cung ứng của họ. Chỉ định Admin vận hành hệ thống.</w:t>
            </w:r>
          </w:p>
          <w:p>
            <w:pPr>
              <w:spacing w:after="0" w:before="0"/>
            </w:pPr>
            <w:r>
              <w:rPr>
                <w:rFonts w:ascii="Calibri" w:cs="Calibri" w:eastAsia="Calibri" w:hAnsi="Calibri"/>
                <w:i/>
                <w:iCs/>
                <w:color w:val="1A5276"/>
                <w:sz w:val="19"/>
                <w:szCs w:val="19"/>
              </w:rPr>
              <w:t xml:space="preserve">⚖  Quan hệ pháp lý điều chỉnh bởi hợp đồng phần mềm thông thường. Hiệp hội ngành hàng ở vị trí trung lập — không có lợi ích đối lập với Buyer hay Seller trong từng giao dịch, đây là lý do ưu tiên mô hình triển khai qua hiệp hội.</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6914" w:sz="4"/>
              <w:left w:val="single" w:color="8B6914" w:sz="4"/>
              <w:bottom w:val="single" w:color="8B6914" w:sz="4"/>
              <w:right w:val="single" w:color="8B6914" w:sz="4"/>
            </w:tcBorders>
            <w:shd w:fill="FEF9E7" w:val="clear"/>
            <w:tcMar>
              <w:top w:type="dxa" w:w="140"/>
              <w:left w:type="dxa" w:w="240"/>
              <w:bottom w:type="dxa" w:w="140"/>
              <w:right w:type="dxa" w:w="240"/>
            </w:tcMar>
          </w:tcPr>
          <w:p>
            <w:pPr>
              <w:spacing w:after="60" w:before="60"/>
            </w:pPr>
            <w:r>
              <w:rPr>
                <w:rFonts w:ascii="Calibri" w:cs="Calibri" w:eastAsia="Calibri" w:hAnsi="Calibri"/>
                <w:sz w:val="20"/>
                <w:szCs w:val="20"/>
              </w:rPr>
              <w:t xml:space="preserve">Xử lý xung đột lợi ích khi Tầng 1 và Tầng 2 trùng nhau:</w:t>
            </w:r>
          </w:p>
          <w:p>
            <w:pPr>
              <w:spacing w:after="60" w:before="60"/>
            </w:pPr>
            <w:r>
              <w:rPr>
                <w:rFonts w:ascii="Calibri" w:cs="Calibri" w:eastAsia="Calibri" w:hAnsi="Calibri"/>
                <w:sz w:val="20"/>
                <w:szCs w:val="20"/>
              </w:rPr>
              <w:t xml:space="preserve"/>
            </w:r>
          </w:p>
          <w:p>
            <w:pPr>
              <w:spacing w:after="60" w:before="60"/>
            </w:pPr>
            <w:r>
              <w:rPr>
                <w:rFonts w:ascii="Calibri" w:cs="Calibri" w:eastAsia="Calibri" w:hAnsi="Calibri"/>
                <w:sz w:val="20"/>
                <w:szCs w:val="20"/>
              </w:rPr>
              <w:t xml:space="preserve">Khi doanh nghiệp thu mua vừa mua license vừa là bên mua hàng trên nền tảng, Admin</w:t>
            </w:r>
          </w:p>
          <w:p>
            <w:pPr>
              <w:spacing w:after="60" w:before="60"/>
            </w:pPr>
            <w:r>
              <w:rPr>
                <w:rFonts w:ascii="Calibri" w:cs="Calibri" w:eastAsia="Calibri" w:hAnsi="Calibri"/>
                <w:sz w:val="20"/>
                <w:szCs w:val="20"/>
              </w:rPr>
              <w:t xml:space="preserve">của họ có xung đột lợi ích trong vai trò phân xử tranh chấp. Hai cơ chế kiểm soát:</w:t>
            </w:r>
          </w:p>
          <w:p>
            <w:pPr>
              <w:spacing w:after="60" w:before="60"/>
            </w:pPr>
            <w:r>
              <w:rPr>
                <w:rFonts w:ascii="Calibri" w:cs="Calibri" w:eastAsia="Calibri" w:hAnsi="Calibri"/>
                <w:sz w:val="20"/>
                <w:szCs w:val="20"/>
              </w:rPr>
              <w:t xml:space="preserve"/>
            </w:r>
          </w:p>
          <w:p>
            <w:pPr>
              <w:spacing w:after="60" w:before="60"/>
            </w:pPr>
            <w:r>
              <w:rPr>
                <w:rFonts w:ascii="Calibri" w:cs="Calibri" w:eastAsia="Calibri" w:hAnsi="Calibri"/>
                <w:sz w:val="20"/>
                <w:szCs w:val="20"/>
              </w:rPr>
              <w:t xml:space="preserve">(1) Tranh chấp có giá trị lớn hoặc hàng hóa phức tạp bắt buộc kích hoạt INSPECTOR —</w:t>
            </w:r>
          </w:p>
          <w:p>
            <w:pPr>
              <w:spacing w:after="60" w:before="60"/>
            </w:pPr>
            <w:r>
              <w:rPr>
                <w:rFonts w:ascii="Calibri" w:cs="Calibri" w:eastAsia="Calibri" w:hAnsi="Calibri"/>
                <w:sz w:val="20"/>
                <w:szCs w:val="20"/>
              </w:rPr>
              <w:t xml:space="preserve">    Admin chỉ thực thi kết quả giám định, không được ra phán quyết độc lập.</w:t>
            </w:r>
          </w:p>
          <w:p>
            <w:pPr>
              <w:spacing w:after="60" w:before="60"/>
            </w:pPr>
            <w:r>
              <w:rPr>
                <w:rFonts w:ascii="Calibri" w:cs="Calibri" w:eastAsia="Calibri" w:hAnsi="Calibri"/>
                <w:sz w:val="20"/>
                <w:szCs w:val="20"/>
              </w:rPr>
              <w:t xml:space="preserve">(2) Mọi quyết định của Admin được ghi vào audit trail không thể xóa hoặc sửa sau khi submit.</w:t>
            </w:r>
          </w:p>
          <w:p>
            <w:pPr>
              <w:spacing w:after="60" w:before="60"/>
            </w:pPr>
            <w:r>
              <w:rPr>
                <w:rFonts w:ascii="Calibri" w:cs="Calibri" w:eastAsia="Calibri" w:hAnsi="Calibri"/>
                <w:sz w:val="20"/>
                <w:szCs w:val="20"/>
              </w:rPr>
              <w:t xml:space="preserve"/>
            </w:r>
          </w:p>
          <w:p>
            <w:pPr>
              <w:spacing w:after="60" w:before="60"/>
            </w:pPr>
            <w:r>
              <w:rPr>
                <w:rFonts w:ascii="Calibri" w:cs="Calibri" w:eastAsia="Calibri" w:hAnsi="Calibri"/>
                <w:sz w:val="20"/>
                <w:szCs w:val="20"/>
              </w:rPr>
              <w:t xml:space="preserve">Khuyến nghị: ưu tiên triển khai qua hiệp hội ngành hàng để loại bỏ xung đột lợi ích.</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4"/>
              <w:bottom w:val="single" w:color="1A5276" w:sz="4"/>
              <w:right w:val="single" w:color="1A5276" w:sz="4"/>
            </w:tcBorders>
            <w:shd w:fill="EBF5FB" w:val="clear"/>
            <w:tcMar>
              <w:top w:type="dxa" w:w="160"/>
              <w:left w:type="dxa" w:w="280"/>
              <w:bottom w:type="dxa" w:w="160"/>
              <w:right w:type="dxa" w:w="280"/>
            </w:tcMar>
          </w:tcPr>
          <w:p>
            <w:pPr>
              <w:spacing w:after="60" w:before="0"/>
            </w:pPr>
            <w:r>
              <w:rPr>
                <w:rFonts w:ascii="Calibri" w:cs="Calibri" w:eastAsia="Calibri" w:hAnsi="Calibri"/>
                <w:b/>
                <w:bCs/>
                <w:color w:val="1A5276"/>
                <w:sz w:val="23"/>
                <w:szCs w:val="23"/>
              </w:rPr>
              <w:t xml:space="preserve">Tầng 2 — Platform Buyer — Bên mua hàng</w:t>
            </w:r>
          </w:p>
          <w:p>
            <w:pPr>
              <w:spacing w:after="40" w:before="0"/>
            </w:pPr>
            <w:r>
              <w:rPr>
                <w:rFonts w:ascii="Calibri" w:cs="Calibri" w:eastAsia="Calibri" w:hAnsi="Calibri"/>
                <w:sz w:val="20"/>
                <w:szCs w:val="20"/>
              </w:rPr>
              <w:t xml:space="preserve">Doanh nghiệp thu mua, tập đoàn xuất khẩu nông sản. Trong nhiều trường hợp trùng với Tầng 1.</w:t>
            </w:r>
          </w:p>
          <w:p>
            <w:pPr>
              <w:spacing w:after="60" w:before="0"/>
            </w:pPr>
            <w:r>
              <w:rPr>
                <w:rFonts w:ascii="Calibri" w:cs="Calibri" w:eastAsia="Calibri" w:hAnsi="Calibri"/>
                <w:sz w:val="20"/>
                <w:szCs w:val="20"/>
              </w:rPr>
              <w:t xml:space="preserve">Khởi tạo offer và đàm phán điều khoản hợp đồng. Chuyển tiền vào escrow trước khi Seller giao hàng. Xác nhận nhận hàng để kích hoạt giải ngân.</w:t>
            </w:r>
          </w:p>
          <w:p>
            <w:pPr>
              <w:spacing w:after="0" w:before="0"/>
            </w:pPr>
            <w:r>
              <w:rPr>
                <w:rFonts w:ascii="Calibri" w:cs="Calibri" w:eastAsia="Calibri" w:hAnsi="Calibri"/>
                <w:i/>
                <w:iCs/>
                <w:color w:val="1A5276"/>
                <w:sz w:val="19"/>
                <w:szCs w:val="19"/>
              </w:rPr>
              <w:t xml:space="preserve">⚖  BLDS 2015, Điều 328: Ký quỹ là biện pháp bảo đảm thực hiện nghĩa vụ hợp pháp. Việc Buyer lock tiền vào escrow tạo ra ràng buộc pháp lý có thể thực thi — không chỉ là cam kết đạo đức.</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4"/>
              <w:bottom w:val="single" w:color="1A5276" w:sz="4"/>
              <w:right w:val="single" w:color="1A5276" w:sz="4"/>
            </w:tcBorders>
            <w:shd w:fill="D5F5E3" w:val="clear"/>
            <w:tcMar>
              <w:top w:type="dxa" w:w="160"/>
              <w:left w:type="dxa" w:w="280"/>
              <w:bottom w:type="dxa" w:w="160"/>
              <w:right w:type="dxa" w:w="280"/>
            </w:tcMar>
          </w:tcPr>
          <w:p>
            <w:pPr>
              <w:spacing w:after="60" w:before="0"/>
            </w:pPr>
            <w:r>
              <w:rPr>
                <w:rFonts w:ascii="Calibri" w:cs="Calibri" w:eastAsia="Calibri" w:hAnsi="Calibri"/>
                <w:b/>
                <w:bCs/>
                <w:color w:val="1A5276"/>
                <w:sz w:val="23"/>
                <w:szCs w:val="23"/>
              </w:rPr>
              <w:t xml:space="preserve">Tầng 3 — Platform Seller — Bên bán hàng (HTX)</w:t>
            </w:r>
          </w:p>
          <w:p>
            <w:pPr>
              <w:spacing w:after="40" w:before="0"/>
            </w:pPr>
            <w:r>
              <w:rPr>
                <w:rFonts w:ascii="Calibri" w:cs="Calibri" w:eastAsia="Calibri" w:hAnsi="Calibri"/>
                <w:sz w:val="20"/>
                <w:szCs w:val="20"/>
              </w:rPr>
              <w:t xml:space="preserve">Hợp tác xã nông sản, nông hộ liên kết, doanh nghiệp cung ứng nguyên liệu. Đây là nhóm được bảo vệ trực tiếp nhất bởi cơ chế escrow.</w:t>
            </w:r>
          </w:p>
          <w:p>
            <w:pPr>
              <w:spacing w:after="60" w:before="0"/>
            </w:pPr>
            <w:r>
              <w:rPr>
                <w:rFonts w:ascii="Calibri" w:cs="Calibri" w:eastAsia="Calibri" w:hAnsi="Calibri"/>
                <w:sz w:val="20"/>
                <w:szCs w:val="20"/>
              </w:rPr>
              <w:t xml:space="preserve">Đăng listing sản phẩm sau khi được Admin xác minh. Nhận và đàm phán offer từ Buyer. Ký hợp đồng điện tử. Giao hàng và nhận thanh toán sau xác nhận.</w:t>
            </w:r>
          </w:p>
          <w:p>
            <w:pPr>
              <w:spacing w:after="0" w:before="0"/>
            </w:pPr>
            <w:r>
              <w:rPr>
                <w:rFonts w:ascii="Calibri" w:cs="Calibri" w:eastAsia="Calibri" w:hAnsi="Calibri"/>
                <w:i/>
                <w:iCs/>
                <w:color w:val="1A5276"/>
                <w:sz w:val="19"/>
                <w:szCs w:val="19"/>
              </w:rPr>
              <w:t xml:space="preserve">⚖  Nghị định 98/2018, Điều 4: HTX tham gia liên kết cần đăng ký kinh doanh hợp lệ. Admin xác minh tư cách pháp nhân và thẩm quyền ký kết của người đại diện theo BLDS 2015, Điều 142, trước khi kích hoạt tài khoản — bước này bắt buộc để tránh hợp đồng bị tuyên vô hiệu.</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4"/>
              <w:bottom w:val="single" w:color="1A5276" w:sz="4"/>
              <w:right w:val="single" w:color="1A5276" w:sz="4"/>
            </w:tcBorders>
            <w:shd w:fill="FEF9E7" w:val="clear"/>
            <w:tcMar>
              <w:top w:type="dxa" w:w="160"/>
              <w:left w:type="dxa" w:w="280"/>
              <w:bottom w:type="dxa" w:w="160"/>
              <w:right w:type="dxa" w:w="280"/>
            </w:tcMar>
          </w:tcPr>
          <w:p>
            <w:pPr>
              <w:spacing w:after="60" w:before="0"/>
            </w:pPr>
            <w:r>
              <w:rPr>
                <w:rFonts w:ascii="Calibri" w:cs="Calibri" w:eastAsia="Calibri" w:hAnsi="Calibri"/>
                <w:b/>
                <w:bCs/>
                <w:color w:val="1A5276"/>
                <w:sz w:val="23"/>
                <w:szCs w:val="23"/>
              </w:rPr>
              <w:t xml:space="preserve">Tầng 4 — INSPECTOR — Giám định độc lập</w:t>
            </w:r>
          </w:p>
          <w:p>
            <w:pPr>
              <w:spacing w:after="40" w:before="0"/>
            </w:pPr>
            <w:r>
              <w:rPr>
                <w:rFonts w:ascii="Calibri" w:cs="Calibri" w:eastAsia="Calibri" w:hAnsi="Calibri"/>
                <w:sz w:val="20"/>
                <w:szCs w:val="20"/>
              </w:rPr>
              <w:t xml:space="preserve">Tổ chức giám định được Nhà nước công nhận: SGS, Bureau Veritas, hoặc đơn vị có chứng nhận từ Bộ Nông nghiệp và Môi trường hoặc Bộ Khoa học và Công nghệ.</w:t>
            </w:r>
          </w:p>
          <w:p>
            <w:pPr>
              <w:spacing w:after="60" w:before="0"/>
            </w:pPr>
            <w:r>
              <w:rPr>
                <w:rFonts w:ascii="Calibri" w:cs="Calibri" w:eastAsia="Calibri" w:hAnsi="Calibri"/>
                <w:sz w:val="20"/>
                <w:szCs w:val="20"/>
              </w:rPr>
              <w:t xml:space="preserve">INSPECTOR là nhân chứng chuyên môn, không phải người phán xử. Cân hàng tại hai điểm — kho Seller và kho Buyer — để xác định số lượng thực tế xuất kho, số lượng nhập kho, và hao mòn trong vận chuyển. Kết quả được upload lên hệ thống dưới dạng inspection report có hash xác thực, không thể chỉnh sửa sau khi submit. Admin đọc report và thực thi giải ngân theo report — không có quyền override. Nếu Admin override: hành động được flagged và ghi vào audit trail vĩnh viễn.</w:t>
            </w:r>
          </w:p>
          <w:p>
            <w:pPr>
              <w:spacing w:after="0" w:before="0"/>
            </w:pPr>
            <w:r>
              <w:rPr>
                <w:rFonts w:ascii="Calibri" w:cs="Calibri" w:eastAsia="Calibri" w:hAnsi="Calibri"/>
                <w:i/>
                <w:iCs/>
                <w:color w:val="1A5276"/>
                <w:sz w:val="19"/>
                <w:szCs w:val="19"/>
              </w:rPr>
              <w:t xml:space="preserve">⚖  Tổ chức giám định quốc tế có chứng nhận chịu trách nhiệm pháp nhân đối với kết quả giám định sai. Phí giám định do bên thua tranh chấp chịu; nếu phán quyết chia đôi thì mỗi bên chịu 50%. Hai bên cần deposit phí giám định vào escrow trước khi INSPECTOR được assign vào tranh chấp.</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5276" w:sz="4"/>
              <w:left w:val="single" w:color="1A5276" w:sz="4"/>
              <w:bottom w:val="single" w:color="1A5276" w:sz="4"/>
              <w:right w:val="single" w:color="1A5276" w:sz="4"/>
            </w:tcBorders>
            <w:shd w:fill="EBF5FB" w:val="clear"/>
            <w:tcMar>
              <w:top w:type="dxa" w:w="160"/>
              <w:left w:type="dxa" w:w="280"/>
              <w:bottom w:type="dxa" w:w="160"/>
              <w:right w:type="dxa" w:w="280"/>
            </w:tcMar>
          </w:tcPr>
          <w:p>
            <w:pPr>
              <w:spacing w:after="60" w:before="0"/>
            </w:pPr>
            <w:r>
              <w:rPr>
                <w:rFonts w:ascii="Calibri" w:cs="Calibri" w:eastAsia="Calibri" w:hAnsi="Calibri"/>
                <w:b/>
                <w:bCs/>
                <w:color w:val="1A5276"/>
                <w:sz w:val="23"/>
                <w:szCs w:val="23"/>
              </w:rPr>
              <w:t xml:space="preserve">Tầng 5 — Escrow Holder — Ngân hàng (Phase 2)</w:t>
            </w:r>
          </w:p>
          <w:p>
            <w:pPr>
              <w:spacing w:after="40" w:before="0"/>
            </w:pPr>
            <w:r>
              <w:rPr>
                <w:rFonts w:ascii="Calibri" w:cs="Calibri" w:eastAsia="Calibri" w:hAnsi="Calibri"/>
                <w:sz w:val="20"/>
                <w:szCs w:val="20"/>
              </w:rPr>
              <w:t xml:space="preserve">Agribank hoặc BIDV — ngân hàng thương mại được NHNN cấp phép đầy đủ.</w:t>
            </w:r>
          </w:p>
          <w:p>
            <w:pPr>
              <w:spacing w:after="60" w:before="0"/>
            </w:pPr>
            <w:r>
              <w:rPr>
                <w:rFonts w:ascii="Calibri" w:cs="Calibri" w:eastAsia="Calibri" w:hAnsi="Calibri"/>
                <w:sz w:val="20"/>
                <w:szCs w:val="20"/>
              </w:rPr>
              <w:t xml:space="preserve">Không phải người dùng của nền tảng. Giữ tiền thật trong Phase 2. Nền tảng chỉ gửi lệnh lock, release, hoặc penalty — ngân hàng thực thi. Cấu trúc này loại bỏ hoàn toàn rủi ro vi phạm quy định trung gian thanh toán.</w:t>
            </w:r>
          </w:p>
          <w:p>
            <w:pPr>
              <w:spacing w:after="0" w:before="0"/>
            </w:pPr>
            <w:r>
              <w:rPr>
                <w:rFonts w:ascii="Calibri" w:cs="Calibri" w:eastAsia="Calibri" w:hAnsi="Calibri"/>
                <w:i/>
                <w:iCs/>
                <w:color w:val="1A5276"/>
                <w:sz w:val="19"/>
                <w:szCs w:val="19"/>
              </w:rPr>
              <w:t xml:space="preserve">⚖  Nghị định 52/2024, Điều 8, Khoản 7: Nghiêm cấm cung ứng dịch vụ trung gian thanh toán khi chưa được NHNN cấp phép. Khi ngân hàng giữ tiền, nền tảng không vi phạm quy định này. Trong Phase 1, nền tảng sử dụng mock balance — không có tiền thật nào được giữ, không có giao dịch thanh toán thật nào phát sinh.</w:t>
            </w:r>
          </w:p>
        </w:tc>
      </w:tr>
    </w:tbl>
    <w:p>
      <w:pPr>
        <w:spacing w:after="60" w:before="60"/>
      </w:pPr>
      <w:r>
        <w:t xml:space="preserve"/>
      </w:r>
    </w:p>
    <w:p>
      <w:pPr>
        <w:pStyle w:val="Heading1"/>
        <w:spacing w:after="180" w:before="400"/>
      </w:pPr>
      <w:r>
        <w:rPr>
          <w:rFonts w:ascii="Calibri" w:cs="Calibri" w:eastAsia="Calibri" w:hAnsi="Calibri"/>
          <w:b/>
          <w:bCs/>
          <w:color w:val="1A5276"/>
          <w:sz w:val="30"/>
          <w:szCs w:val="30"/>
        </w:rPr>
        <w:t xml:space="preserve">3. Luồng Giao Dịch — Phase 1</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1800"/>
        <w:gridCol w:w="1500"/>
        <w:gridCol w:w="1426"/>
      </w:tblGrid>
      <w:tr>
        <w:trPr>
          <w:tblHeader/>
        </w:trPr>
        <w:tc>
          <w:tcPr>
            <w:tcW w:type="dxa" w:w="5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Bước</w:t>
            </w:r>
          </w:p>
        </w:tc>
        <w:tc>
          <w:tcPr>
            <w:tcW w:type="dxa" w:w="28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Hành động</w:t>
            </w:r>
          </w:p>
        </w:tc>
        <w:tc>
          <w:tcPr>
            <w:tcW w:type="dxa" w:w="18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Trạng thái hợp đồng</w:t>
            </w:r>
          </w:p>
        </w:tc>
        <w:tc>
          <w:tcPr>
            <w:tcW w:type="dxa" w:w="15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Trạng thái escrow</w:t>
            </w:r>
          </w:p>
        </w:tc>
        <w:tc>
          <w:tcPr>
            <w:tcW w:type="dxa" w:w="1426"/>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Bên thực hiện</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1</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Seller đăng listing sau khi Admin xác minh tư cách pháp nhân</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Seller (Tầng 3)</w:t>
            </w:r>
          </w:p>
        </w:tc>
      </w:tr>
      <w:tr>
        <w:tc>
          <w:tcPr>
            <w:tcW w:type="dxa" w:w="5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2</w:t>
            </w:r>
          </w:p>
        </w:tc>
        <w:tc>
          <w:tcPr>
            <w:tcW w:type="dxa" w:w="2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Buyer gửi offer đề xuất điều khoản</w:t>
            </w:r>
          </w:p>
        </w:tc>
        <w:tc>
          <w:tcPr>
            <w:tcW w:type="dxa" w:w="1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OFFERED</w:t>
            </w:r>
          </w:p>
        </w:tc>
        <w:tc>
          <w:tcPr>
            <w:tcW w:type="dxa" w:w="15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w:t>
            </w:r>
          </w:p>
        </w:tc>
        <w:tc>
          <w:tcPr>
            <w:tcW w:type="dxa" w:w="14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Buyer (Tầng 2)</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3</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Hai bên đàm phán; mọi thay đổi ghi vào audit trail bất biến</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NEGOTIATING</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Buyer + Seller</w:t>
            </w:r>
          </w:p>
        </w:tc>
      </w:tr>
      <w:tr>
        <w:tc>
          <w:tcPr>
            <w:tcW w:type="dxa" w:w="5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4</w:t>
            </w:r>
          </w:p>
        </w:tc>
        <w:tc>
          <w:tcPr>
            <w:tcW w:type="dxa" w:w="2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Hai bên ký hợp đồng điện tử — có giá trị pháp lý theo Luật GDĐT 2023</w:t>
            </w:r>
          </w:p>
        </w:tc>
        <w:tc>
          <w:tcPr>
            <w:tcW w:type="dxa" w:w="1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SIGNED</w:t>
            </w:r>
          </w:p>
        </w:tc>
        <w:tc>
          <w:tcPr>
            <w:tcW w:type="dxa" w:w="15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w:t>
            </w:r>
          </w:p>
        </w:tc>
        <w:tc>
          <w:tcPr>
            <w:tcW w:type="dxa" w:w="14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Buyer + Seller</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5</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Buyer lock tiền; Seller lock cọc (Phase 1: mock balance)</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ACTIVE</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LOCKED</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Buyer + Seller</w:t>
            </w:r>
          </w:p>
        </w:tc>
      </w:tr>
      <w:tr>
        <w:tc>
          <w:tcPr>
            <w:tcW w:type="dxa" w:w="5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6</w:t>
            </w:r>
          </w:p>
        </w:tc>
        <w:tc>
          <w:tcPr>
            <w:tcW w:type="dxa" w:w="2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Seller giao hàng theo điều khoản đã ký</w:t>
            </w:r>
          </w:p>
        </w:tc>
        <w:tc>
          <w:tcPr>
            <w:tcW w:type="dxa" w:w="1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ACTIVE</w:t>
            </w:r>
          </w:p>
        </w:tc>
        <w:tc>
          <w:tcPr>
            <w:tcW w:type="dxa" w:w="15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LOCKED</w:t>
            </w:r>
          </w:p>
        </w:tc>
        <w:tc>
          <w:tcPr>
            <w:tcW w:type="dxa" w:w="14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Seller</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7</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Buyer xác nhận nhận hàng (Phase 2: dựa trên inspection report)</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DELIVERED</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LOCKED</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Buyer + INSPECTOR</w:t>
            </w:r>
          </w:p>
        </w:tc>
      </w:tr>
      <w:tr>
        <w:tc>
          <w:tcPr>
            <w:tcW w:type="dxa" w:w="5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8</w:t>
            </w:r>
          </w:p>
        </w:tc>
        <w:tc>
          <w:tcPr>
            <w:tcW w:type="dxa" w:w="2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Escrow tự động giải ngân cho Seller</w:t>
            </w:r>
          </w:p>
        </w:tc>
        <w:tc>
          <w:tcPr>
            <w:tcW w:type="dxa" w:w="1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SETTLED</w:t>
            </w:r>
          </w:p>
        </w:tc>
        <w:tc>
          <w:tcPr>
            <w:tcW w:type="dxa" w:w="15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RELEASED</w:t>
            </w:r>
          </w:p>
        </w:tc>
        <w:tc>
          <w:tcPr>
            <w:tcW w:type="dxa" w:w="14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Hệ thống</w:t>
            </w:r>
          </w:p>
        </w:tc>
      </w:tr>
    </w:tbl>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3.1 Xử lý hủy hợp đồng và penalty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300"/>
        <w:gridCol w:w="2626"/>
      </w:tblGrid>
      <w:tr>
        <w:trPr>
          <w:tblHeader/>
        </w:trPr>
        <w:tc>
          <w:tcPr>
            <w:tcW w:type="dxa" w:w="19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Tình huống</w:t>
            </w:r>
          </w:p>
        </w:tc>
        <w:tc>
          <w:tcPr>
            <w:tcW w:type="dxa" w:w="22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Hành động</w:t>
            </w:r>
          </w:p>
        </w:tc>
        <w:tc>
          <w:tcPr>
            <w:tcW w:type="dxa" w:w="23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Kết quả escrow</w:t>
            </w:r>
          </w:p>
        </w:tc>
        <w:tc>
          <w:tcPr>
            <w:tcW w:type="dxa" w:w="2626"/>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Căn cứ pháp lý</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Hủy trước khi ký</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Tự do rút — không cần lý do</w:t>
            </w:r>
          </w:p>
        </w:tc>
        <w:tc>
          <w:tcPr>
            <w:tcW w:type="dxa" w:w="2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Không có escrow; không phát sinh nghĩa vụ tài chính</w:t>
            </w:r>
          </w:p>
        </w:tc>
        <w:tc>
          <w:tcPr>
            <w:tcW w:type="dxa" w:w="26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BLDS 2015, Điều 403: Tự do giao kết hợp đồng</w:t>
            </w:r>
          </w:p>
        </w:tc>
      </w:tr>
      <w:tr>
        <w:tc>
          <w:tcPr>
            <w:tcW w:type="dxa" w:w="19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Buyer hủy sau khi escrow active</w:t>
            </w:r>
          </w:p>
        </w:tc>
        <w:tc>
          <w:tcPr>
            <w:tcW w:type="dxa" w:w="22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Buyer mất cọc theo penalty rate đã ký trong ContractTerms</w:t>
            </w:r>
          </w:p>
        </w:tc>
        <w:tc>
          <w:tcPr>
            <w:tcW w:type="dxa" w:w="23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PENALIZED_BUYER: một phần tiền chuyển sang Seller theo rate</w:t>
            </w:r>
          </w:p>
        </w:tc>
        <w:tc>
          <w:tcPr>
            <w:tcW w:type="dxa" w:w="26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BLDS 2015, Điều 328: Ký quỹ; Luật TM 2005, Điều 300: Phạt vi phạm theo thỏa thuận</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Seller hủy sau khi escrow active</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Seller chịu bồi thường theo điều khoản đã ký</w:t>
            </w:r>
          </w:p>
        </w:tc>
        <w:tc>
          <w:tcPr>
            <w:tcW w:type="dxa" w:w="2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PENALIZED_SELLER: hoàn tiền toàn bộ cho Buyer</w:t>
            </w:r>
          </w:p>
        </w:tc>
        <w:tc>
          <w:tcPr>
            <w:tcW w:type="dxa" w:w="26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Luật TM 2005, Điều 302: Bồi thường thiệt hại do vi phạm</w:t>
            </w:r>
          </w:p>
        </w:tc>
      </w:tr>
      <w:tr>
        <w:tc>
          <w:tcPr>
            <w:tcW w:type="dxa" w:w="19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Tranh chấp sau giao nhận</w:t>
            </w:r>
          </w:p>
        </w:tc>
        <w:tc>
          <w:tcPr>
            <w:tcW w:type="dxa" w:w="22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Buyer kích hoạt DISPUTED → Tiered Dispute flow</w:t>
            </w:r>
          </w:p>
        </w:tc>
        <w:tc>
          <w:tcPr>
            <w:tcW w:type="dxa" w:w="23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ARBITRATED: phân chia theo kết quả giám định và quyết định Admin</w:t>
            </w:r>
          </w:p>
        </w:tc>
        <w:tc>
          <w:tcPr>
            <w:tcW w:type="dxa" w:w="26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Nghị định 98/2018, Điều 15: Lựa chọn phương thức phù hợp</w:t>
            </w:r>
          </w:p>
        </w:tc>
      </w:tr>
    </w:tbl>
    <w:p>
      <w:pPr>
        <w:spacing w:after="60" w:before="60"/>
      </w:pPr>
      <w:r>
        <w:t xml:space="preserve"/>
      </w:r>
    </w:p>
    <w:p>
      <w:pPr>
        <w:pStyle w:val="Heading1"/>
        <w:spacing w:after="180" w:before="400"/>
      </w:pPr>
      <w:r>
        <w:rPr>
          <w:rFonts w:ascii="Calibri" w:cs="Calibri" w:eastAsia="Calibri" w:hAnsi="Calibri"/>
          <w:b/>
          <w:bCs/>
          <w:color w:val="1A5276"/>
          <w:sz w:val="30"/>
          <w:szCs w:val="30"/>
        </w:rPr>
        <w:t xml:space="preserve">4. Các Gap Kỹ Thuật Được Xác Định Cho Phase 2</w:t>
      </w:r>
    </w:p>
    <w:p>
      <w:pPr>
        <w:spacing w:after="100" w:before="80"/>
      </w:pPr>
      <w:r>
        <w:rPr>
          <w:rFonts w:ascii="Calibri" w:cs="Calibri" w:eastAsia="Calibri" w:hAnsi="Calibri"/>
          <w:sz w:val="22"/>
          <w:szCs w:val="22"/>
        </w:rPr>
        <w:t xml:space="preserve">Sau khi hoàn thiện Phase 1, sáu nhóm vấn đề cần giải quyết trong Phase 2 để đảm bảo khả năng vận hành thực tế ở quy mô thương mại.</w:t>
      </w:r>
    </w:p>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4.1 Milestone Escrow và Dynamic Milestone Schedule</w:t>
      </w:r>
    </w:p>
    <w:p>
      <w:pPr>
        <w:spacing w:after="100" w:before="80"/>
      </w:pPr>
      <w:r>
        <w:rPr>
          <w:rFonts w:ascii="Calibri" w:cs="Calibri" w:eastAsia="Calibri" w:hAnsi="Calibri"/>
          <w:sz w:val="22"/>
          <w:szCs w:val="22"/>
        </w:rPr>
        <w:t xml:space="preserve">Lock 100% giá trị hợp đồng ngay từ đầu — mô hình Phase 1 — gây áp lực vốn lưu động nghiêm trọng ở quy mô thương mại. Tại mức 1.000 tấn cà phê với giá 135 triệu đồng/tấn, một hợp đồng đơn lẻ đòi hỏi 135 tỷ đồng nằm bất động trong escrow suốt nhiều tháng. Không có doanh nghiệp nào — dù lớn hay nhỏ — có thể vận hành nhiều hợp đồng song song với cấu trúc vốn như vậy.</w:t>
      </w:r>
    </w:p>
    <w:p>
      <w:pPr>
        <w:spacing w:after="60" w:before="60"/>
      </w:pPr>
      <w:r>
        <w:t xml:space="preserve"/>
      </w:r>
    </w:p>
    <w:p>
      <w:pPr>
        <w:spacing w:after="40" w:before="80"/>
        <w:ind w:left="720"/>
      </w:pPr>
      <w:r>
        <w:rPr>
          <w:rFonts w:ascii="Calibri" w:cs="Calibri" w:eastAsia="Calibri" w:hAnsi="Calibri"/>
          <w:i/>
          <w:iCs/>
          <w:color w:val="333333"/>
          <w:sz w:val="20"/>
          <w:szCs w:val="20"/>
        </w:rPr>
        <w:t xml:space="preserve">"Trước kia 100 triệu mua được 2 tấn thì nay 100 triệu chỉ còn 1 tấn. Chúng tôi phải giảm kế hoạch từ 125.000 tấn xuống 105.000 tấn để kiểm soát rủi ro vốn."</w:t>
      </w:r>
    </w:p>
    <w:p>
      <w:pPr>
        <w:spacing w:after="100" w:before="0"/>
        <w:ind w:left="720"/>
      </w:pPr>
      <w:r>
        <w:rPr>
          <w:rFonts w:ascii="Calibri" w:cs="Calibri" w:eastAsia="Calibri" w:hAnsi="Calibri"/>
          <w:color w:val="555555"/>
          <w:sz w:val="18"/>
          <w:szCs w:val="18"/>
        </w:rPr>
        <w:t xml:space="preserve">Ông Lê Đức Huy, Tổng Giám đốc Công ty XNK 2/9 Đắk Lắk — VTV.vn, 17/4/2024</w:t>
      </w:r>
    </w:p>
    <w:p>
      <w:pPr>
        <w:spacing w:after="60" w:before="60"/>
      </w:pPr>
      <w:r>
        <w:t xml:space="preserve"/>
      </w:r>
    </w:p>
    <w:p>
      <w:pPr>
        <w:spacing w:after="100" w:before="80"/>
      </w:pPr>
      <w:r>
        <w:rPr>
          <w:rFonts w:ascii="Calibri" w:cs="Calibri" w:eastAsia="Calibri" w:hAnsi="Calibri"/>
          <w:sz w:val="22"/>
          <w:szCs w:val="22"/>
        </w:rPr>
        <w:t xml:space="preserve">Phase 2 chuyển sang mô hình Delivery-vs-Payment: Buyer lock từng đợt thanh toán theo tiến độ giao hàng được xác nhận bởi INSPECTOR. Seller không nộp tiền cọc — hàng đã giao là rủi ro thực tế của Seller, không thể thu hồi.</w:t>
      </w:r>
    </w:p>
    <w:p>
      <w:pPr>
        <w:spacing w:after="60" w:before="60"/>
      </w:pPr>
      <w:r>
        <w:t xml:space="preserve"/>
      </w:r>
    </w:p>
    <w:p>
      <w:pPr>
        <w:spacing w:after="100" w:before="80"/>
      </w:pPr>
      <w:r>
        <w:rPr>
          <w:rFonts w:ascii="Calibri" w:cs="Calibri" w:eastAsia="Calibri" w:hAnsi="Calibri"/>
          <w:sz w:val="22"/>
          <w:szCs w:val="22"/>
        </w:rPr>
        <w:t xml:space="preserve">Tỷ lệ từng batch không cố định mà được đàm phán vào ContractTerms dựa trên lịch tài chính thực tế của HTX — Dynamic Milestone Schedule. Ví dụ: HTX có khoản vay ngân hàng đáo hạn vào tháng 2 có thể thỏa thuận batch đầu 50% thay vì 30% chuẩn. Điều này giải quyết trực tiếp vấn đề 30% cố định không đủ trả nợ đáo hạn mà mô hình cứng nhắc không xử lý được.</w:t>
      </w:r>
    </w:p>
    <w:p>
      <w:pPr>
        <w:spacing w:after="60" w:before="60"/>
      </w:pPr>
      <w:r>
        <w:t xml:space="preserve"/>
      </w:r>
    </w:p>
    <w:p>
      <w:pPr>
        <w:spacing w:after="100" w:before="80"/>
      </w:pPr>
      <w:r>
        <w:rPr>
          <w:rFonts w:ascii="Calibri" w:cs="Calibri" w:eastAsia="Calibri" w:hAnsi="Calibri"/>
          <w:sz w:val="22"/>
          <w:szCs w:val="22"/>
        </w:rPr>
        <w:t xml:space="preserve">Chi phí 30% lock là rẻ so với rủi ro nó bảo hiểm. Phép tính cụ thể với hợp đồng 100 tấn cà phê, giá 135 triệu/tấn (tổng 13,5 tỷ đồng):</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626"/>
      </w:tblGrid>
      <w:tr>
        <w:trPr>
          <w:tblHeader/>
        </w:trPr>
        <w:tc>
          <w:tcPr>
            <w:tcW w:type="dxa" w:w="32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Kịch bản</w:t>
            </w:r>
          </w:p>
        </w:tc>
        <w:tc>
          <w:tcPr>
            <w:tcW w:type="dxa" w:w="32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Chi phí thực tế</w:t>
            </w:r>
          </w:p>
        </w:tc>
        <w:tc>
          <w:tcPr>
            <w:tcW w:type="dxa" w:w="2626"/>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Kết quả</w:t>
            </w:r>
          </w:p>
        </w:tc>
      </w:tr>
      <w:tr>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Buyer lock 30% trong 3 tháng chờ giao hàng
(chi phí cơ hội tính theo lãi suất vốn lưu động 8%/năm)</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13,5 tỷ × 30% × 8% × 3/12
= ~81 triệu đồng</w:t>
            </w:r>
          </w:p>
        </w:tc>
        <w:tc>
          <w:tcPr>
            <w:tcW w:type="dxa" w:w="26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Buyer đảm bảo nhận đủ 100 tấn theo giá đã chốt. Nếu Seller bẻ kèo: nhận lại 30% + penalty, vẫn có hàng batch 1.</w:t>
            </w:r>
          </w:p>
        </w:tc>
      </w:tr>
      <w:tr>
        <w:tc>
          <w:tcPr>
            <w:tcW w:type="dxa" w:w="32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Buyer không dùng platform
(kịch bản 2024: Seller bẻ kèo khi giá tăng 125%)</w:t>
            </w:r>
          </w:p>
        </w:tc>
        <w:tc>
          <w:tcPr>
            <w:tcW w:type="dxa" w:w="32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Phải mua bổ sung từ thương lái giá thị trường cao hơn, hoặc cắt kế hoạch kinh doanh 15–20%; thiệt hại doanh thu ước tính hàng chục tỷ mỗi hợp đồng; chưa tính phạt hợp đồng xuất khẩu với đối tác EU</w:t>
            </w:r>
          </w:p>
        </w:tc>
        <w:tc>
          <w:tcPr>
            <w:tcW w:type="dxa" w:w="26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Không có bảo hiểm. Bẻ kèo = mất trắng, không đền bù, không bằng chứng.</w:t>
            </w:r>
          </w:p>
        </w:tc>
      </w:tr>
    </w:tbl>
    <w:p>
      <w:pPr>
        <w:spacing w:after="60" w:before="60"/>
      </w:pPr>
      <w:r>
        <w:t xml:space="preserve"/>
      </w:r>
    </w:p>
    <w:p>
      <w:pPr>
        <w:spacing w:after="100" w:before="40"/>
        <w:ind w:left="720"/>
      </w:pPr>
      <w:r>
        <w:rPr>
          <w:rFonts w:ascii="Calibri" w:cs="Calibri" w:eastAsia="Calibri" w:hAnsi="Calibri"/>
          <w:i/>
          <w:iCs/>
          <w:color w:val="888888"/>
          <w:sz w:val="17"/>
          <w:szCs w:val="17"/>
        </w:rPr>
        <w:t xml:space="preserve">Lãi suất vay vốn lưu động doanh nghiệp 2025–2026: 6,8–9%/năm (ACB); lãi suất cho vay bình quân 10/2025 ở mức 6,55%/năm, dự báo 6,9–7,5%/năm Q1/2026 (NHNN/Tạp chí Kinh tế Tài chính)</w:t>
      </w:r>
    </w:p>
    <w:p>
      <w:pPr>
        <w:spacing w:after="60" w:before="60"/>
      </w:pPr>
      <w:r>
        <w:t xml:space="preserve"/>
      </w:r>
    </w:p>
    <w:p>
      <w:pPr>
        <w:spacing w:after="100" w:before="80"/>
      </w:pPr>
      <w:r>
        <w:rPr>
          <w:rFonts w:ascii="Calibri" w:cs="Calibri" w:eastAsia="Calibri" w:hAnsi="Calibri"/>
          <w:sz w:val="22"/>
          <w:szCs w:val="22"/>
        </w:rPr>
        <w:t xml:space="preserve">Ngoài ra, trong Phase 2 khi ngân hàng tích hợp trực tiếp vào platform, HTX có thể dùng hợp đồng forward đang active — với escrow đã lock từ phía Buyer — làm bằng chứng dòng tiền tương lai để vay vốn lưu động trong vụ. Hợp đồng có escrow = dòng tiền xác định = tài sản thế chấp thay thế. Agribank đang thử nghiệm cơ chế tín dụng chuỗi giá trị theo hướng này, không cần đợi đến lúc giao hàng xong mới giải ngân.</w:t>
      </w:r>
    </w:p>
    <w:p>
      <w:pPr>
        <w:spacing w:after="100" w:before="40"/>
        <w:ind w:left="720"/>
      </w:pPr>
      <w:r>
        <w:rPr>
          <w:rFonts w:ascii="Calibri" w:cs="Calibri" w:eastAsia="Calibri" w:hAnsi="Calibri"/>
          <w:i/>
          <w:iCs/>
          <w:color w:val="888888"/>
          <w:sz w:val="17"/>
          <w:szCs w:val="17"/>
        </w:rPr>
        <w:t xml:space="preserve">Agribank — Chương trình tín dụng chuỗi giá trị nông nghiệp 2024: vir.com.vn/agribank-ramps-up-efforts-to-spur-business-development-111584-111584.html</w:t>
      </w:r>
    </w:p>
    <w:p>
      <w:pPr>
        <w:spacing w:after="60" w:before="60"/>
      </w:pPr>
      <w:r>
        <w:t xml:space="preserve"/>
      </w:r>
    </w:p>
    <w:p>
      <w:pPr>
        <w:spacing w:after="100" w:before="80"/>
      </w:pPr>
      <w:r>
        <w:rPr>
          <w:rFonts w:ascii="Calibri" w:cs="Calibri" w:eastAsia="Calibri" w:hAnsi="Calibri"/>
          <w:sz w:val="22"/>
          <w:szCs w:val="22"/>
        </w:rPr>
        <w:t xml:space="preserve">Reputation System (Mục 4.5) là cơ chế dài hạn bổ sung: Seller bẻ kèo giữa chừng mất toàn bộ lịch sử tích lũy trên platform — chi phí dài hạn này thường lớn hơn chênh lệch giá ngắn hạn của một vụ.</w:t>
      </w:r>
    </w:p>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4.2 Partial Delivery và Pro-rata Settlement</w:t>
      </w:r>
    </w:p>
    <w:p>
      <w:pPr>
        <w:spacing w:after="100" w:before="80"/>
      </w:pPr>
      <w:r>
        <w:rPr>
          <w:rFonts w:ascii="Calibri" w:cs="Calibri" w:eastAsia="Calibri" w:hAnsi="Calibri"/>
          <w:sz w:val="22"/>
          <w:szCs w:val="22"/>
        </w:rPr>
        <w:t xml:space="preserve">Hao mòn trong vận chuyển nông sản là không thể tránh khỏi. Giao 95 tấn thay vì 100 tấn không phải vi phạm hợp đồng — đó là thực tế vật lý. Hệ thống Phase 1 không xử lý được trường hợp này: hợp đồng bị kẹt, tiền bị giữ vô hạn định.</w:t>
      </w:r>
    </w:p>
    <w:p>
      <w:pPr>
        <w:spacing w:after="60" w:before="60"/>
      </w:pPr>
      <w:r>
        <w:t xml:space="preserve"/>
      </w:r>
    </w:p>
    <w:p>
      <w:pPr>
        <w:spacing w:after="100" w:before="80"/>
      </w:pPr>
      <w:r>
        <w:rPr>
          <w:rFonts w:ascii="Calibri" w:cs="Calibri" w:eastAsia="Calibri" w:hAnsi="Calibri"/>
          <w:sz w:val="22"/>
          <w:szCs w:val="22"/>
        </w:rPr>
        <w:t xml:space="preserve">INSPECTOR cân hàng tại hai điểm giao nhận để xác định số lượng xuất kho, số lượng nhập kho, và hao mòn trong vận chuyển. Trách nhiệm hao mòn được phân chia theo tỷ lệ đã đàm phán trong ContractTerms, mặc định 50/50. Escrow tự động tính thanh toán pro-rata theo số lượng thực tế — không cần Admin can thiệp nếu sai lệch nằm trong ngưỡng tolerance đã thỏa thuận.</w:t>
      </w:r>
    </w:p>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4.3 INSPECTOR Role — Ba Cấp Giám Định</w:t>
      </w:r>
    </w:p>
    <w:p>
      <w:pPr>
        <w:spacing w:after="100" w:before="80"/>
      </w:pPr>
      <w:r>
        <w:rPr>
          <w:rFonts w:ascii="Calibri" w:cs="Calibri" w:eastAsia="Calibri" w:hAnsi="Calibri"/>
          <w:sz w:val="22"/>
          <w:szCs w:val="22"/>
        </w:rPr>
        <w:t xml:space="preserve">Admin trong Phase 1 có thể có xung đột lợi ích, đặc biệt trong mô hình triển khai của doanh nghiệp thu mua lớn. Phán quyết dựa trên nhận định chủ quan không đủ tin cậy cho các hợp đồng giá trị cao hoặc hàng hóa phức tạp. Đồng thời, chi phí SGS/Bureau Veritas cho mọi hợp đồng là không thực tế về mặt kinh tế.</w:t>
      </w:r>
    </w:p>
    <w:p>
      <w:pPr>
        <w:spacing w:after="60" w:before="60"/>
      </w:pPr>
      <w:r>
        <w:t xml:space="preserve"/>
      </w:r>
    </w:p>
    <w:p>
      <w:pPr>
        <w:spacing w:after="100" w:before="80"/>
      </w:pPr>
      <w:r>
        <w:rPr>
          <w:rFonts w:ascii="Calibri" w:cs="Calibri" w:eastAsia="Calibri" w:hAnsi="Calibri"/>
          <w:sz w:val="22"/>
          <w:szCs w:val="22"/>
        </w:rPr>
        <w:t xml:space="preserve">Hệ thống INSPECTOR được thiết kế theo ba cấp để cân bằng giữa chi phí giám định và mức độ đảm bảo cần thiết:</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800"/>
        <w:gridCol w:w="2626"/>
      </w:tblGrid>
      <w:tr>
        <w:trPr>
          <w:tblHeader/>
        </w:trPr>
        <w:tc>
          <w:tcPr>
            <w:tcW w:type="dxa" w:w="14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Cấp</w:t>
            </w:r>
          </w:p>
        </w:tc>
        <w:tc>
          <w:tcPr>
            <w:tcW w:type="dxa" w:w="32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Tổ chức giám định</w:t>
            </w:r>
          </w:p>
        </w:tc>
        <w:tc>
          <w:tcPr>
            <w:tcW w:type="dxa" w:w="18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Chi phí</w:t>
            </w:r>
          </w:p>
        </w:tc>
        <w:tc>
          <w:tcPr>
            <w:tcW w:type="dxa" w:w="2626"/>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Phù hợp với</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Cấp 1 — Địa phương</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Vinacontrol, Quatest (Bộ KH&amp;CN), Trung tâm kiểm định nông sản cấp tỉnh được Nhà nước công nhận</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Thấp — phù hợp với đơn tầm trung</w:t>
            </w:r>
          </w:p>
        </w:tc>
        <w:tc>
          <w:tcPr>
            <w:tcW w:type="dxa" w:w="26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Hợp đồng giá trị trung bình, hàng hóa phổ thông, tranh chấp nội địa không có yếu tố xuất khẩu</w:t>
            </w:r>
          </w:p>
        </w:tc>
      </w:tr>
      <w:tr>
        <w:tc>
          <w:tcPr>
            <w:tcW w:type="dxa" w:w="14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Cấp 2 — Quốc tế</w:t>
            </w:r>
          </w:p>
        </w:tc>
        <w:tc>
          <w:tcPr>
            <w:tcW w:type="dxa" w:w="32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SGS, Bureau Veritas, Intertek hoặc tương đương</w:t>
            </w:r>
          </w:p>
        </w:tc>
        <w:tc>
          <w:tcPr>
            <w:tcW w:type="dxa" w:w="1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Cao — chỉ áp dụng khi thực sự cần</w:t>
            </w:r>
          </w:p>
        </w:tc>
        <w:tc>
          <w:tcPr>
            <w:tcW w:type="dxa" w:w="26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Hợp đồng giá trị lớn, hàng hóa phức tạp (cà phê specialty, cao su kỹ thuật), tranh chấp có thể leo thang ra trọng tài quốc tế hoặc cần bằng chứng cho kiểm toán EUDR</w:t>
            </w:r>
          </w:p>
        </w:tc>
      </w:tr>
    </w:tbl>
    <w:p>
      <w:pPr>
        <w:spacing w:after="60" w:before="60"/>
      </w:pPr>
      <w:r>
        <w:t xml:space="preserve"/>
      </w:r>
    </w:p>
    <w:p>
      <w:pPr>
        <w:spacing w:after="100" w:before="80"/>
      </w:pPr>
      <w:r>
        <w:rPr>
          <w:rFonts w:ascii="Calibri" w:cs="Calibri" w:eastAsia="Calibri" w:hAnsi="Calibri"/>
          <w:sz w:val="22"/>
          <w:szCs w:val="22"/>
        </w:rPr>
        <w:t xml:space="preserve">Cấp giám định được xác định tự động bởi DisputeRoutingService dựa trên giá trị hợp đồng, loại hàng hóa, và có hay không yếu tố xuất khẩu EU — cấu hình per deployment trong application.yml.</w:t>
      </w:r>
    </w:p>
    <w:p>
      <w:pPr>
        <w:spacing w:after="60" w:before="60"/>
      </w:pPr>
      <w:r>
        <w:t xml:space="preserve"/>
      </w:r>
    </w:p>
    <w:p>
      <w:pPr>
        <w:spacing w:after="100" w:before="80"/>
      </w:pPr>
      <w:r>
        <w:rPr>
          <w:rFonts w:ascii="Calibri" w:cs="Calibri" w:eastAsia="Calibri" w:hAnsi="Calibri"/>
          <w:sz w:val="22"/>
          <w:szCs w:val="22"/>
        </w:rPr>
        <w:t xml:space="preserve">Bất kể cấp nào, cơ chế vận hành giống nhau: INSPECTOR nhận assignment từ hệ thống, upload inspection report có hash xác thực lên MinIO — không thể chỉnh sửa sau khi submit. Admin thực thi giải ngân theo report, không được override. Override bị flagged vĩnh viễn trong audit trail.</w:t>
      </w:r>
    </w:p>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4.4 Tiered Dispute Resolution</w:t>
      </w:r>
    </w:p>
    <w:p>
      <w:pPr>
        <w:spacing w:after="100" w:before="80"/>
      </w:pPr>
      <w:r>
        <w:rPr>
          <w:rFonts w:ascii="Calibri" w:cs="Calibri" w:eastAsia="Calibri" w:hAnsi="Calibri"/>
          <w:sz w:val="22"/>
          <w:szCs w:val="22"/>
        </w:rPr>
        <w:t xml:space="preserve">Chi phí giám định cố định là vấn đề cấu trúc: phí SGS/Bureau Veritas áp đều cho mọi hợp đồng khiến đơn nhỏ bị đội chi phí không tương xứng, trong khi Admin nội bộ không đủ chuyên môn để phân xử tranh chấp chất lượng với hàng hóa đặc thù. Hệ thống giải quyết cả hai vế bằng phân tầng theo giá trị kết hợp với định giá linh hoạt.</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800"/>
        <w:gridCol w:w="1826"/>
      </w:tblGrid>
      <w:tr>
        <w:trPr>
          <w:tblHeader/>
        </w:trPr>
        <w:tc>
          <w:tcPr>
            <w:tcW w:type="dxa" w:w="18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Level</w:t>
            </w:r>
          </w:p>
        </w:tc>
        <w:tc>
          <w:tcPr>
            <w:tcW w:type="dxa" w:w="26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Điều kiện kích hoạt (OR)</w:t>
            </w:r>
          </w:p>
        </w:tc>
        <w:tc>
          <w:tcPr>
            <w:tcW w:type="dxa" w:w="28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Quy trình</w:t>
            </w:r>
          </w:p>
        </w:tc>
        <w:tc>
          <w:tcPr>
            <w:tcW w:type="dxa" w:w="1826"/>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Phí giám định</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Level 1 — Admin nội bộ</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Giá trị nhỏ VÀ hàng hóa thông thường</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Buyer upload bằng chứng ảnh/video → Admin phán quyết trong thời hạn quy định</w:t>
            </w:r>
          </w:p>
        </w:tc>
        <w:tc>
          <w:tcPr>
            <w:tcW w:type="dxa" w:w="1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Không có</w:t>
            </w:r>
          </w:p>
        </w:tc>
      </w:tr>
      <w:tr>
        <w:tc>
          <w:tcPr>
            <w:tcW w:type="dxa" w:w="1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Level 1.5 — Giám định địa phương</w:t>
            </w:r>
          </w:p>
        </w:tc>
        <w:tc>
          <w:tcPr>
            <w:tcW w:type="dxa" w:w="26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Giá trị trung bình HOẶC hàng hóa cần xác nhận khối lượng/chất lượng cơ bản</w:t>
            </w:r>
          </w:p>
        </w:tc>
        <w:tc>
          <w:tcPr>
            <w:tcW w:type="dxa" w:w="2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Vinacontrol, Quatest, hoặc trung tâm kiểm định tỉnh được Nhà nước công nhận → inspection report → Admin thực thi</w:t>
            </w:r>
          </w:p>
        </w:tc>
        <w:tc>
          <w:tcPr>
            <w:tcW w:type="dxa" w:w="18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inspectionFeeRate × contractValue — đàm phán trong ContractTerms, ví dụ 0,1–0,3%</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Level 2 — Giám định quốc tế</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Giá trị lớn HOẶC hàng hóa phức tạp (cà phê specialty, cao su kỹ thuật, điều xuất khẩu EU)</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SGS, Bureau Veritas, hoặc tương đương → inspection report có giá trị quốc tế → Admin thực thi</w:t>
            </w:r>
          </w:p>
        </w:tc>
        <w:tc>
          <w:tcPr>
            <w:tcW w:type="dxa" w:w="1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inspectionFeeRate × contractValue — đàm phán trong ContractTerms, ví dụ 0,2–0,5%</w:t>
            </w:r>
          </w:p>
        </w:tc>
      </w:tr>
    </w:tbl>
    <w:p>
      <w:pPr>
        <w:spacing w:after="60" w:before="60"/>
      </w:pPr>
      <w:r>
        <w:t xml:space="preserve"/>
      </w:r>
    </w:p>
    <w:p>
      <w:pPr>
        <w:spacing w:after="100" w:before="80"/>
      </w:pPr>
      <w:r>
        <w:rPr>
          <w:rFonts w:ascii="Calibri" w:cs="Calibri" w:eastAsia="Calibri" w:hAnsi="Calibri"/>
          <w:sz w:val="22"/>
          <w:szCs w:val="22"/>
        </w:rPr>
        <w:t xml:space="preserve">Phí giám định được định giá theo tỷ lệ phần trăm giá trị hợp đồng (inspectionFeeRate), không cố định tuyệt đối. Rate này được đàm phán và ghi vào ContractTerms khi ký — hợp đồng 500 triệu và hợp đồng 50 tỷ chịu phí khác nhau nhưng cùng tỷ lệ. Cả hai bên deposit phí giám định vào escrow trước khi INSPECTOR được assign. Bên thua tranh chấp chịu toàn bộ; phán quyết 50/50 thì split đôi.</w:t>
      </w:r>
    </w:p>
    <w:p>
      <w:pPr>
        <w:spacing w:after="60" w:before="60"/>
      </w:pPr>
      <w:r>
        <w:t xml:space="preserve"/>
      </w:r>
    </w:p>
    <w:p>
      <w:pPr>
        <w:spacing w:after="100" w:before="80"/>
      </w:pPr>
      <w:r>
        <w:rPr>
          <w:rFonts w:ascii="Calibri" w:cs="Calibri" w:eastAsia="Calibri" w:hAnsi="Calibri"/>
          <w:sz w:val="22"/>
          <w:szCs w:val="22"/>
        </w:rPr>
        <w:t xml:space="preserve">Ngưỡng giá trị, danh sách hàng hóa phức tạp, và cấp INSPECTOR mặc định là cấu hình per deployment trong application.yml — không hardcode trong logic nghiệp vụ. VICOFA deploy sẽ có ngưỡng và danh sách khác một tập đoàn thu mua lúa gạo.</w:t>
      </w:r>
    </w:p>
    <w:p>
      <w:pPr>
        <w:spacing w:after="60" w:before="60"/>
      </w:pPr>
      <w:r>
        <w:t xml:space="preserve"/>
      </w:r>
    </w:p>
    <w:p>
      <w:pPr>
        <w:spacing w:after="100" w:before="80"/>
      </w:pPr>
      <w:r>
        <w:rPr>
          <w:rFonts w:ascii="Calibri" w:cs="Calibri" w:eastAsia="Calibri" w:hAnsi="Calibri"/>
          <w:i/>
          <w:iCs/>
          <w:color w:val="1A5276"/>
          <w:sz w:val="19"/>
          <w:szCs w:val="19"/>
        </w:rPr>
        <w:t xml:space="preserve">⚖  Nghị định 98/2018, Điều 15: Cho phép lựa chọn phương thức phù hợp để giải quyết tranh chấp — thương lượng, hòa giải, hoặc trọng tài. Admin arbitration là hòa giải nội bộ theo thỏa thuận trong Terms of Service, hợp lệ khi hai bên đã đồng ý điều khoản này trước khi kích hoạt tài khoản.</w:t>
      </w:r>
    </w:p>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4.5 Reputation Scoring</w:t>
      </w:r>
    </w:p>
    <w:p>
      <w:pPr>
        <w:spacing w:after="100" w:before="80"/>
      </w:pPr>
      <w:r>
        <w:rPr>
          <w:rFonts w:ascii="Calibri" w:cs="Calibri" w:eastAsia="Calibri" w:hAnsi="Calibri"/>
          <w:sz w:val="22"/>
          <w:szCs w:val="22"/>
        </w:rPr>
        <w:t xml:space="preserve">Sau mỗi hợp đồng hoàn thành, hai bên đánh giá lẫn nhau theo thang điểm có ghi nhận. Lịch sử đánh giá tích lũy thành điểm uy tín hiển thị công khai trên hồ sơ. Trong mô hình Milestone Escrow, reputation là cơ chế dài hạn duy nhất ràng buộc Seller không phá vỡ hợp đồng khi không phải nộp tiền cọc — phá vỡ một hợp đồng đồng nghĩa với mất toàn bộ lịch sử tích lũy, triệt tiêu khả năng hợp tác với đối tác lớn trong tương lai.</w:t>
      </w:r>
    </w:p>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4.6 Audit Trail Xuất Được</w:t>
      </w:r>
    </w:p>
    <w:p>
      <w:pPr>
        <w:spacing w:after="100" w:before="80"/>
      </w:pPr>
      <w:r>
        <w:rPr>
          <w:rFonts w:ascii="Calibri" w:cs="Calibri" w:eastAsia="Calibri" w:hAnsi="Calibri"/>
          <w:sz w:val="22"/>
          <w:szCs w:val="22"/>
        </w:rPr>
        <w:t xml:space="preserve">Mọi thao tác escrow được ghi vào append-only ledger với metadata đầy đủ: reference number, timestamp chính xác, và mã phản hồi từ ngân hàng. Toàn bộ lịch sử xuất được dưới dạng báo cáo PDF/CSV theo yêu cầu. Tính năng này là tiền đề kỹ thuật cho tích hợp ngân hàng trong Phase 2 — không phải phần phụ thêm.</w:t>
      </w:r>
    </w:p>
    <w:p>
      <w:pPr>
        <w:spacing w:after="100" w:before="40"/>
        <w:ind w:left="720"/>
      </w:pPr>
      <w:r>
        <w:rPr>
          <w:rFonts w:ascii="Calibri" w:cs="Calibri" w:eastAsia="Calibri" w:hAnsi="Calibri"/>
          <w:i/>
          <w:iCs/>
          <w:color w:val="888888"/>
          <w:sz w:val="17"/>
          <w:szCs w:val="17"/>
        </w:rPr>
        <w:t xml:space="preserve">BIDV tham gia Agrichain (Exabyte) với vai trò xác thực dữ liệu giao dịch: vietnam.vn/en/xu-huong-ung-dung-ngan-hang-so-va-cong-nghe-vao-chuoi-cung-ung-nong-san (4/4/2026)</w:t>
      </w:r>
    </w:p>
    <w:p>
      <w:pPr>
        <w:spacing w:after="60" w:before="60"/>
      </w:pPr>
      <w:r>
        <w:t xml:space="preserve"/>
      </w:r>
    </w:p>
    <w:p>
      <w:pPr>
        <w:pStyle w:val="Heading1"/>
        <w:spacing w:after="180" w:before="400"/>
      </w:pPr>
      <w:r>
        <w:rPr>
          <w:rFonts w:ascii="Calibri" w:cs="Calibri" w:eastAsia="Calibri" w:hAnsi="Calibri"/>
          <w:b/>
          <w:bCs/>
          <w:color w:val="1A5276"/>
          <w:sz w:val="30"/>
          <w:szCs w:val="30"/>
        </w:rPr>
        <w:t xml:space="preserve">5. Khung Pháp Lý</w:t>
      </w:r>
    </w:p>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5.1 Bốn văn bản pháp luật nền tảng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Văn bản pháp luật</w:t>
            </w:r>
          </w:p>
        </w:tc>
        <w:tc>
          <w:tcPr>
            <w:tcW w:type="dxa" w:w="29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Điều khoản liên quan</w:t>
            </w:r>
          </w:p>
        </w:tc>
        <w:tc>
          <w:tcPr>
            <w:tcW w:type="dxa" w:w="3826"/>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Áp dụng với AgriContract</w:t>
            </w:r>
          </w:p>
        </w:tc>
      </w:tr>
      <w:tr>
        <w:tc>
          <w:tcPr>
            <w:tcW w:type="dxa" w:w="2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Luật Giao dịch Điện tử 2023
(Luật 20/2023/QH15, hiệu lực 1/7/2024)</w:t>
            </w:r>
          </w:p>
        </w:tc>
        <w:tc>
          <w:tcPr>
            <w:tcW w:type="dxa" w:w="2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Điều 34: Hợp đồng điện tử không bị phủ nhận giá trị pháp lý; Điều 14.2: Giá trị chứng cứ của thông điệp dữ liệu</w:t>
            </w:r>
          </w:p>
        </w:tc>
        <w:tc>
          <w:tcPr>
            <w:tcW w:type="dxa" w:w="3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Hợp đồng ký trên AgriContract có giá trị pháp lý tương đương hợp đồng giấy. Audit trail là bằng chứng hợp lệ trước tòa án và cho kiểm toán EUDR.</w:t>
            </w:r>
          </w:p>
        </w:tc>
      </w:tr>
      <w:tr>
        <w:tc>
          <w:tcPr>
            <w:tcW w:type="dxa" w:w="23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Nghị định 98/2018/NĐ-CP
Liên kết sản xuất và tiêu thụ nông sản</w:t>
            </w:r>
          </w:p>
        </w:tc>
        <w:tc>
          <w:tcPr>
            <w:tcW w:type="dxa" w:w="29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Điều 4: Hợp đồng liên kết phải lập thành văn bản; Điều 15: Các bên lựa chọn phương thức giải quyết tranh chấp phù hợp</w:t>
            </w:r>
          </w:p>
        </w:tc>
        <w:tc>
          <w:tcPr>
            <w:tcW w:type="dxa" w:w="38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AgriContract cung cấp văn bản điện tử đáp ứng Điều 4. Admin arbitration là hòa giải tự nguyện theo Điều 15 — không thay thế tòa án, không vi phạm thẩm quyền nhà nước.</w:t>
            </w:r>
          </w:p>
        </w:tc>
      </w:tr>
      <w:tr>
        <w:tc>
          <w:tcPr>
            <w:tcW w:type="dxa" w:w="2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Luật Trọng tài Thương mại 2010
(Luật 54/2010/QH12)</w:t>
            </w:r>
          </w:p>
        </w:tc>
        <w:tc>
          <w:tcPr>
            <w:tcW w:type="dxa" w:w="2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Điều 5: Thỏa thuận trọng tài trước hoặc sau tranh chấp đều hợp lệ; phán quyết trọng tài là chung thẩm</w:t>
            </w:r>
          </w:p>
        </w:tc>
        <w:tc>
          <w:tcPr>
            <w:tcW w:type="dxa" w:w="3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Admin arbitration trong Terms of Service là thỏa thuận hòa giải hợp lệ. Nếu cần leo thang lên trọng tài chính thức, VIAC có thể xử lý dựa trên audit trail của nền tảng làm bằng chứng.</w:t>
            </w:r>
          </w:p>
        </w:tc>
      </w:tr>
      <w:tr>
        <w:tc>
          <w:tcPr>
            <w:tcW w:type="dxa" w:w="23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Bộ luật Dân sự 2015 &amp;
Luật Thương mại 2005</w:t>
            </w:r>
          </w:p>
        </w:tc>
        <w:tc>
          <w:tcPr>
            <w:tcW w:type="dxa" w:w="29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BLDS Điều 328: Ký quỹ là biện pháp bảo đảm nghĩa vụ; Điều 142: Đại diện theo ủy quyền; LTM Điều 300: Phạt vi phạm; Điều 302: Bồi thường thiệt hại</w:t>
            </w:r>
          </w:p>
        </w:tc>
        <w:tc>
          <w:tcPr>
            <w:tcW w:type="dxa" w:w="38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Escrow lock tiền là "ký quỹ" hợp pháp. Penalty tự động thực thi theo rate đã ký — nền tảng không ra quyết định, chỉ thực thi thỏa thuận của hai bên.</w:t>
            </w:r>
          </w:p>
        </w:tc>
      </w:tr>
    </w:tbl>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5.2 Rủi ro pháp lý và biện pháp kiểm soát</w:t>
      </w:r>
    </w:p>
    <w:p>
      <w:pPr>
        <w:spacing w:after="100" w:before="80"/>
      </w:pPr>
      <w:r>
        <w:rPr>
          <w:rFonts w:ascii="Calibri" w:cs="Calibri" w:eastAsia="Calibri" w:hAnsi="Calibri"/>
          <w:sz w:val="22"/>
          <w:szCs w:val="22"/>
        </w:rPr>
        <w:t xml:space="preserve">Phần này trình bày các rủi ro pháp lý thực chất — không chỉ những gì thuận lợi cho nền tảng. Nhận diện rủi ro đầy đủ là cơ sở để thiết kế hệ thống đúng ngay từ đầu.</w:t>
      </w:r>
    </w:p>
    <w:p>
      <w:pPr>
        <w:spacing w:after="60" w:before="60"/>
      </w:pPr>
      <w:r>
        <w:t xml:space="preserve"/>
      </w:r>
    </w:p>
    <w:p>
      <w:pPr>
        <w:spacing w:after="60" w:before="100"/>
      </w:pPr>
      <w:r>
        <w:rPr>
          <w:rFonts w:ascii="Calibri" w:cs="Calibri" w:eastAsia="Calibri" w:hAnsi="Calibri"/>
          <w:b/>
          <w:bCs/>
          <w:color w:val="C0392B"/>
          <w:sz w:val="21"/>
          <w:szCs w:val="21"/>
        </w:rPr>
        <w:t xml:space="preserve">▲  Rủi ro 1 — Giữ tiền không có giấy phép NHNN (nghiêm trọng nhất)</w:t>
      </w:r>
    </w:p>
    <w:p>
      <w:pPr>
        <w:spacing w:after="100" w:before="80"/>
      </w:pPr>
      <w:r>
        <w:rPr>
          <w:rFonts w:ascii="Calibri" w:cs="Calibri" w:eastAsia="Calibri" w:hAnsi="Calibri"/>
          <w:sz w:val="22"/>
          <w:szCs w:val="22"/>
        </w:rPr>
        <w:t xml:space="preserve">Nghị định 52/2024, Điều 8, Khoản 7 nghiêm cấm cung ứng dịch vụ trung gian thanh toán khi chưa được NHNN cấp phép. Mức phạt: 100–200 triệu đồng hành chính theo Nghị định 88/2019; có thể truy cứu trách nhiệm hình sự nếu có dấu hiệu lừa đảo.</w:t>
      </w:r>
    </w:p>
    <w:p>
      <w:pPr>
        <w:spacing w:after="100" w:before="40"/>
        <w:ind w:left="480"/>
      </w:pPr>
      <w:r>
        <w:rPr>
          <w:rFonts w:ascii="Calibri" w:cs="Calibri" w:eastAsia="Calibri" w:hAnsi="Calibri"/>
          <w:color w:val="1E8449"/>
          <w:sz w:val="20"/>
          <w:szCs w:val="20"/>
        </w:rPr>
        <w:t xml:space="preserve">↳  Phase 1 sử dụng mock balance — không có tiền thật nào phát sinh, không vi phạm. Phase 2 tích hợp Agribank/BIDV làm bên giữ tiền; nền tảng chỉ gửi lệnh và nhận phản hồi — không giữ tiền, không cần giấy phép trung gian thanh toán.</w:t>
      </w:r>
    </w:p>
    <w:p>
      <w:pPr>
        <w:spacing w:after="60" w:before="60"/>
      </w:pPr>
      <w:r>
        <w:t xml:space="preserve"/>
      </w:r>
    </w:p>
    <w:p>
      <w:pPr>
        <w:spacing w:after="60" w:before="100"/>
      </w:pPr>
      <w:r>
        <w:rPr>
          <w:rFonts w:ascii="Calibri" w:cs="Calibri" w:eastAsia="Calibri" w:hAnsi="Calibri"/>
          <w:b/>
          <w:bCs/>
          <w:color w:val="C0392B"/>
          <w:sz w:val="21"/>
          <w:szCs w:val="21"/>
        </w:rPr>
        <w:t xml:space="preserve">▲  Rủi ro 2 — Phán xử tranh chấp đơn phương khi chưa có sự đồng thuận của người dùng</w:t>
      </w:r>
    </w:p>
    <w:p>
      <w:pPr>
        <w:spacing w:after="100" w:before="80"/>
      </w:pPr>
      <w:r>
        <w:rPr>
          <w:rFonts w:ascii="Calibri" w:cs="Calibri" w:eastAsia="Calibri" w:hAnsi="Calibri"/>
          <w:sz w:val="22"/>
          <w:szCs w:val="22"/>
        </w:rPr>
        <w:t xml:space="preserve">Nghị định 52/2013 về thương mại điện tử quy định thương nhân sở hữu sàn không được đơn phương can thiệp vào tranh chấp khi chưa có sự đồng ý của khách hàng.</w:t>
      </w:r>
    </w:p>
    <w:p>
      <w:pPr>
        <w:spacing w:after="100" w:before="40"/>
        <w:ind w:left="480"/>
      </w:pPr>
      <w:r>
        <w:rPr>
          <w:rFonts w:ascii="Calibri" w:cs="Calibri" w:eastAsia="Calibri" w:hAnsi="Calibri"/>
          <w:color w:val="1E8449"/>
          <w:sz w:val="20"/>
          <w:szCs w:val="20"/>
        </w:rPr>
        <w:t xml:space="preserve">↳  Terms of Service bắt buộc hai bên đồng ý điều khoản hòa giải nội bộ trước khi kích hoạt tài khoản. Đây là "consent trước bằng văn bản điện tử" hợp lệ theo Luật GDĐT 2023, Điều 34.</w:t>
      </w:r>
    </w:p>
    <w:p>
      <w:pPr>
        <w:spacing w:after="60" w:before="60"/>
      </w:pPr>
      <w:r>
        <w:t xml:space="preserve"/>
      </w:r>
    </w:p>
    <w:p>
      <w:pPr>
        <w:spacing w:after="60" w:before="100"/>
      </w:pPr>
      <w:r>
        <w:rPr>
          <w:rFonts w:ascii="Calibri" w:cs="Calibri" w:eastAsia="Calibri" w:hAnsi="Calibri"/>
          <w:b/>
          <w:bCs/>
          <w:color w:val="C0392B"/>
          <w:sz w:val="21"/>
          <w:szCs w:val="21"/>
        </w:rPr>
        <w:t xml:space="preserve">▲  Rủi ro 3 — Hợp đồng vô hiệu do người ký không có thẩm quyền đại diện</w:t>
      </w:r>
    </w:p>
    <w:p>
      <w:pPr>
        <w:spacing w:after="100" w:before="80"/>
      </w:pPr>
      <w:r>
        <w:rPr>
          <w:rFonts w:ascii="Calibri" w:cs="Calibri" w:eastAsia="Calibri" w:hAnsi="Calibri"/>
          <w:sz w:val="22"/>
          <w:szCs w:val="22"/>
        </w:rPr>
        <w:t xml:space="preserve">BLDS 2015, Điều 142: Giao dịch dân sự do người không có thẩm quyền đại diện xác lập có thể bị tuyên vô hiệu. HTX có tư cách pháp nhân nhưng người ký phải là Chủ tịch Hội đồng quản trị hoặc Giám đốc được ủy quyền hợp lệ theo điều lệ tổ chức.</w:t>
      </w:r>
    </w:p>
    <w:p>
      <w:pPr>
        <w:spacing w:after="100" w:before="40"/>
        <w:ind w:left="480"/>
      </w:pPr>
      <w:r>
        <w:rPr>
          <w:rFonts w:ascii="Calibri" w:cs="Calibri" w:eastAsia="Calibri" w:hAnsi="Calibri"/>
          <w:color w:val="1E8449"/>
          <w:sz w:val="20"/>
          <w:szCs w:val="20"/>
        </w:rPr>
        <w:t xml:space="preserve">↳  Quy trình xác minh bắt buộc trước khi kích hoạt tài khoản Seller: kiểm tra đăng ký kinh doanh, xác nhận thẩm quyền ký kết của người đại diện. Không pass xác minh, không được đăng listing.</w:t>
      </w:r>
    </w:p>
    <w:p>
      <w:pPr>
        <w:spacing w:after="60" w:before="60"/>
      </w:pPr>
      <w:r>
        <w:t xml:space="preserve"/>
      </w:r>
    </w:p>
    <w:p>
      <w:pPr>
        <w:spacing w:after="60" w:before="100"/>
      </w:pPr>
      <w:r>
        <w:rPr>
          <w:rFonts w:ascii="Calibri" w:cs="Calibri" w:eastAsia="Calibri" w:hAnsi="Calibri"/>
          <w:b/>
          <w:bCs/>
          <w:color w:val="C0392B"/>
          <w:sz w:val="21"/>
          <w:szCs w:val="21"/>
        </w:rPr>
        <w:t xml:space="preserve">▲  Rủi ro 4 — Nền tảng bị lợi dụng tạo giao dịch khống để rửa tiền hoặc trốn thuế</w:t>
      </w:r>
    </w:p>
    <w:p>
      <w:pPr>
        <w:spacing w:after="100" w:before="80"/>
      </w:pPr>
      <w:r>
        <w:rPr>
          <w:rFonts w:ascii="Calibri" w:cs="Calibri" w:eastAsia="Calibri" w:hAnsi="Calibri"/>
          <w:sz w:val="22"/>
          <w:szCs w:val="22"/>
        </w:rPr>
        <w:t xml:space="preserve">Nghị định 52/2024 yêu cầu tổ chức cung ứng dịch vụ thanh toán phải có biện pháp phòng chống "giao dịch thanh toán khống — giao dịch hàng hóa, dịch vụ không phát sinh trên thực tế." Nếu hai bên thông đồng tạo hợp đồng giả, nền tảng có thể bị coi là đồng lõa và chịu trách nhiệm liên đới.</w:t>
      </w:r>
    </w:p>
    <w:p>
      <w:pPr>
        <w:spacing w:after="100" w:before="40"/>
        <w:ind w:left="480"/>
      </w:pPr>
      <w:r>
        <w:rPr>
          <w:rFonts w:ascii="Calibri" w:cs="Calibri" w:eastAsia="Calibri" w:hAnsi="Calibri"/>
          <w:color w:val="1E8449"/>
          <w:sz w:val="20"/>
          <w:szCs w:val="20"/>
        </w:rPr>
        <w:t xml:space="preserve">↳  KYC xác minh pháp nhân cả hai phía. Trong Phase 2, INSPECTOR xác nhận hàng hóa tồn tại thực tế tại hai điểm giao nhận — report có hash xác thực không thể giả mạo. Audit trail đầy đủ là bằng chứng due diligence của nền tảng nếu bị điều tra.</w:t>
      </w:r>
    </w:p>
    <w:p>
      <w:pPr>
        <w:spacing w:after="60" w:before="60"/>
      </w:pPr>
      <w:r>
        <w:t xml:space="preserve"/>
      </w:r>
    </w:p>
    <w:p>
      <w:pPr>
        <w:spacing w:after="60" w:before="100"/>
      </w:pPr>
      <w:r>
        <w:rPr>
          <w:rFonts w:ascii="Calibri" w:cs="Calibri" w:eastAsia="Calibri" w:hAnsi="Calibri"/>
          <w:b/>
          <w:bCs/>
          <w:color w:val="C0392B"/>
          <w:sz w:val="21"/>
          <w:szCs w:val="21"/>
        </w:rPr>
        <w:t xml:space="preserve">▲  Rủi ro 5 — Rò rỉ thông tin giao dịch và số dư tài khoản</w:t>
      </w:r>
    </w:p>
    <w:p>
      <w:pPr>
        <w:spacing w:after="100" w:before="80"/>
      </w:pPr>
      <w:r>
        <w:rPr>
          <w:rFonts w:ascii="Calibri" w:cs="Calibri" w:eastAsia="Calibri" w:hAnsi="Calibri"/>
          <w:sz w:val="22"/>
          <w:szCs w:val="22"/>
        </w:rPr>
        <w:t xml:space="preserve">Nghị định 52/2024, Điều 8, Khoản 4 nghiêm cấm tiết lộ thông tin về số dư tài khoản và giao dịch của khách hàng. Nền tảng chịu trách nhiệm dân sự bồi thường thiệt hại nếu hệ thống bị xâm phạm hoặc nhân sự nội bộ rò rỉ thông tin.</w:t>
      </w:r>
    </w:p>
    <w:p>
      <w:pPr>
        <w:spacing w:after="100" w:before="40"/>
        <w:ind w:left="480"/>
      </w:pPr>
      <w:r>
        <w:rPr>
          <w:rFonts w:ascii="Calibri" w:cs="Calibri" w:eastAsia="Calibri" w:hAnsi="Calibri"/>
          <w:color w:val="1E8449"/>
          <w:sz w:val="20"/>
          <w:szCs w:val="20"/>
        </w:rPr>
        <w:t xml:space="preserve">↳  Keycloak role-based access control: mỗi người dùng chỉ truy cập dữ liệu thuộc phạm vi vai trò của mình. mTLS cho giao tiếp nội bộ giữa các service (Phase 2). Audit trail immutable có thể cung cấp evidence đầy đủ nếu xảy ra điều tra.</w:t>
      </w:r>
    </w:p>
    <w:p>
      <w:pPr>
        <w:spacing w:after="60" w:before="60"/>
      </w:pPr>
      <w:r>
        <w:t xml:space="preserve"/>
      </w:r>
    </w:p>
    <w:p>
      <w:pPr>
        <w:pStyle w:val="Heading2"/>
        <w:spacing w:after="120" w:before="280"/>
      </w:pPr>
      <w:r>
        <w:rPr>
          <w:rFonts w:ascii="Calibri" w:cs="Calibri" w:eastAsia="Calibri" w:hAnsi="Calibri"/>
          <w:b/>
          <w:bCs/>
          <w:color w:val="1A5276"/>
          <w:sz w:val="26"/>
          <w:szCs w:val="26"/>
        </w:rPr>
        <w:t xml:space="preserve">5.3 Case án tham chiếu</w:t>
      </w:r>
    </w:p>
    <w:p>
      <w:pPr>
        <w:spacing w:after="100" w:before="80"/>
      </w:pPr>
      <w:r>
        <w:rPr>
          <w:rFonts w:ascii="Calibri" w:cs="Calibri" w:eastAsia="Calibri" w:hAnsi="Calibri"/>
          <w:sz w:val="22"/>
          <w:szCs w:val="22"/>
        </w:rPr>
        <w:t xml:space="preserve">Bản án 15/2021/KDTM-ST ngày 25/5/2021 — Tòa án quận Nam Từ Liêm, Hà Nội: Công ty P cung cấp cổng thanh toán cho Công ty K. Mastercard phát hiện Công ty K sử dụng thêm hai website có hành vi vi phạm sở hữu trí tuệ, nhưng vẫn kết nối qua cổng của Công ty P. Mastercard áp phạt Công ty P 55.482,5 USD. Tòa án tuyên Công ty K phải bồi thường toàn bộ khoản phạt này cho Công ty P.</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392B" w:sz="4"/>
              <w:left w:val="single" w:color="C0392B" w:sz="4"/>
              <w:bottom w:val="single" w:color="C0392B" w:sz="4"/>
              <w:right w:val="single" w:color="C0392B" w:sz="4"/>
            </w:tcBorders>
            <w:shd w:fill="FDEDEC" w:val="clear"/>
            <w:tcMar>
              <w:top w:type="dxa" w:w="140"/>
              <w:left w:type="dxa" w:w="240"/>
              <w:bottom w:type="dxa" w:w="140"/>
              <w:right w:type="dxa" w:w="240"/>
            </w:tcMar>
          </w:tcPr>
          <w:p>
            <w:pPr>
              <w:spacing w:after="60" w:before="60"/>
            </w:pPr>
            <w:r>
              <w:rPr>
                <w:rFonts w:ascii="Calibri" w:cs="Calibri" w:eastAsia="Calibri" w:hAnsi="Calibri"/>
                <w:sz w:val="20"/>
                <w:szCs w:val="20"/>
              </w:rPr>
              <w:t xml:space="preserve">Bài học từ bản án 15/2021/KDTM-ST:</w:t>
            </w:r>
          </w:p>
          <w:p>
            <w:pPr>
              <w:spacing w:after="60" w:before="60"/>
            </w:pPr>
            <w:r>
              <w:rPr>
                <w:rFonts w:ascii="Calibri" w:cs="Calibri" w:eastAsia="Calibri" w:hAnsi="Calibri"/>
                <w:sz w:val="20"/>
                <w:szCs w:val="20"/>
              </w:rPr>
              <w:t xml:space="preserve"/>
            </w:r>
          </w:p>
          <w:p>
            <w:pPr>
              <w:spacing w:after="60" w:before="60"/>
            </w:pPr>
            <w:r>
              <w:rPr>
                <w:rFonts w:ascii="Calibri" w:cs="Calibri" w:eastAsia="Calibri" w:hAnsi="Calibri"/>
                <w:sz w:val="20"/>
                <w:szCs w:val="20"/>
              </w:rPr>
              <w:t xml:space="preserve">Nền tảng trung gian thanh toán có thể chịu trách nhiệm tài chính do hành vi của</w:t>
            </w:r>
          </w:p>
          <w:p>
            <w:pPr>
              <w:spacing w:after="60" w:before="60"/>
            </w:pPr>
            <w:r>
              <w:rPr>
                <w:rFonts w:ascii="Calibri" w:cs="Calibri" w:eastAsia="Calibri" w:hAnsi="Calibri"/>
                <w:sz w:val="20"/>
                <w:szCs w:val="20"/>
              </w:rPr>
              <w:t xml:space="preserve">merchant sử dụng nền tảng, dù không trực tiếp tham gia hành vi vi phạm. Bồi thường</w:t>
            </w:r>
          </w:p>
          <w:p>
            <w:pPr>
              <w:spacing w:after="60" w:before="60"/>
            </w:pPr>
            <w:r>
              <w:rPr>
                <w:rFonts w:ascii="Calibri" w:cs="Calibri" w:eastAsia="Calibri" w:hAnsi="Calibri"/>
                <w:sz w:val="20"/>
                <w:szCs w:val="20"/>
              </w:rPr>
              <w:t xml:space="preserve">được tòa án công nhận và buộc thực hiện ngay cả khi bên gây vi phạm là người dùng.</w:t>
            </w:r>
          </w:p>
          <w:p>
            <w:pPr>
              <w:spacing w:after="60" w:before="60"/>
            </w:pPr>
            <w:r>
              <w:rPr>
                <w:rFonts w:ascii="Calibri" w:cs="Calibri" w:eastAsia="Calibri" w:hAnsi="Calibri"/>
                <w:sz w:val="20"/>
                <w:szCs w:val="20"/>
              </w:rPr>
              <w:t xml:space="preserve"/>
            </w:r>
          </w:p>
          <w:p>
            <w:pPr>
              <w:spacing w:after="60" w:before="60"/>
            </w:pPr>
            <w:r>
              <w:rPr>
                <w:rFonts w:ascii="Calibri" w:cs="Calibri" w:eastAsia="Calibri" w:hAnsi="Calibri"/>
                <w:sz w:val="20"/>
                <w:szCs w:val="20"/>
              </w:rPr>
              <w:t xml:space="preserve">KYC nghiêm ngặt + INSPECTOR xác nhận hàng hóa thực tế + audit trail đầy đủ</w:t>
            </w:r>
          </w:p>
          <w:p>
            <w:pPr>
              <w:spacing w:after="60" w:before="60"/>
            </w:pPr>
            <w:r>
              <w:rPr>
                <w:rFonts w:ascii="Calibri" w:cs="Calibri" w:eastAsia="Calibri" w:hAnsi="Calibri"/>
                <w:sz w:val="20"/>
                <w:szCs w:val="20"/>
              </w:rPr>
              <w:t xml:space="preserve">là ba lớp bảo vệ chứng minh nền tảng đã thực hiện due diligence hợp lý.</w:t>
            </w:r>
          </w:p>
        </w:tc>
      </w:tr>
    </w:tbl>
    <w:p>
      <w:pPr>
        <w:spacing w:after="100" w:before="40"/>
        <w:ind w:left="720"/>
      </w:pPr>
      <w:r>
        <w:rPr>
          <w:rFonts w:ascii="Calibri" w:cs="Calibri" w:eastAsia="Calibri" w:hAnsi="Calibri"/>
          <w:i/>
          <w:iCs/>
          <w:color w:val="888888"/>
          <w:sz w:val="17"/>
          <w:szCs w:val="17"/>
        </w:rPr>
        <w:t xml:space="preserve">Bản án 15/2021/KDTM-ST — Tòa án quận Nam Từ Liêm, TP Hà Nội: accgroup.vn/giai-quyet-tranh-chap-trong-thuong-mai-dien-tu</w:t>
      </w:r>
    </w:p>
    <w:p>
      <w:pPr>
        <w:spacing w:after="60" w:before="60"/>
      </w:pPr>
      <w:r>
        <w:t xml:space="preserve"/>
      </w:r>
    </w:p>
    <w:p>
      <w:pPr>
        <w:pStyle w:val="Heading1"/>
        <w:spacing w:after="180" w:before="400"/>
      </w:pPr>
      <w:r>
        <w:rPr>
          <w:rFonts w:ascii="Calibri" w:cs="Calibri" w:eastAsia="Calibri" w:hAnsi="Calibri"/>
          <w:b/>
          <w:bCs/>
          <w:color w:val="1A5276"/>
          <w:sz w:val="30"/>
          <w:szCs w:val="30"/>
        </w:rPr>
        <w:t xml:space="preserve">6. Roadmap Ba Tầng Giá Trị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2300"/>
        <w:gridCol w:w="1426"/>
      </w:tblGrid>
      <w:tr>
        <w:trPr>
          <w:tblHeader/>
        </w:trPr>
        <w:tc>
          <w:tcPr>
            <w:tcW w:type="dxa" w:w="18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Tầng</w:t>
            </w:r>
          </w:p>
        </w:tc>
        <w:tc>
          <w:tcPr>
            <w:tcW w:type="dxa" w:w="35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Giá trị cụ thể</w:t>
            </w:r>
          </w:p>
        </w:tc>
        <w:tc>
          <w:tcPr>
            <w:tcW w:type="dxa" w:w="23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Ai được hưởng lợi</w:t>
            </w:r>
          </w:p>
        </w:tc>
        <w:tc>
          <w:tcPr>
            <w:tcW w:type="dxa" w:w="1426"/>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Thời điểm</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1 — Tuân thủ EUDR</w:t>
            </w:r>
          </w:p>
        </w:tc>
        <w:tc>
          <w:tcPr>
            <w:tcW w:type="dxa" w:w="3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Hợp đồng thu mua từ HTX có audit trail bất biến = bằng chứng deforestation-free cho kiểm toán EU. Xuất báo cáo on-demand thay vì tổng hợp thủ công từ nhiều nguồn.</w:t>
            </w:r>
          </w:p>
        </w:tc>
        <w:tc>
          <w:tcPr>
            <w:tcW w:type="dxa" w:w="2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Doanh nghiệp xuất khẩu cà phê, cao su, gỗ vào EU — deadline pháp lý 30/12/2026</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Phase 1</w:t>
            </w:r>
          </w:p>
        </w:tc>
      </w:tr>
      <w:tr>
        <w:tc>
          <w:tcPr>
            <w:tcW w:type="dxa" w:w="1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2 — Kiểm soát rủi ro</w:t>
            </w:r>
          </w:p>
        </w:tc>
        <w:tc>
          <w:tcPr>
            <w:tcW w:type="dxa" w:w="35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Escrow + Milestone: chi phí phá vỡ hợp đồng vượt lợi ích ngắn hạn. Tiered Dispute + INSPECTOR: giải quyết tranh chấp trong ngày, không phải trong năm. Reputation: vốn xã hội tích lũy có thể định giá được.</w:t>
            </w:r>
          </w:p>
        </w:tc>
        <w:tc>
          <w:tcPr>
            <w:tcW w:type="dxa" w:w="23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Cả Buyer lẫn Seller — đặc biệt HTX không có nguồn lực pháp lý để tự bảo vệ</w:t>
            </w:r>
          </w:p>
        </w:tc>
        <w:tc>
          <w:tcPr>
            <w:tcW w:type="dxa" w:w="14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Phase 2</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3 — Hạ tầng tín dụng</w:t>
            </w:r>
          </w:p>
        </w:tc>
        <w:tc>
          <w:tcPr>
            <w:tcW w:type="dxa" w:w="3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Audit trail tích lũy = lịch sử tín dụng thực chất. Agribank/BIDV có thể đọc data thay vì chỉ đếm tài sản thế chấp. 57% SME không tiếp cận được vốn có thể thay đổi được điều đó.</w:t>
            </w:r>
          </w:p>
        </w:tc>
        <w:tc>
          <w:tcPr>
            <w:tcW w:type="dxa" w:w="2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HTX nhỏ + ngân hàng (vai trò data oracle thay vì chỉ cấp tín dụng truyền thống)</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Sau Phase 2</w:t>
            </w:r>
          </w:p>
        </w:tc>
      </w:tr>
    </w:tbl>
    <w:p>
      <w:pPr>
        <w:spacing w:after="60" w:before="60"/>
      </w:pPr>
      <w:r>
        <w:t xml:space="preserve"/>
      </w:r>
    </w:p>
    <w:p>
      <w:pPr>
        <w:spacing w:after="100" w:before="80"/>
      </w:pPr>
      <w:r>
        <w:rPr>
          <w:rFonts w:ascii="Calibri" w:cs="Calibri" w:eastAsia="Calibri" w:hAnsi="Calibri"/>
          <w:sz w:val="22"/>
          <w:szCs w:val="22"/>
        </w:rPr>
        <w:t xml:space="preserve">Doanh nghiệp tiếp cận nền tảng vì yêu cầu EUDR, ở lại vì giảm được rủi ro vốn và tranh chấp, không thể rời đi vì lịch sử giao dịch trên nền tảng là tài sản thực chất của họ.</w:t>
      </w:r>
    </w:p>
    <w:p>
      <w:pPr>
        <w:spacing w:after="60" w:before="60"/>
      </w:pPr>
      <w:r>
        <w:t xml:space="preserve"/>
      </w:r>
    </w:p>
    <w:p>
      <w:pPr>
        <w:pStyle w:val="Heading1"/>
        <w:spacing w:after="180" w:before="400"/>
      </w:pPr>
      <w:r>
        <w:rPr>
          <w:rFonts w:ascii="Calibri" w:cs="Calibri" w:eastAsia="Calibri" w:hAnsi="Calibri"/>
          <w:b/>
          <w:bCs/>
          <w:color w:val="1A5276"/>
          <w:sz w:val="30"/>
          <w:szCs w:val="30"/>
        </w:rPr>
        <w:t xml:space="preserve">7. Câu Hỏi Thường Gặp Từ Hội Đồng Thẩm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Câu hỏi</w:t>
            </w:r>
          </w:p>
        </w:tc>
        <w:tc>
          <w:tcPr>
            <w:tcW w:type="dxa" w:w="6226"/>
            <w:tcBorders>
              <w:top w:val="single" w:color="AAAAAA" w:sz="1"/>
              <w:left w:val="single" w:color="AAAAAA" w:sz="1"/>
              <w:bottom w:val="single" w:color="AAAAAA" w:sz="1"/>
              <w:right w:val="single" w:color="AAAAAA" w:sz="1"/>
            </w:tcBorders>
            <w:shd w:fill="1A5276"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Trả lời</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"Escrow Phase 1 là mock — có giá trị kỹ thuật gì?"</w:t>
            </w:r>
          </w:p>
        </w:tc>
        <w:tc>
          <w:tcPr>
            <w:tcW w:type="dxa" w:w="6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Giá trị kỹ thuật nằm ở logic, không phải tiền: Choreography Saga qua RabbitMQ, idempotency cho compensating transaction, Outbox Pattern đảm bảo at-least-once delivery. Tất cả những thách thức này đều thật và không thay đổi khi swap mock balance bằng Agribank API thật trong Phase 2.</w:t>
            </w:r>
          </w:p>
        </w:tc>
      </w:tr>
      <w:tr>
        <w:tc>
          <w:tcPr>
            <w:tcW w:type="dxa" w:w="2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"Nền tảng có đang thay thế chức năng của tòa án không?"</w:t>
            </w:r>
          </w:p>
        </w:tc>
        <w:tc>
          <w:tcPr>
            <w:tcW w:type="dxa" w:w="62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Không. Admin thực thi điều khoản penalty mà hai bên đã tự thỏa thuận và ký tên trước đó. Luật TM 2005, Điều 300 cho phép phạt vi phạm theo thỏa thuận. Nghị định 98/2018, Điều 15 cho phép hòa giải nội bộ. Nền tảng không ra phán quyết — chỉ thực thi thỏa thuận đã có.</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"Tại sao HTX sẽ tin tưởng đặt tiền vào escrow của nền tảng mới?"</w:t>
            </w:r>
          </w:p>
        </w:tc>
        <w:tc>
          <w:tcPr>
            <w:tcW w:type="dxa" w:w="6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HTX không cần trust nền tảng — họ trust VICOFA hoặc VRA đã triển khai nền tảng. Trong Phase 2, tiền do Agribank/BIDV giữ, không phải nền tảng. Cấu trúc trust được thiết kế để không phụ thuộc vào uy tín của startup.</w:t>
            </w:r>
          </w:p>
        </w:tc>
      </w:tr>
      <w:tr>
        <w:tc>
          <w:tcPr>
            <w:tcW w:type="dxa" w:w="2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"Tại sao chưa có ai làm điều này trước đây?"</w:t>
            </w:r>
          </w:p>
        </w:tc>
        <w:tc>
          <w:tcPr>
            <w:tcW w:type="dxa" w:w="62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Koina (VinaCapital, &gt;$1M) đã thử năm 2023 với mô hình farm-to-business, đóng cửa năm 2024. Sai lầm: bán trực tiếp cho nông dân lẻ (unit economics không bền vững), full-stack (đốt vốn quá nhanh), không có revenue model rõ ràng. AgriContract khác ở ba điểm: bán cho hiệp hội không phải nông dân, chỉ giải quyết contract layer không phải toàn bộ chuỗi, và EUDR 2026 tạo ra nhu cầu bắt buộc chưa từng tồn tại trước đây.</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"INSPECTOR có thể bị mua chuộc không?"</w:t>
            </w:r>
          </w:p>
        </w:tc>
        <w:tc>
          <w:tcPr>
            <w:tcW w:type="dxa" w:w="6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Calibri" w:cs="Calibri" w:eastAsia="Calibri" w:hAnsi="Calibri"/>
                <w:sz w:val="20"/>
                <w:szCs w:val="20"/>
              </w:rPr>
              <w:t xml:space="preserve">SGS và Bureau Veritas là tổ chức chứng nhận quốc tế chịu trách nhiệm pháp nhân tại nhiều quốc gia. Report có hash xác thực — không thể chỉnh sửa sau khi submit. Nếu cấp report sai, tổ chức giám định chịu trách nhiệm dân sự quốc tế theo giấy phép hành nghề của họ. Đây là cấp độ đảm bảo cao hơn nhiều so với Admin nội bộ không có chuyên môn độc lập.</w:t>
            </w:r>
          </w:p>
        </w:tc>
      </w:tr>
      <w:tr>
        <w:tc>
          <w:tcPr>
            <w:tcW w:type="dxa" w:w="2800"/>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"Phase 1 escrow không có tiền thật — vi phạm Nghị định 52/2024 không?"</w:t>
            </w:r>
          </w:p>
        </w:tc>
        <w:tc>
          <w:tcPr>
            <w:tcW w:type="dxa" w:w="6226"/>
            <w:tcBorders>
              <w:top w:val="single" w:color="AAAAAA" w:sz="1"/>
              <w:left w:val="single" w:color="AAAAAA" w:sz="1"/>
              <w:bottom w:val="single" w:color="AAAAAA" w:sz="1"/>
              <w:right w:val="single" w:color="AAAAAA" w:sz="1"/>
            </w:tcBorders>
            <w:shd w:fill="F2F3F4" w:val="clear"/>
            <w:tcMar>
              <w:top w:type="dxa" w:w="80"/>
              <w:left w:type="dxa" w:w="120"/>
              <w:bottom w:type="dxa" w:w="80"/>
              <w:right w:type="dxa" w:w="120"/>
            </w:tcMar>
          </w:tcPr>
          <w:p>
            <w:r>
              <w:rPr>
                <w:rFonts w:ascii="Calibri" w:cs="Calibri" w:eastAsia="Calibri" w:hAnsi="Calibri"/>
                <w:sz w:val="20"/>
                <w:szCs w:val="20"/>
              </w:rPr>
              <w:t xml:space="preserve">Không. Nghị định 52/2024 điều chỉnh dịch vụ thanh toán liên quan đến tiền thật. Phase 1 sử dụng mock balance trong database — không có giao dịch tài chính thật nào phát sinh, không có giấy phép trung gian thanh toán nào cần thiết. Phase 2 tích hợp ngân hàng có license mới liên quan đến quy định này.</w:t>
            </w:r>
          </w:p>
        </w:tc>
      </w:tr>
    </w:tbl>
    <w:p>
      <w:pPr>
        <w:spacing w:after="60" w:before="60"/>
      </w:pPr>
      <w:r>
        <w:t xml:space="preserve"/>
      </w:r>
    </w:p>
    <w:p>
      <w:pPr>
        <w:pStyle w:val="Heading1"/>
        <w:spacing w:after="180" w:before="400"/>
      </w:pPr>
      <w:r>
        <w:rPr>
          <w:rFonts w:ascii="Calibri" w:cs="Calibri" w:eastAsia="Calibri" w:hAnsi="Calibri"/>
          <w:b/>
          <w:bCs/>
          <w:color w:val="1A5276"/>
          <w:sz w:val="30"/>
          <w:szCs w:val="30"/>
        </w:rPr>
        <w:t xml:space="preserve">8. Danh Mục Nguồn Tham Khảo</w:t>
      </w:r>
    </w:p>
    <w:p>
      <w:pPr>
        <w:pStyle w:val="Heading3"/>
        <w:spacing w:after="100" w:before="200"/>
      </w:pPr>
      <w:r>
        <w:rPr>
          <w:rFonts w:ascii="Calibri" w:cs="Calibri" w:eastAsia="Calibri" w:hAnsi="Calibri"/>
          <w:b/>
          <w:bCs/>
          <w:color w:val="2E4057"/>
          <w:sz w:val="23"/>
          <w:szCs w:val="23"/>
        </w:rPr>
        <w:t xml:space="preserve">Văn bản pháp luật</w:t>
      </w:r>
    </w:p>
    <w:p>
      <w:pPr>
        <w:pStyle w:val="ListParagraph"/>
        <w:numPr>
          <w:ilvl w:val="0"/>
          <w:numId w:val="2"/>
        </w:numPr>
        <w:spacing w:after="60" w:before="60"/>
      </w:pPr>
      <w:r>
        <w:rPr>
          <w:rFonts w:ascii="Calibri" w:cs="Calibri" w:eastAsia="Calibri" w:hAnsi="Calibri"/>
          <w:sz w:val="22"/>
          <w:szCs w:val="22"/>
        </w:rPr>
        <w:t xml:space="preserve">Luật Giao dịch Điện tử 2023 (Luật 20/2023/QH15, hiệu lực 1/7/2024)</w:t>
      </w:r>
    </w:p>
    <w:p>
      <w:pPr>
        <w:pStyle w:val="ListParagraph"/>
        <w:numPr>
          <w:ilvl w:val="0"/>
          <w:numId w:val="2"/>
        </w:numPr>
        <w:spacing w:after="60" w:before="60"/>
      </w:pPr>
      <w:r>
        <w:rPr>
          <w:rFonts w:ascii="Calibri" w:cs="Calibri" w:eastAsia="Calibri" w:hAnsi="Calibri"/>
          <w:sz w:val="22"/>
          <w:szCs w:val="22"/>
        </w:rPr>
        <w:t xml:space="preserve">Nghị định 52/2024/NĐ-CP — Thanh toán không dùng tiền mặt (hiệu lực 1/7/2024)</w:t>
      </w:r>
    </w:p>
    <w:p>
      <w:pPr>
        <w:pStyle w:val="ListParagraph"/>
        <w:numPr>
          <w:ilvl w:val="0"/>
          <w:numId w:val="2"/>
        </w:numPr>
        <w:spacing w:after="60" w:before="60"/>
      </w:pPr>
      <w:r>
        <w:rPr>
          <w:rFonts w:ascii="Calibri" w:cs="Calibri" w:eastAsia="Calibri" w:hAnsi="Calibri"/>
          <w:sz w:val="22"/>
          <w:szCs w:val="22"/>
        </w:rPr>
        <w:t xml:space="preserve">Nghị định 98/2018/NĐ-CP — Liên kết sản xuất và tiêu thụ nông sản</w:t>
      </w:r>
    </w:p>
    <w:p>
      <w:pPr>
        <w:pStyle w:val="ListParagraph"/>
        <w:numPr>
          <w:ilvl w:val="0"/>
          <w:numId w:val="2"/>
        </w:numPr>
        <w:spacing w:after="60" w:before="60"/>
      </w:pPr>
      <w:r>
        <w:rPr>
          <w:rFonts w:ascii="Calibri" w:cs="Calibri" w:eastAsia="Calibri" w:hAnsi="Calibri"/>
          <w:sz w:val="22"/>
          <w:szCs w:val="22"/>
        </w:rPr>
        <w:t xml:space="preserve">Luật Trọng tài Thương mại 2010 (Luật 54/2010/QH12)</w:t>
      </w:r>
    </w:p>
    <w:p>
      <w:pPr>
        <w:pStyle w:val="ListParagraph"/>
        <w:numPr>
          <w:ilvl w:val="0"/>
          <w:numId w:val="2"/>
        </w:numPr>
        <w:spacing w:after="60" w:before="60"/>
      </w:pPr>
      <w:r>
        <w:rPr>
          <w:rFonts w:ascii="Calibri" w:cs="Calibri" w:eastAsia="Calibri" w:hAnsi="Calibri"/>
          <w:sz w:val="22"/>
          <w:szCs w:val="22"/>
        </w:rPr>
        <w:t xml:space="preserve">Bộ luật Dân sự 2015 — Điều 328 (ký quỹ), Điều 142 (đại diện theo ủy quyền)</w:t>
      </w:r>
    </w:p>
    <w:p>
      <w:pPr>
        <w:pStyle w:val="ListParagraph"/>
        <w:numPr>
          <w:ilvl w:val="0"/>
          <w:numId w:val="2"/>
        </w:numPr>
        <w:spacing w:after="60" w:before="60"/>
      </w:pPr>
      <w:r>
        <w:rPr>
          <w:rFonts w:ascii="Calibri" w:cs="Calibri" w:eastAsia="Calibri" w:hAnsi="Calibri"/>
          <w:sz w:val="22"/>
          <w:szCs w:val="22"/>
        </w:rPr>
        <w:t xml:space="preserve">Luật Thương mại 2005 — Điều 300 (phạt vi phạm), Điều 302 (bồi thường thiệt hại)</w:t>
      </w:r>
    </w:p>
    <w:p>
      <w:pPr>
        <w:pStyle w:val="ListParagraph"/>
        <w:numPr>
          <w:ilvl w:val="0"/>
          <w:numId w:val="2"/>
        </w:numPr>
        <w:spacing w:after="60" w:before="60"/>
      </w:pPr>
      <w:r>
        <w:rPr>
          <w:rFonts w:ascii="Calibri" w:cs="Calibri" w:eastAsia="Calibri" w:hAnsi="Calibri"/>
          <w:sz w:val="22"/>
          <w:szCs w:val="22"/>
        </w:rPr>
        <w:t xml:space="preserve">Nghị định 88/2019/NĐ-CP — Xử phạt vi phạm hành chính lĩnh vực tiền tệ</w:t>
      </w:r>
    </w:p>
    <w:p>
      <w:pPr>
        <w:spacing w:after="60" w:before="60"/>
      </w:pPr>
      <w:r>
        <w:t xml:space="preserve"/>
      </w:r>
    </w:p>
    <w:p>
      <w:pPr>
        <w:pStyle w:val="Heading3"/>
        <w:spacing w:after="100" w:before="200"/>
      </w:pPr>
      <w:r>
        <w:rPr>
          <w:rFonts w:ascii="Calibri" w:cs="Calibri" w:eastAsia="Calibri" w:hAnsi="Calibri"/>
          <w:b/>
          <w:bCs/>
          <w:color w:val="2E4057"/>
          <w:sz w:val="23"/>
          <w:szCs w:val="23"/>
        </w:rPr>
        <w:t xml:space="preserve">Case án &amp; tổ chức pháp lý</w:t>
      </w:r>
    </w:p>
    <w:p>
      <w:pPr>
        <w:pStyle w:val="ListParagraph"/>
        <w:numPr>
          <w:ilvl w:val="0"/>
          <w:numId w:val="2"/>
        </w:numPr>
        <w:spacing w:after="60" w:before="60"/>
      </w:pPr>
      <w:r>
        <w:rPr>
          <w:rFonts w:ascii="Calibri" w:cs="Calibri" w:eastAsia="Calibri" w:hAnsi="Calibri"/>
          <w:sz w:val="22"/>
          <w:szCs w:val="22"/>
        </w:rPr>
        <w:t xml:space="preserve">Bản án 15/2021/KDTM-ST — Tòa án quận Nam Từ Liêm, Hà Nội: accgroup.vn/giai-quyet-tranh-chap-trong-thuong-mai-dien-tu</w:t>
      </w:r>
    </w:p>
    <w:p>
      <w:pPr>
        <w:pStyle w:val="ListParagraph"/>
        <w:numPr>
          <w:ilvl w:val="0"/>
          <w:numId w:val="2"/>
        </w:numPr>
        <w:spacing w:after="60" w:before="60"/>
      </w:pPr>
      <w:r>
        <w:rPr>
          <w:rFonts w:ascii="Calibri" w:cs="Calibri" w:eastAsia="Calibri" w:hAnsi="Calibri"/>
          <w:sz w:val="22"/>
          <w:szCs w:val="22"/>
        </w:rPr>
        <w:t xml:space="preserve">VIAC — Thống kê tranh chấp 2024 (475 vụ, kỷ lục): viac.vn/thong-ke/thong-ke-hoat-dong-giai-quyet-tranh-chap-nam-2024-s45.html</w:t>
      </w:r>
    </w:p>
    <w:p>
      <w:pPr>
        <w:spacing w:after="60" w:before="60"/>
      </w:pPr>
      <w:r>
        <w:t xml:space="preserve"/>
      </w:r>
    </w:p>
    <w:p>
      <w:pPr>
        <w:pStyle w:val="Heading3"/>
        <w:spacing w:after="100" w:before="200"/>
      </w:pPr>
      <w:r>
        <w:rPr>
          <w:rFonts w:ascii="Calibri" w:cs="Calibri" w:eastAsia="Calibri" w:hAnsi="Calibri"/>
          <w:b/>
          <w:bCs/>
          <w:color w:val="2E4057"/>
          <w:sz w:val="23"/>
          <w:szCs w:val="23"/>
        </w:rPr>
        <w:t xml:space="preserve">Thị trường &amp; nghiên cứu</w:t>
      </w:r>
    </w:p>
    <w:p>
      <w:pPr>
        <w:pStyle w:val="ListParagraph"/>
        <w:numPr>
          <w:ilvl w:val="0"/>
          <w:numId w:val="2"/>
        </w:numPr>
        <w:spacing w:after="60" w:before="60"/>
      </w:pPr>
      <w:r>
        <w:rPr>
          <w:rFonts w:ascii="Calibri" w:cs="Calibri" w:eastAsia="Calibri" w:hAnsi="Calibri"/>
          <w:sz w:val="22"/>
          <w:szCs w:val="22"/>
        </w:rPr>
        <w:t xml:space="preserve">VTV.vn — Giá cà phê tăng, làn sóng bẻ kèo (17/4/2024): vtv.vn/kinh-te/gia-thu-mua-tang-cao-co-hoi-va-thach-thuc-cua-nganh-ca-phe-viet-nam-20240417111149261.htm</w:t>
      </w:r>
    </w:p>
    <w:p>
      <w:pPr>
        <w:pStyle w:val="ListParagraph"/>
        <w:numPr>
          <w:ilvl w:val="0"/>
          <w:numId w:val="2"/>
        </w:numPr>
        <w:spacing w:after="60" w:before="60"/>
      </w:pPr>
      <w:r>
        <w:rPr>
          <w:rFonts w:ascii="Calibri" w:cs="Calibri" w:eastAsia="Calibri" w:hAnsi="Calibri"/>
          <w:sz w:val="22"/>
          <w:szCs w:val="22"/>
        </w:rPr>
        <w:t xml:space="preserve">Vietnamnet — Hạn chế bẻ kèo nông sản (30/8/2024): vietnamnet.vn/3-chieu-de-han-che-doanh-nghiep-be-keo-nong-dan-chay-lang-2316909.html</w:t>
      </w:r>
    </w:p>
    <w:p>
      <w:pPr>
        <w:pStyle w:val="ListParagraph"/>
        <w:numPr>
          <w:ilvl w:val="0"/>
          <w:numId w:val="2"/>
        </w:numPr>
        <w:spacing w:after="60" w:before="60"/>
      </w:pPr>
      <w:r>
        <w:rPr>
          <w:rFonts w:ascii="Calibri" w:cs="Calibri" w:eastAsia="Calibri" w:hAnsi="Calibri"/>
          <w:sz w:val="22"/>
          <w:szCs w:val="22"/>
        </w:rPr>
        <w:t xml:space="preserve">Báo Pháp Luật TP.HCM — Nghịch lý xuất khẩu cà phê Việt (4/4/2026): plo.vn/nghich-ly-xuat-khau-ca-phe-viet-post902660.html</w:t>
      </w:r>
    </w:p>
    <w:p>
      <w:pPr>
        <w:pStyle w:val="ListParagraph"/>
        <w:numPr>
          <w:ilvl w:val="0"/>
          <w:numId w:val="2"/>
        </w:numPr>
        <w:spacing w:after="60" w:before="60"/>
      </w:pPr>
      <w:r>
        <w:rPr>
          <w:rFonts w:ascii="Calibri" w:cs="Calibri" w:eastAsia="Calibri" w:hAnsi="Calibri"/>
          <w:sz w:val="22"/>
          <w:szCs w:val="22"/>
        </w:rPr>
        <w:t xml:space="preserve">Vietnam.vn — Banks digital agri supply chain (1/4/2026): vietnam.vn/en/ngan-hang-dong-hanh-cung-chuoi-nong-san-so</w:t>
      </w:r>
    </w:p>
    <w:p>
      <w:pPr>
        <w:pStyle w:val="ListParagraph"/>
        <w:numPr>
          <w:ilvl w:val="0"/>
          <w:numId w:val="2"/>
        </w:numPr>
        <w:spacing w:after="60" w:before="60"/>
      </w:pPr>
      <w:r>
        <w:rPr>
          <w:rFonts w:ascii="Calibri" w:cs="Calibri" w:eastAsia="Calibri" w:hAnsi="Calibri"/>
          <w:sz w:val="22"/>
          <w:szCs w:val="22"/>
        </w:rPr>
        <w:t xml:space="preserve">We-Fi / OCB — SME financing gap 68% Vietnam (2022): we-fi.org/</w:t>
      </w:r>
    </w:p>
    <w:p>
      <w:pPr>
        <w:pStyle w:val="ListParagraph"/>
        <w:numPr>
          <w:ilvl w:val="0"/>
          <w:numId w:val="2"/>
        </w:numPr>
        <w:spacing w:after="60" w:before="60"/>
      </w:pPr>
      <w:r>
        <w:rPr>
          <w:rFonts w:ascii="Calibri" w:cs="Calibri" w:eastAsia="Calibri" w:hAnsi="Calibri"/>
          <w:sz w:val="22"/>
          <w:szCs w:val="22"/>
        </w:rPr>
        <w:t xml:space="preserve">Alibaba Trade Assurance — 160M+ orders: alibaba.com/trade-assurance</w:t>
      </w:r>
    </w:p>
    <w:p>
      <w:pPr>
        <w:pStyle w:val="ListParagraph"/>
        <w:numPr>
          <w:ilvl w:val="0"/>
          <w:numId w:val="2"/>
        </w:numPr>
        <w:spacing w:after="60" w:before="60"/>
      </w:pPr>
      <w:r>
        <w:rPr>
          <w:rFonts w:ascii="Calibri" w:cs="Calibri" w:eastAsia="Calibri" w:hAnsi="Calibri"/>
          <w:sz w:val="22"/>
          <w:szCs w:val="22"/>
        </w:rPr>
        <w:t xml:space="preserve">Bộ Nông nghiệp và Môi trường — Tổng kết xuất khẩu 2025 (6/1/2026): vietnam.vn/en/xuat-khau-nong-lam-thuy-san-vuot-70-ty-usd</w:t>
      </w:r>
    </w:p>
    <w:p>
      <w:pPr>
        <w:pStyle w:val="ListParagraph"/>
        <w:numPr>
          <w:ilvl w:val="0"/>
          <w:numId w:val="2"/>
        </w:numPr>
        <w:spacing w:after="60" w:before="60"/>
      </w:pPr>
      <w:r>
        <w:rPr>
          <w:rFonts w:ascii="Calibri" w:cs="Calibri" w:eastAsia="Calibri" w:hAnsi="Calibri"/>
          <w:sz w:val="22"/>
          <w:szCs w:val="22"/>
        </w:rPr>
        <w:t xml:space="preserve">EC Regulation (EU) 2025/2650 — EUDR timeline (23/12/2025): consilium.europa.eu/en/press/press-releases/2025/12/18/</w:t>
      </w:r>
    </w:p>
    <w:p>
      <w:pPr>
        <w:spacing w:after="60" w:before="60"/>
      </w:pPr>
      <w:r>
        <w:t xml:space="preserve"/>
      </w:r>
    </w:p>
    <w:p>
      <w:pPr>
        <w:spacing w:before="400"/>
        <w:jc w:val="center"/>
      </w:pPr>
      <w:r>
        <w:rPr>
          <w:rFonts w:ascii="Calibri" w:cs="Calibri" w:eastAsia="Calibri" w:hAnsi="Calibri"/>
          <w:i/>
          <w:iCs/>
          <w:color w:val="999999"/>
          <w:sz w:val="20"/>
          <w:szCs w:val="20"/>
        </w:rPr>
        <w:t xml:space="preserve">— Hết tài liệu —</w:t>
      </w:r>
    </w:p>
    <w:p>
      <w:pPr>
        <w:jc w:val="center"/>
      </w:pPr>
      <w:r>
        <w:rPr>
          <w:rFonts w:ascii="Calibri" w:cs="Calibri" w:eastAsia="Calibri" w:hAnsi="Calibri"/>
          <w:color w:val="AAAAAA"/>
          <w:sz w:val="18"/>
          <w:szCs w:val="18"/>
        </w:rPr>
        <w:t xml:space="preserve">AgriContract  |  Giải Pháp, Người Dùng &amp; Mô Hình Kinh Doanh  |  v4.0 · Tháng 6/2026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Trang </w:t>
    </w: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5276" w:sz="4"/>
      </w:pBdr>
    </w:pPr>
    <w:r>
      <w:rPr>
        <w:rFonts w:ascii="Calibri" w:cs="Calibri" w:eastAsia="Calibri" w:hAnsi="Calibri"/>
        <w:b/>
        <w:bCs/>
        <w:color w:val="1A5276"/>
        <w:sz w:val="20"/>
        <w:szCs w:val="20"/>
      </w:rPr>
      <w:t xml:space="preserve">AgriContract</w:t>
    </w:r>
    <w:r>
      <w:rPr>
        <w:rFonts w:ascii="Calibri" w:cs="Calibri" w:eastAsia="Calibri" w:hAnsi="Calibri"/>
        <w:color w:val="888888"/>
        <w:sz w:val="18"/>
        <w:szCs w:val="18"/>
      </w:rPr>
      <w:t xml:space="preserve">   |   Giải Pháp, Người Dùng &amp; Mô Hình Kinh Doanh   |   v4.0 · Tháng 6/2026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400"/>
      <w:outlineLvl w:val="0"/>
    </w:pPr>
    <w:rPr>
      <w:rFonts w:ascii="Calibri" w:cs="Calibri" w:eastAsia="Calibri" w:hAnsi="Calibri"/>
      <w:b/>
      <w:bCs/>
      <w:color w:val="1A5276"/>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1A527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E405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2026-06-26T09:16:49.478Z</dcterms:created>
  <dcterms:modified xsi:type="dcterms:W3CDTF">2026-06-26T09:16:49.490Z</dcterms:modified>
</cp:coreProperties>
</file>

<file path=docProps/custom.xml><?xml version="1.0" encoding="utf-8"?>
<Properties xmlns="http://schemas.openxmlformats.org/officeDocument/2006/custom-properties" xmlns:vt="http://schemas.openxmlformats.org/officeDocument/2006/docPropsVTypes"/>
</file>