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0"/>
        <w:rPr/>
      </w:pPr>
      <w:r>
        <w:rPr>
          <w:rFonts w:eastAsia="Calibri" w:cs="Calibri"/>
          <w:b/>
          <w:bCs/>
          <w:color w:val="374151"/>
          <w:spacing w:val="60"/>
          <w:sz w:val="26"/>
          <w:szCs w:val="26"/>
        </w:rPr>
        <w:t>AGRICONTRACT</w:t>
      </w:r>
    </w:p>
    <w:p>
      <w:pPr>
        <w:pStyle w:val="Normal"/>
        <w:pBdr>
          <w:bottom w:val="single" w:sz="8" w:space="8" w:color="1F2A37"/>
        </w:pBdr>
        <w:spacing w:before="120" w:after="60"/>
        <w:rPr/>
      </w:pPr>
      <w:r>
        <w:rPr>
          <w:rFonts w:eastAsia="Calibri" w:cs="Calibri"/>
          <w:b/>
          <w:bCs/>
          <w:color w:val="1F2A37"/>
          <w:sz w:val="44"/>
          <w:szCs w:val="44"/>
        </w:rPr>
        <w:t>Giải pháp và mô hình nghiệp vụ Phase 2</w:t>
      </w:r>
    </w:p>
    <w:p>
      <w:pPr>
        <w:pStyle w:val="Normal"/>
        <w:spacing w:before="120" w:after="40"/>
        <w:rPr/>
      </w:pPr>
      <w:r>
        <w:rPr>
          <w:rFonts w:eastAsia="Calibri" w:cs="Calibri"/>
          <w:i/>
          <w:iCs/>
          <w:color w:val="374151"/>
          <w:sz w:val="23"/>
          <w:szCs w:val="23"/>
        </w:rPr>
        <w:t>Contract layer, golden flow, attribution/remedy, escrow, reputation và evidence</w:t>
      </w:r>
    </w:p>
    <w:p>
      <w:pPr>
        <w:pStyle w:val="Normal"/>
        <w:spacing w:before="240" w:after="0"/>
        <w:rPr/>
      </w:pPr>
      <w:r>
        <w:rPr>
          <w:rFonts w:eastAsia="Calibri" w:cs="Calibri"/>
          <w:color w:val="6B7280"/>
          <w:sz w:val="20"/>
          <w:szCs w:val="20"/>
        </w:rPr>
        <w:t>Tài liệu đồ án tốt nghiệp</w:t>
      </w:r>
    </w:p>
    <w:p>
      <w:pPr>
        <w:pStyle w:val="Normal"/>
        <w:spacing w:before="0" w:after="0"/>
        <w:rPr/>
      </w:pPr>
      <w:r>
        <w:rPr>
          <w:rFonts w:eastAsia="Calibri" w:cs="Calibri"/>
          <w:color w:val="6B7280"/>
          <w:sz w:val="20"/>
          <w:szCs w:val="20"/>
        </w:rPr>
        <w:t>Phiên bản final · Tháng 7/2026</w:t>
      </w:r>
    </w:p>
    <w:p>
      <w:pPr>
        <w:pStyle w:val="Normal"/>
        <w:spacing w:before="360" w:after="0"/>
        <w:rPr/>
      </w:pPr>
      <w:r>
        <w:rPr/>
      </w:r>
      <w:r>
        <w:br w:type="page"/>
      </w:r>
    </w:p>
    <w:p>
      <w:pPr>
        <w:pStyle w:val="Normal"/>
        <w:spacing w:before="0" w:after="120"/>
        <w:rPr/>
      </w:pPr>
      <w:r>
        <w:rPr>
          <w:rFonts w:eastAsia="Calibri" w:cs="Calibri"/>
          <w:b/>
          <w:bCs/>
          <w:color w:val="1F2A37"/>
          <w:sz w:val="28"/>
          <w:szCs w:val="28"/>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"1-3" \h</w:instrText>
          </w:r>
          <w:r>
            <w:rPr>
              <w:rStyle w:val="IndexLink"/>
            </w:rPr>
            <w:fldChar w:fldCharType="separate"/>
          </w:r>
          <w:hyperlink w:anchor="__RefHeading___Toc493_AgriContract">
            <w:r>
              <w:rPr>
                <w:rStyle w:val="IndexLink"/>
              </w:rPr>
              <w:t>Tóm tắt điều hành</w:t>
              <w:tab/>
              <w:t>3</w:t>
            </w:r>
          </w:hyperlink>
        </w:p>
        <w:p>
          <w:pPr>
            <w:pStyle w:val="TOC1"/>
            <w:tabs>
              <w:tab w:val="clear" w:pos="9638"/>
              <w:tab w:val="right" w:pos="9637" w:leader="dot"/>
            </w:tabs>
            <w:rPr/>
          </w:pPr>
          <w:hyperlink w:anchor="__RefHeading___Toc495_AgriContract">
            <w:r>
              <w:rPr>
                <w:rStyle w:val="IndexLink"/>
              </w:rPr>
              <w:t>1. Định nghĩa sản phẩm</w:t>
              <w:tab/>
              <w:t>3</w:t>
            </w:r>
          </w:hyperlink>
        </w:p>
        <w:p>
          <w:pPr>
            <w:pStyle w:val="TOC1"/>
            <w:tabs>
              <w:tab w:val="clear" w:pos="9638"/>
              <w:tab w:val="right" w:pos="9637" w:leader="dot"/>
            </w:tabs>
            <w:rPr/>
          </w:pPr>
          <w:hyperlink w:anchor="__RefHeading___Toc497_AgriContract">
            <w:r>
              <w:rPr>
                <w:rStyle w:val="IndexLink"/>
              </w:rPr>
              <w:t>2. Năm tầng người dùng</w:t>
              <w:tab/>
              <w:t>3</w:t>
            </w:r>
          </w:hyperlink>
        </w:p>
        <w:p>
          <w:pPr>
            <w:pStyle w:val="TOC3"/>
            <w:tabs>
              <w:tab w:val="clear" w:pos="9071"/>
              <w:tab w:val="right" w:pos="9637" w:leader="dot"/>
            </w:tabs>
            <w:rPr/>
          </w:pPr>
          <w:hyperlink w:anchor="__RefHeading___Toc499_AgriContract">
            <w:r>
              <w:rPr>
                <w:rStyle w:val="IndexLink"/>
              </w:rPr>
              <w:t>Xử lý xung đột lợi ích khi Tầng 1 và Tầng 2 trùng nhau</w:t>
              <w:tab/>
              <w:t>4</w:t>
            </w:r>
          </w:hyperlink>
        </w:p>
        <w:p>
          <w:pPr>
            <w:pStyle w:val="TOC1"/>
            <w:tabs>
              <w:tab w:val="clear" w:pos="9638"/>
              <w:tab w:val="right" w:pos="9637" w:leader="dot"/>
            </w:tabs>
            <w:rPr/>
          </w:pPr>
          <w:hyperlink w:anchor="__RefHeading___Toc501_AgriContract">
            <w:r>
              <w:rPr>
                <w:rStyle w:val="IndexLink"/>
              </w:rPr>
              <w:t>3. Luồng giao dịch Phase 2</w:t>
              <w:tab/>
              <w:t>4</w:t>
            </w:r>
          </w:hyperlink>
        </w:p>
        <w:p>
          <w:pPr>
            <w:pStyle w:val="TOC2"/>
            <w:tabs>
              <w:tab w:val="clear" w:pos="9355"/>
              <w:tab w:val="right" w:pos="9637" w:leader="dot"/>
            </w:tabs>
            <w:rPr/>
          </w:pPr>
          <w:hyperlink w:anchor="__RefHeading___Toc503_AgriContract">
            <w:r>
              <w:rPr>
                <w:rStyle w:val="IndexLink"/>
              </w:rPr>
              <w:t>3.1 Golden flow từ listing đến quyết toán</w:t>
              <w:tab/>
              <w:t>4</w:t>
            </w:r>
          </w:hyperlink>
        </w:p>
        <w:p>
          <w:pPr>
            <w:pStyle w:val="TOC2"/>
            <w:tabs>
              <w:tab w:val="clear" w:pos="9355"/>
              <w:tab w:val="right" w:pos="9637" w:leader="dot"/>
            </w:tabs>
            <w:rPr/>
          </w:pPr>
          <w:hyperlink w:anchor="__RefHeading___Toc505_AgriContract">
            <w:r>
              <w:rPr>
                <w:rStyle w:val="IndexLink"/>
              </w:rPr>
              <w:t>3.2 State và hành vi chấm dứt</w:t>
              <w:tab/>
              <w:t>5</w:t>
            </w:r>
          </w:hyperlink>
        </w:p>
        <w:p>
          <w:pPr>
            <w:pStyle w:val="TOC2"/>
            <w:tabs>
              <w:tab w:val="clear" w:pos="9355"/>
              <w:tab w:val="right" w:pos="9637" w:leader="dot"/>
            </w:tabs>
            <w:rPr/>
          </w:pPr>
          <w:hyperlink w:anchor="__RefHeading___Toc507_AgriContract">
            <w:r>
              <w:rPr>
                <w:rStyle w:val="IndexLink"/>
              </w:rPr>
              <w:t>3.3 Attribution: không đồng nhất người yêu cầu với bên vi phạm</w:t>
              <w:tab/>
              <w:t>5</w:t>
            </w:r>
          </w:hyperlink>
        </w:p>
        <w:p>
          <w:pPr>
            <w:pStyle w:val="TOC2"/>
            <w:tabs>
              <w:tab w:val="clear" w:pos="9355"/>
              <w:tab w:val="right" w:pos="9637" w:leader="dot"/>
            </w:tabs>
            <w:rPr/>
          </w:pPr>
          <w:hyperlink w:anchor="__RefHeading___Toc509_AgriContract">
            <w:r>
              <w:rPr>
                <w:rStyle w:val="IndexLink"/>
              </w:rPr>
              <w:t>3.4 Remedy và bảo toàn tiền</w:t>
              <w:tab/>
              <w:t>5</w:t>
            </w:r>
          </w:hyperlink>
        </w:p>
        <w:p>
          <w:pPr>
            <w:pStyle w:val="TOC2"/>
            <w:tabs>
              <w:tab w:val="clear" w:pos="9355"/>
              <w:tab w:val="right" w:pos="9637" w:leader="dot"/>
            </w:tabs>
            <w:rPr/>
          </w:pPr>
          <w:hyperlink w:anchor="__RefHeading___Toc511_AgriContract">
            <w:r>
              <w:rPr>
                <w:rStyle w:val="IndexLink"/>
              </w:rPr>
              <w:t>3.5 Milestone, Delta 1/Delta 2 và Level 2 provisional</w:t>
              <w:tab/>
              <w:t>5</w:t>
            </w:r>
          </w:hyperlink>
        </w:p>
        <w:p>
          <w:pPr>
            <w:pStyle w:val="TOC2"/>
            <w:tabs>
              <w:tab w:val="clear" w:pos="9355"/>
              <w:tab w:val="right" w:pos="9637" w:leader="dot"/>
            </w:tabs>
            <w:rPr/>
          </w:pPr>
          <w:hyperlink w:anchor="__RefHeading___Toc513_AgriContract">
            <w:r>
              <w:rPr>
                <w:rStyle w:val="IndexLink"/>
              </w:rPr>
              <w:t>3.6 Vì sao seller không bị khoá vốn lưu động toàn hợp đồng</w:t>
              <w:tab/>
              <w:t>6</w:t>
            </w:r>
          </w:hyperlink>
        </w:p>
        <w:p>
          <w:pPr>
            <w:pStyle w:val="TOC1"/>
            <w:tabs>
              <w:tab w:val="clear" w:pos="9638"/>
              <w:tab w:val="right" w:pos="9637" w:leader="dot"/>
            </w:tabs>
            <w:rPr/>
          </w:pPr>
          <w:hyperlink w:anchor="__RefHeading___Toc515_AgriContract">
            <w:r>
              <w:rPr>
                <w:rStyle w:val="IndexLink"/>
              </w:rPr>
              <w:t>4. Giám định độc lập — ranh giới Level 1, 1.5 và 2</w:t>
              <w:tab/>
              <w:t>6</w:t>
            </w:r>
          </w:hyperlink>
        </w:p>
        <w:p>
          <w:pPr>
            <w:pStyle w:val="TOC1"/>
            <w:tabs>
              <w:tab w:val="clear" w:pos="9638"/>
              <w:tab w:val="right" w:pos="9637" w:leader="dot"/>
            </w:tabs>
            <w:rPr/>
          </w:pPr>
          <w:hyperlink w:anchor="__RefHeading___Toc517_AgriContract">
            <w:r>
              <w:rPr>
                <w:rStyle w:val="IndexLink"/>
              </w:rPr>
              <w:t>5. Uy tín và cơ chế khoá tài khoản</w:t>
              <w:tab/>
              <w:t>6</w:t>
            </w:r>
          </w:hyperlink>
        </w:p>
        <w:p>
          <w:pPr>
            <w:pStyle w:val="TOC1"/>
            <w:tabs>
              <w:tab w:val="clear" w:pos="9638"/>
              <w:tab w:val="right" w:pos="9637" w:leader="dot"/>
            </w:tabs>
            <w:rPr/>
          </w:pPr>
          <w:hyperlink w:anchor="__RefHeading___Toc519_AgriContract">
            <w:r>
              <w:rPr>
                <w:rStyle w:val="IndexLink"/>
              </w:rPr>
              <w:t>6. Bằng chứng, audit và notification</w:t>
              <w:tab/>
              <w:t>6</w:t>
            </w:r>
          </w:hyperlink>
        </w:p>
        <w:p>
          <w:pPr>
            <w:pStyle w:val="TOC1"/>
            <w:tabs>
              <w:tab w:val="clear" w:pos="9638"/>
              <w:tab w:val="right" w:pos="9637" w:leader="dot"/>
            </w:tabs>
            <w:rPr/>
          </w:pPr>
          <w:hyperlink w:anchor="__RefHeading___Toc521_AgriContract">
            <w:r>
              <w:rPr>
                <w:rStyle w:val="IndexLink"/>
              </w:rPr>
              <w:t>7. Khung pháp lý và quản trị rủi ro</w:t>
              <w:tab/>
              <w:t>7</w:t>
            </w:r>
          </w:hyperlink>
        </w:p>
        <w:p>
          <w:pPr>
            <w:pStyle w:val="TOC2"/>
            <w:tabs>
              <w:tab w:val="clear" w:pos="9355"/>
              <w:tab w:val="right" w:pos="9637" w:leader="dot"/>
            </w:tabs>
            <w:rPr/>
          </w:pPr>
          <w:hyperlink w:anchor="__RefHeading___Toc523_AgriContract">
            <w:r>
              <w:rPr>
                <w:rStyle w:val="IndexLink"/>
              </w:rPr>
              <w:t>7.1 LegalProfile đóng băng cùng hợp đồng</w:t>
              <w:tab/>
              <w:t>7</w:t>
            </w:r>
          </w:hyperlink>
        </w:p>
        <w:p>
          <w:pPr>
            <w:pStyle w:val="TOC2"/>
            <w:tabs>
              <w:tab w:val="clear" w:pos="9355"/>
              <w:tab w:val="right" w:pos="9637" w:leader="dot"/>
            </w:tabs>
            <w:rPr/>
          </w:pPr>
          <w:hyperlink w:anchor="__RefHeading___Toc525_AgriContract">
            <w:r>
              <w:rPr>
                <w:rStyle w:val="IndexLink"/>
              </w:rPr>
              <w:t>7.2 Governance và trust boundary</w:t>
              <w:tab/>
              <w:t>7</w:t>
            </w:r>
          </w:hyperlink>
        </w:p>
        <w:p>
          <w:pPr>
            <w:pStyle w:val="TOC1"/>
            <w:tabs>
              <w:tab w:val="clear" w:pos="9638"/>
              <w:tab w:val="right" w:pos="9637" w:leader="dot"/>
            </w:tabs>
            <w:rPr/>
          </w:pPr>
          <w:hyperlink w:anchor="__RefHeading___Toc527_AgriContract">
            <w:r>
              <w:rPr>
                <w:rStyle w:val="IndexLink"/>
              </w:rPr>
              <w:t>8. Ba lớp giá trị</w:t>
              <w:tab/>
              <w:t>7</w:t>
            </w:r>
          </w:hyperlink>
        </w:p>
        <w:p>
          <w:pPr>
            <w:pStyle w:val="TOC1"/>
            <w:tabs>
              <w:tab w:val="clear" w:pos="9638"/>
              <w:tab w:val="right" w:pos="9637" w:leader="dot"/>
            </w:tabs>
            <w:rPr/>
          </w:pPr>
          <w:hyperlink w:anchor="__RefHeading___Toc529_AgriContract">
            <w:r>
              <w:rPr>
                <w:rStyle w:val="IndexLink"/>
              </w:rPr>
              <w:t>9. Điểm khác biệt của mô hình</w:t>
              <w:tab/>
              <w:t>7</w:t>
            </w:r>
          </w:hyperlink>
        </w:p>
        <w:p>
          <w:pPr>
            <w:pStyle w:val="TOC1"/>
            <w:tabs>
              <w:tab w:val="clear" w:pos="9638"/>
              <w:tab w:val="right" w:pos="9637" w:leader="dot"/>
            </w:tabs>
            <w:rPr/>
          </w:pPr>
          <w:hyperlink w:anchor="__RefHeading___Toc531_AgriContract">
            <w:r>
              <w:rPr>
                <w:rStyle w:val="IndexLink"/>
              </w:rPr>
              <w:t>10. Chiến lược vào thị trường — anchor buyer pilot</w:t>
              <w:tab/>
              <w:t>8</w:t>
            </w:r>
          </w:hyperlink>
        </w:p>
        <w:p>
          <w:pPr>
            <w:pStyle w:val="TOC1"/>
            <w:tabs>
              <w:tab w:val="clear" w:pos="9638"/>
              <w:tab w:val="right" w:pos="9637" w:leader="dot"/>
            </w:tabs>
            <w:rPr/>
          </w:pPr>
          <w:hyperlink w:anchor="__RefHeading___Toc533_AgriContract">
            <w:r>
              <w:rPr>
                <w:rStyle w:val="IndexLink"/>
              </w:rPr>
              <w:t>11. Câu hỏi phản biện trọng yếu</w:t>
              <w:tab/>
              <w:t>8</w:t>
            </w:r>
          </w:hyperlink>
        </w:p>
        <w:p>
          <w:pPr>
            <w:pStyle w:val="TOC1"/>
            <w:tabs>
              <w:tab w:val="clear" w:pos="9638"/>
              <w:tab w:val="right" w:pos="9637" w:leader="dot"/>
            </w:tabs>
            <w:rPr/>
          </w:pPr>
          <w:hyperlink w:anchor="__RefHeading___Toc535_AgriContract">
            <w:r>
              <w:rPr>
                <w:rStyle w:val="IndexLink"/>
              </w:rPr>
              <w:t>12. Current Scope</w:t>
              <w:tab/>
              <w:t>8</w:t>
            </w:r>
          </w:hyperlink>
        </w:p>
        <w:p>
          <w:pPr>
            <w:pStyle w:val="TOC1"/>
            <w:tabs>
              <w:tab w:val="clear" w:pos="9638"/>
              <w:tab w:val="right" w:pos="9637" w:leader="dot"/>
            </w:tabs>
            <w:rPr/>
          </w:pPr>
          <w:hyperlink w:anchor="__RefHeading___Toc537_AgriContract">
            <w:r>
              <w:rPr>
                <w:rStyle w:val="IndexLink"/>
              </w:rPr>
              <w:t>13. Known Limitations</w:t>
              <w:tab/>
              <w:t>8</w:t>
            </w:r>
          </w:hyperlink>
        </w:p>
        <w:p>
          <w:pPr>
            <w:pStyle w:val="TOC1"/>
            <w:tabs>
              <w:tab w:val="clear" w:pos="9638"/>
              <w:tab w:val="right" w:pos="9637" w:leader="dot"/>
            </w:tabs>
            <w:rPr/>
          </w:pPr>
          <w:hyperlink w:anchor="__RefHeading___Toc539_AgriContract">
            <w:r>
              <w:rPr>
                <w:rStyle w:val="IndexLink"/>
              </w:rPr>
              <w:t>14. Future Work</w:t>
              <w:tab/>
              <w:t>9</w:t>
            </w:r>
          </w:hyperlink>
        </w:p>
        <w:p>
          <w:pPr>
            <w:pStyle w:val="TOC1"/>
            <w:tabs>
              <w:tab w:val="clear" w:pos="9638"/>
              <w:tab w:val="right" w:pos="9637" w:leader="dot"/>
            </w:tabs>
            <w:rPr/>
          </w:pPr>
          <w:hyperlink w:anchor="__RefHeading___Toc541_AgriContract">
            <w:r>
              <w:rPr>
                <w:rStyle w:val="IndexLink"/>
              </w:rPr>
              <w:t>15. Danh mục nguồn tham khảo</w:t>
              <w:tab/>
              <w:t>9</w:t>
            </w:r>
          </w:hyperlink>
          <w:r>
            <w:rPr>
              <w:rStyle w:val="IndexLink"/>
            </w:rPr>
            <w:fldChar w:fldCharType="end"/>
          </w:r>
        </w:p>
      </w:sdtContent>
    </w:sdt>
    <w:p>
      <w:pPr>
        <w:pStyle w:val="Normal"/>
        <w:rPr/>
      </w:pPr>
      <w:r>
        <w:rPr/>
      </w:r>
    </w:p>
    <w:p>
      <w:pPr>
        <w:pStyle w:val="Normal"/>
        <w:spacing w:before="240" w:after="0"/>
        <w:rPr/>
      </w:pPr>
      <w:r>
        <w:rPr/>
      </w:r>
      <w:r>
        <w:br w:type="page"/>
      </w:r>
    </w:p>
    <w:p>
      <w:pPr>
        <w:pStyle w:val="Heading1"/>
        <w:pBdr>
          <w:bottom w:val="single" w:sz="6" w:space="6" w:color="D1D5DB"/>
        </w:pBdr>
        <w:spacing w:before="0" w:after="120"/>
        <w:rPr/>
      </w:pPr>
      <w:bookmarkStart w:id="0" w:name="__RefHeading___Toc493_AgriContract"/>
      <w:bookmarkEnd w:id="0"/>
      <w:r>
        <w:rPr>
          <w:rFonts w:eastAsia="Calibri" w:cs="Calibri" w:ascii="Calibri" w:hAnsi="Calibri"/>
          <w:b/>
          <w:bCs/>
          <w:color w:val="1F2A37"/>
          <w:sz w:val="30"/>
          <w:szCs w:val="30"/>
        </w:rPr>
        <w:t>Tóm tắt điều hành</w:t>
      </w:r>
    </w:p>
    <w:p>
      <w:pPr>
        <w:pStyle w:val="Normal"/>
        <w:spacing w:lineRule="exact" w:line="276" w:before="0" w:after="120"/>
        <w:jc w:val="both"/>
        <w:rPr/>
      </w:pPr>
      <w:r>
        <w:rPr>
          <w:rFonts w:eastAsia="Calibri" w:cs="Calibri"/>
          <w:b w:val="false"/>
          <w:bCs w:val="false"/>
          <w:i w:val="false"/>
          <w:iCs w:val="false"/>
          <w:color w:val="111827"/>
          <w:sz w:val="21"/>
          <w:szCs w:val="21"/>
        </w:rPr>
        <w:t>AgriContract là contract layer cho giao dịch nông sản B2B: hợp đồng điện tử, cọc và milestone escrow qua custody boundary, giao nhận/giám định, attribution/remedy, reputation và audit evidence. Thiết kế Phase 2 thay mô hình “huỷ một nút rồi phạt” bằng taxonomy chấm dứt và decision chain rõ ràng. Tiền và uy tín không phản ứng trực tiếp với allegation hoặc lifecycle event; chúng chỉ phản ứng với quyết định cuối cùng canonical.</w:t>
      </w:r>
    </w:p>
    <w:p>
      <w:pPr>
        <w:pStyle w:val="Normal"/>
        <w:spacing w:lineRule="exact" w:line="276" w:before="0" w:after="120"/>
        <w:jc w:val="both"/>
        <w:rPr/>
      </w:pPr>
      <w:r>
        <w:rPr>
          <w:rFonts w:eastAsia="Calibri" w:cs="Calibri"/>
          <w:b w:val="false"/>
          <w:bCs w:val="false"/>
          <w:i w:val="false"/>
          <w:iCs w:val="false"/>
          <w:color w:val="111827"/>
          <w:sz w:val="21"/>
          <w:szCs w:val="21"/>
        </w:rPr>
        <w:t>Tài liệu này mô tả mô hình người dùng, golden flow, giá trị, các quy tắc nghiệp vụ và giới hạn ở mức nghiệp vụ. Các quyết định về API, event, schema, idempotency và migration được tóm lược đủ trong phạm vi tài liệu này; mọi capability được mô tả là target design, còn tích hợp ngân hàng/giám định production và legal validation vẫn là giới hạn.</w:t>
      </w:r>
    </w:p>
    <w:p>
      <w:pPr>
        <w:pStyle w:val="Heading1"/>
        <w:pBdr>
          <w:bottom w:val="single" w:sz="6" w:space="6" w:color="D1D5DB"/>
        </w:pBdr>
        <w:spacing w:before="320" w:after="120"/>
        <w:rPr/>
      </w:pPr>
      <w:bookmarkStart w:id="1" w:name="__RefHeading___Toc495_AgriContract"/>
      <w:bookmarkEnd w:id="1"/>
      <w:r>
        <w:rPr>
          <w:rFonts w:eastAsia="Calibri" w:cs="Calibri" w:ascii="Calibri" w:hAnsi="Calibri"/>
          <w:b/>
          <w:bCs/>
          <w:color w:val="1F2A37"/>
          <w:sz w:val="30"/>
          <w:szCs w:val="30"/>
        </w:rPr>
        <w:t>1. Định nghĩa sản phẩm</w:t>
      </w:r>
    </w:p>
    <w:p>
      <w:pPr>
        <w:pStyle w:val="Normal"/>
        <w:spacing w:lineRule="exact" w:line="276" w:before="0" w:after="120"/>
        <w:jc w:val="both"/>
        <w:rPr/>
      </w:pPr>
      <w:r>
        <w:rPr>
          <w:rFonts w:eastAsia="Calibri" w:cs="Calibri"/>
          <w:b w:val="false"/>
          <w:bCs w:val="false"/>
          <w:i w:val="false"/>
          <w:iCs w:val="false"/>
          <w:color w:val="111827"/>
          <w:sz w:val="21"/>
          <w:szCs w:val="21"/>
        </w:rPr>
        <w:t>AgriContract là nền tảng số hoá hợp đồng mua bán nông sản B2B với cơ chế tiền cọc và tiền phong toả do custodian/tổ chức tín dụng phù hợp giữ theo mô hình pilot. Hợp đồng không bị phủ nhận giá trị pháp lý chỉ vì được giao kết và lưu trữ bằng phương tiện điện tử; hiệu lực vẫn phụ thuộc các điều kiện chung của giao dịch, pháp luật về hợp đồng và quy định có liên quan. [27]</w:t>
      </w:r>
    </w:p>
    <w:p>
      <w:pPr>
        <w:pStyle w:val="Normal"/>
        <w:spacing w:lineRule="exact" w:line="276" w:before="0" w:after="120"/>
        <w:jc w:val="both"/>
        <w:rPr/>
      </w:pPr>
      <w:r>
        <w:rPr>
          <w:rFonts w:eastAsia="Calibri" w:cs="Calibri"/>
          <w:b/>
          <w:bCs/>
          <w:i w:val="false"/>
          <w:iCs w:val="false"/>
          <w:color w:val="111827"/>
          <w:sz w:val="21"/>
          <w:szCs w:val="21"/>
        </w:rPr>
        <w:t>Phạm vi giới hạn có chủ đích ở tầng hợp đồng.</w:t>
      </w:r>
      <w:r>
        <w:rPr>
          <w:rFonts w:eastAsia="Calibri" w:cs="Calibri"/>
          <w:b w:val="false"/>
          <w:bCs w:val="false"/>
          <w:i w:val="false"/>
          <w:iCs w:val="false"/>
          <w:color w:val="111827"/>
          <w:sz w:val="21"/>
          <w:szCs w:val="21"/>
        </w:rPr>
        <w:t xml:space="preserve"> AgriContract không xử lý logistics, không phải sàn thương mại điện tử, không thay thế hệ thống kế toán doanh nghiệp. Phần mềm được thiết kế để xử lý một vấn đề cụ thể — thiếu cơ chế thực thi workflow theo điều kiện trong giao dịch forward contract nông sản B2B — và không có tham vọng giải quyết toàn bộ chuỗi cung ứng.</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exact" w:line="264" w:before="120" w:after="140"/>
        <w:ind w:start="60" w:end="60"/>
        <w:rPr/>
      </w:pPr>
      <w:r>
        <w:rPr>
          <w:rFonts w:eastAsia="Calibri" w:cs="Calibri"/>
          <w:b/>
          <w:bCs/>
          <w:color w:val="1F2A37"/>
          <w:sz w:val="20"/>
          <w:szCs w:val="20"/>
        </w:rPr>
        <w:t xml:space="preserve">Căn cứ pháp lý — Luật GDĐT 2023, Điều 8, Điều 11 và Điều 34–36. </w:t>
      </w:r>
      <w:r>
        <w:rPr>
          <w:rFonts w:eastAsia="Calibri" w:cs="Calibri"/>
          <w:color w:val="374151"/>
          <w:sz w:val="20"/>
          <w:szCs w:val="20"/>
        </w:rPr>
        <w:t>Thông tin không bị phủ nhận giá trị pháp lý chỉ vì ở dạng thông điệp dữ liệu; việc giao kết và thực hiện hợp đồng điện tử vẫn phải tuân thủ pháp luật về hợp đồng và quy định liên quan. Audit trail có thể được sử dụng làm chứng cứ, với giá trị phụ thuộc độ tin cậy của phương thức tạo lập, gửi, nhận, lưu trữ và bảo toàn tính toàn vẹn. [27]</w:t>
      </w:r>
    </w:p>
    <w:p>
      <w:pPr>
        <w:pStyle w:val="Heading1"/>
        <w:pBdr>
          <w:bottom w:val="single" w:sz="6" w:space="6" w:color="D1D5DB"/>
        </w:pBdr>
        <w:spacing w:before="320" w:after="120"/>
        <w:rPr/>
      </w:pPr>
      <w:bookmarkStart w:id="2" w:name="__RefHeading___Toc497_AgriContract"/>
      <w:bookmarkEnd w:id="2"/>
      <w:r>
        <w:rPr>
          <w:rFonts w:eastAsia="Calibri" w:cs="Calibri" w:ascii="Calibri" w:hAnsi="Calibri"/>
          <w:b/>
          <w:bCs/>
          <w:color w:val="1F2A37"/>
          <w:sz w:val="30"/>
          <w:szCs w:val="30"/>
        </w:rPr>
        <w:t>2. Năm tầng người dùng</w:t>
      </w:r>
    </w:p>
    <w:p>
      <w:pPr>
        <w:pStyle w:val="Normal"/>
        <w:spacing w:lineRule="exact" w:line="276" w:before="0" w:after="120"/>
        <w:jc w:val="both"/>
        <w:rPr/>
      </w:pPr>
      <w:r>
        <w:rPr>
          <w:rFonts w:eastAsia="Calibri" w:cs="Calibri"/>
          <w:b w:val="false"/>
          <w:bCs w:val="false"/>
          <w:i w:val="false"/>
          <w:iCs w:val="false"/>
          <w:color w:val="111827"/>
          <w:sz w:val="21"/>
          <w:szCs w:val="21"/>
        </w:rPr>
        <w:t>Các tầng stakeholder không đồng nhất với role runtime. Keycloak có năm role BUYER, SELLER, INSPECTOR, OPERATOR và ADMIN. OPERATOR xử lý công việc vận hành hằng ngày có thể đảo ngược như KYC, review, moderation và nhập giá thủ công; ADMIN giữ các quyết định rủi ro cao, security/audit và bước approve maker-checker. External Verifier và System là actor kỹ thuật, không phải role người dùng thông thường.</w:t>
      </w:r>
    </w:p>
    <w:p>
      <w:pPr>
        <w:pStyle w:val="Normal"/>
        <w:spacing w:lineRule="exact" w:line="276" w:before="0" w:after="120"/>
        <w:jc w:val="both"/>
        <w:rPr/>
      </w:pPr>
      <w:r>
        <w:rPr>
          <w:rFonts w:eastAsia="Calibri" w:cs="Calibri"/>
          <w:b w:val="false"/>
          <w:bCs w:val="false"/>
          <w:i w:val="false"/>
          <w:iCs w:val="false"/>
          <w:color w:val="111827"/>
          <w:sz w:val="21"/>
          <w:szCs w:val="21"/>
        </w:rPr>
        <w:t>Nền tảng có năm nhóm người dùng với quan hệ pháp lý và quyền hạn hoàn toàn khác nhau. Nhầm lẫn giữa các tầng này dẫn đến hiểu sai về mô hình doanh thu, cơ chế trust và phân tích rủi ro pháp lý.</w:t>
      </w:r>
    </w:p>
    <w:tbl>
      <w:tblPr>
        <w:tblW w:w="9638" w:type="dxa"/>
        <w:jc w:val="start"/>
        <w:tblInd w:w="0" w:type="dxa"/>
        <w:tblLayout w:type="fixed"/>
        <w:tblCellMar>
          <w:top w:w="60" w:type="dxa"/>
          <w:start w:w="90" w:type="dxa"/>
          <w:bottom w:w="60" w:type="dxa"/>
          <w:end w:w="90" w:type="dxa"/>
        </w:tblCellMar>
      </w:tblPr>
      <w:tblGrid>
        <w:gridCol w:w="2708"/>
        <w:gridCol w:w="3464"/>
        <w:gridCol w:w="3466"/>
      </w:tblGrid>
      <w:tr>
        <w:trPr>
          <w:tblHeader w:val="true"/>
          <w:cantSplit w:val="true"/>
        </w:trPr>
        <w:tc>
          <w:tcPr>
            <w:tcW w:w="270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Tầng</w:t>
            </w:r>
          </w:p>
        </w:tc>
        <w:tc>
          <w:tcPr>
            <w:tcW w:w="3464"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Chủ thể</w:t>
            </w:r>
          </w:p>
        </w:tc>
        <w:tc>
          <w:tcPr>
            <w:tcW w:w="3466"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Vai trò</w:t>
            </w:r>
          </w:p>
        </w:tc>
      </w:tr>
      <w:tr>
        <w:trPr>
          <w:cantSplit w:val="true"/>
        </w:trPr>
        <w:tc>
          <w:tcPr>
            <w:tcW w:w="270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Tầng 1 — Software Buyer</w:t>
            </w:r>
          </w:p>
        </w:tc>
        <w:tc>
          <w:tcPr>
            <w:tcW w:w="346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Hiệp hội ngành hàng (VICOFA, VRA, VINACAS) hoặc doanh nghiệp thu mua lớn (Intimex, Phúc Sinh Group, XNK 2/9 Đắk Lắk)</w:t>
            </w:r>
          </w:p>
        </w:tc>
        <w:tc>
          <w:tcPr>
            <w:tcW w:w="346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Trả phí license/subscription — nguồn doanh thu của nền tảng. Triển khai cho cộng đồng thành viên; chỉ định OPERATOR vận hành hằng ngày và ADMIN kiểm soát hành động rủi ro cao</w:t>
            </w:r>
          </w:p>
        </w:tc>
      </w:tr>
      <w:tr>
        <w:trPr>
          <w:cantSplit w:val="true"/>
        </w:trPr>
        <w:tc>
          <w:tcPr>
            <w:tcW w:w="270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Tầng 2 — Platform Buyer</w:t>
            </w:r>
          </w:p>
        </w:tc>
        <w:tc>
          <w:tcPr>
            <w:tcW w:w="346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Doanh nghiệp thu mua, tập đoàn xuất khẩu nông sản (nhiều trường hợp trùng Tầng 1)</w:t>
            </w:r>
          </w:p>
        </w:tc>
        <w:tc>
          <w:tcPr>
            <w:tcW w:w="346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Khởi tạo offer và đàm phán điều khoản; khoá tiền ký quỹ trước khi bên bán giao hàng; xác nhận nhận hàng để kích hoạt giải ngân</w:t>
            </w:r>
          </w:p>
        </w:tc>
      </w:tr>
      <w:tr>
        <w:trPr>
          <w:cantSplit w:val="true"/>
        </w:trPr>
        <w:tc>
          <w:tcPr>
            <w:tcW w:w="270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Tầng 3 — Platform Seller</w:t>
            </w:r>
          </w:p>
        </w:tc>
        <w:tc>
          <w:tcPr>
            <w:tcW w:w="346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Hợp tác xã nông sản, nông hộ liên kết, doanh nghiệp cung ứng nguyên liệu</w:t>
            </w:r>
          </w:p>
        </w:tc>
        <w:tc>
          <w:tcPr>
            <w:tcW w:w="346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Đăng listing sau khi được xác minh; đàm phán và ký hợp đồng điện tử; giao hàng và nhận thanh toán. Nhóm được cơ chế ký quỹ thiết kế để bảo vệ trực tiếp nhất</w:t>
            </w:r>
          </w:p>
        </w:tc>
      </w:tr>
      <w:tr>
        <w:trPr>
          <w:cantSplit w:val="true"/>
        </w:trPr>
        <w:tc>
          <w:tcPr>
            <w:tcW w:w="270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Tầng 4 — INSPECTOR</w:t>
            </w:r>
          </w:p>
        </w:tc>
        <w:tc>
          <w:tcPr>
            <w:tcW w:w="346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Tổ chức giám định có năng lực và giấy phép/công nhận phù hợp với phạm vi dịch vụ (ví dụ: Vinacontrol, Quatest, SGS, Bureau Veritas, Intertek)</w:t>
            </w:r>
          </w:p>
        </w:tc>
        <w:tc>
          <w:tcPr>
            <w:tcW w:w="346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Nhân chứng chuyên môn độc lập, không phải người phán xử. Xác định số lượng/chất lượng tại điểm giao nhận; nộp inspection report với cam kết hash để phát hiện thay đổi sau khi submit</w:t>
            </w:r>
          </w:p>
        </w:tc>
      </w:tr>
      <w:tr>
        <w:trPr>
          <w:cantSplit w:val="true"/>
        </w:trPr>
        <w:tc>
          <w:tcPr>
            <w:tcW w:w="2708"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Tầng 5 — Escrow Holder</w:t>
            </w:r>
          </w:p>
        </w:tc>
        <w:tc>
          <w:tcPr>
            <w:tcW w:w="346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Custodian/tổ chức tín dụng được phép theo mô hình pilot</w:t>
            </w:r>
          </w:p>
        </w:tc>
        <w:tc>
          <w:tcPr>
            <w:tcW w:w="3466"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Không phải người dùng nền tảng. Custodian giữ tiền thật; nền tảng chỉ gửi lệnh khoá/giải ngân theo điều kiện đã xác định. Cấu trúc này có thể giúp phân định custody khỏi platform, nhưng không tự kết luận mô hình đã đáp ứng mọi yêu cầu cấp phép [28], [29]</w:t>
            </w:r>
          </w:p>
        </w:tc>
      </w:tr>
    </w:tbl>
    <w:p>
      <w:pPr>
        <w:pStyle w:val="Normal"/>
        <w:pBdr>
          <w:left w:val="single" w:sz="18" w:space="12" w:color="9CA3AF"/>
        </w:pBdr>
        <w:spacing w:lineRule="exact" w:line="276" w:before="120" w:after="40"/>
        <w:ind w:start="360"/>
        <w:rPr/>
      </w:pPr>
      <w:r>
        <w:rPr>
          <w:rFonts w:eastAsia="Calibri" w:cs="Calibri"/>
          <w:i/>
          <w:iCs/>
          <w:color w:val="374151"/>
          <w:sz w:val="21"/>
          <w:szCs w:val="21"/>
        </w:rPr>
        <w:t>“</w:t>
      </w:r>
      <w:r>
        <w:rPr>
          <w:rFonts w:eastAsia="Calibri" w:cs="Calibri"/>
          <w:i/>
          <w:iCs/>
          <w:color w:val="374151"/>
          <w:sz w:val="21"/>
          <w:szCs w:val="21"/>
        </w:rPr>
        <w:t>Lưu ý về danh tính tổ chức. Các tên hiệp hội, doanh nghiệp thu mua và tổ chức giám định nêu trong bảng chỉ là ví dụ minh hoạ persona hệ sinh thái; không hàm ý các tổ chức này đã hợp tác, xác nhận nhu cầu hoặc đã tích hợp với AgriContract.”</w:t>
      </w:r>
    </w:p>
    <w:p>
      <w:pPr>
        <w:pStyle w:val="Normal"/>
        <w:spacing w:lineRule="exact" w:line="276" w:before="0" w:after="120"/>
        <w:jc w:val="both"/>
        <w:rPr/>
      </w:pPr>
      <w:r>
        <w:rPr>
          <w:rFonts w:eastAsia="Calibri" w:cs="Calibri"/>
          <w:b/>
          <w:bCs/>
          <w:i w:val="false"/>
          <w:iCs w:val="false"/>
          <w:color w:val="111827"/>
          <w:sz w:val="21"/>
          <w:szCs w:val="21"/>
        </w:rPr>
        <w:t>Giả thuyết kênh phân phối qua hiệp hội.</w:t>
      </w:r>
      <w:r>
        <w:rPr>
          <w:rFonts w:eastAsia="Calibri" w:cs="Calibri"/>
          <w:b w:val="false"/>
          <w:bCs w:val="false"/>
          <w:i w:val="false"/>
          <w:iCs w:val="false"/>
          <w:color w:val="111827"/>
          <w:sz w:val="21"/>
          <w:szCs w:val="21"/>
        </w:rPr>
        <w:t xml:space="preserve"> Nghiên cứu về HTX Việt Nam ghi nhận khác biệt về quy mô, năng lực quản trị và nguồn lực; willingness-to-pay và năng lực mua phần mềm của nhóm HTX nhỏ chưa được kiểm chứng. Vì vậy mô hình đề xuất là để hiệp hội hoặc doanh nghiệp thu mua lớn làm anchor buyer, sau đó đo adoption, WTP và mức hỗ trợ vận hành của HTX trong pilot. [15], [16]</w:t>
      </w:r>
    </w:p>
    <w:p>
      <w:pPr>
        <w:pStyle w:val="Heading3"/>
        <w:spacing w:before="180" w:after="60"/>
        <w:rPr/>
      </w:pPr>
      <w:bookmarkStart w:id="3" w:name="__RefHeading___Toc499_AgriContract"/>
      <w:bookmarkEnd w:id="3"/>
      <w:r>
        <w:rPr>
          <w:rFonts w:eastAsia="Calibri" w:cs="Calibri" w:ascii="Calibri" w:hAnsi="Calibri"/>
          <w:b/>
          <w:bCs/>
          <w:color w:val="374151"/>
          <w:sz w:val="22"/>
          <w:szCs w:val="22"/>
        </w:rPr>
        <w:t>Xử lý xung đột lợi ích khi Tầng 1 và Tầng 2 trùng nhau</w:t>
      </w:r>
    </w:p>
    <w:p>
      <w:pPr>
        <w:pStyle w:val="Normal"/>
        <w:spacing w:lineRule="exact" w:line="276" w:before="0" w:after="120"/>
        <w:jc w:val="both"/>
        <w:rPr/>
      </w:pPr>
      <w:r>
        <w:rPr>
          <w:rFonts w:eastAsia="Calibri" w:cs="Calibri"/>
          <w:b w:val="false"/>
          <w:bCs w:val="false"/>
          <w:i w:val="false"/>
          <w:iCs w:val="false"/>
          <w:color w:val="111827"/>
          <w:sz w:val="21"/>
          <w:szCs w:val="21"/>
        </w:rPr>
        <w:t>Khi doanh nghiệp thu mua vừa mua license vừa là bên mua hàng trên nền tảng, đội vận hành do họ chỉ định có xung đột lợi ích trong vai trò xử lý tranh chấp. Hai cơ chế kiểm soát:</w:t>
      </w:r>
    </w:p>
    <w:p>
      <w:pPr>
        <w:pStyle w:val="Normal"/>
        <w:spacing w:lineRule="exact" w:line="276" w:before="0" w:after="60"/>
        <w:ind w:hanging="220" w:start="360"/>
        <w:jc w:val="both"/>
        <w:rPr/>
      </w:pPr>
      <w:r>
        <w:rPr>
          <w:rFonts w:eastAsia="Calibri" w:cs="Calibri"/>
          <w:b w:val="false"/>
          <w:bCs w:val="false"/>
          <w:i w:val="false"/>
          <w:iCs w:val="false"/>
          <w:color w:val="111827"/>
          <w:sz w:val="21"/>
          <w:szCs w:val="21"/>
        </w:rPr>
        <w:t>1. Tranh chấp giá trị lớn hoặc hàng hoá phức tạp bắt buộc kích hoạt INSPECTOR độc lập — OPERATOR/ADMIN được ủy quyền chỉ thực thi kết quả giám định, không được ra phán quyết độc lập.</w:t>
      </w:r>
    </w:p>
    <w:p>
      <w:pPr>
        <w:pStyle w:val="Normal"/>
        <w:spacing w:lineRule="exact" w:line="276" w:before="0" w:after="60"/>
        <w:ind w:hanging="220" w:start="360"/>
        <w:jc w:val="both"/>
        <w:rPr/>
      </w:pPr>
      <w:r>
        <w:rPr>
          <w:rFonts w:eastAsia="Calibri" w:cs="Calibri"/>
          <w:b w:val="false"/>
          <w:bCs w:val="false"/>
          <w:i w:val="false"/>
          <w:iCs w:val="false"/>
          <w:color w:val="111827"/>
          <w:sz w:val="21"/>
          <w:szCs w:val="21"/>
        </w:rPr>
        <w:t>2. Mọi quyết định vận hành của OPERATOR/ADMIN được ghi vào audit trail append-only; hành động override được đánh dấu và có thể phát hiện nếu dữ liệu bị thay đổi.</w:t>
      </w:r>
    </w:p>
    <w:p>
      <w:pPr>
        <w:pStyle w:val="Normal"/>
        <w:spacing w:lineRule="exact" w:line="276" w:before="0" w:after="120"/>
        <w:jc w:val="both"/>
        <w:rPr/>
      </w:pPr>
      <w:r>
        <w:rPr>
          <w:rFonts w:eastAsia="Calibri" w:cs="Calibri"/>
          <w:b w:val="false"/>
          <w:bCs w:val="false"/>
          <w:i w:val="false"/>
          <w:iCs w:val="false"/>
          <w:color w:val="111827"/>
          <w:sz w:val="21"/>
          <w:szCs w:val="21"/>
        </w:rPr>
        <w:t>Khuyến nghị vận hành: có thể thử triển khai qua hiệp hội ngành hàng, nhưng không mặc định hiệp hội luôn trung lập hoặc loại bỏ xung đột lợi ích; mỗi pilot cần ghi nhận vai trò, quyền truy cập và cơ chế recusal cụ thể.</w:t>
      </w:r>
    </w:p>
    <w:p>
      <w:pPr>
        <w:pStyle w:val="Heading1"/>
        <w:pBdr>
          <w:bottom w:val="single" w:sz="6" w:space="6" w:color="D1D5DB"/>
        </w:pBdr>
        <w:spacing w:before="320" w:after="120"/>
        <w:rPr/>
      </w:pPr>
      <w:bookmarkStart w:id="4" w:name="__RefHeading___Toc501_AgriContract"/>
      <w:bookmarkEnd w:id="4"/>
      <w:r>
        <w:rPr>
          <w:rFonts w:eastAsia="Calibri" w:cs="Calibri" w:ascii="Calibri" w:hAnsi="Calibri"/>
          <w:b/>
          <w:bCs/>
          <w:color w:val="1F2A37"/>
          <w:sz w:val="30"/>
          <w:szCs w:val="30"/>
        </w:rPr>
        <w:t>3. Luồng giao dịch Phase 2</w:t>
      </w:r>
    </w:p>
    <w:p>
      <w:pPr>
        <w:pStyle w:val="Heading2"/>
        <w:spacing w:before="240" w:after="80"/>
        <w:rPr/>
      </w:pPr>
      <w:bookmarkStart w:id="5" w:name="__RefHeading___Toc503_AgriContract"/>
      <w:bookmarkEnd w:id="5"/>
      <w:r>
        <w:rPr>
          <w:rFonts w:eastAsia="Calibri" w:cs="Calibri" w:ascii="Calibri" w:hAnsi="Calibri"/>
          <w:b/>
          <w:bCs/>
          <w:color w:val="1F2A37"/>
          <w:sz w:val="25"/>
          <w:szCs w:val="25"/>
        </w:rPr>
        <w:t>3.1 Golden flow từ listing đến quyết toán</w:t>
      </w:r>
    </w:p>
    <w:p>
      <w:pPr>
        <w:pStyle w:val="Normal"/>
        <w:spacing w:lineRule="exact" w:line="276" w:before="0" w:after="60"/>
        <w:ind w:hanging="220" w:start="360"/>
        <w:jc w:val="both"/>
        <w:rPr/>
      </w:pPr>
      <w:r>
        <w:rPr>
          <w:rFonts w:eastAsia="Calibri" w:cs="Calibri"/>
          <w:b w:val="false"/>
          <w:bCs w:val="false"/>
          <w:i w:val="false"/>
          <w:iCs w:val="false"/>
          <w:color w:val="111827"/>
          <w:sz w:val="21"/>
          <w:szCs w:val="21"/>
        </w:rPr>
        <w:t>1. Seller đã đủ điều kiện tạo listing; product-service đóng băng snapshot sản phẩm/plot theo commodity.</w:t>
      </w:r>
    </w:p>
    <w:p>
      <w:pPr>
        <w:pStyle w:val="Normal"/>
        <w:spacing w:lineRule="exact" w:line="276" w:before="0" w:after="60"/>
        <w:ind w:hanging="220" w:start="360"/>
        <w:jc w:val="both"/>
        <w:rPr/>
      </w:pPr>
      <w:r>
        <w:rPr>
          <w:rFonts w:eastAsia="Calibri" w:cs="Calibri"/>
          <w:b w:val="false"/>
          <w:bCs w:val="false"/>
          <w:i w:val="false"/>
          <w:iCs w:val="false"/>
          <w:color w:val="111827"/>
          <w:sz w:val="21"/>
          <w:szCs w:val="21"/>
        </w:rPr>
        <w:t xml:space="preserve">2. Buyer tạo hợp đồng </w:t>
      </w:r>
      <w:r>
        <w:rPr>
          <w:rFonts w:eastAsia="Consolas" w:cs="Consolas" w:ascii="Consolas" w:hAnsi="Consolas"/>
          <w:b w:val="false"/>
          <w:bCs w:val="false"/>
          <w:i w:val="false"/>
          <w:iCs w:val="false"/>
          <w:color w:val="111827"/>
          <w:sz w:val="19"/>
          <w:szCs w:val="19"/>
        </w:rPr>
        <w:t>OFFERED</w:t>
      </w:r>
      <w:r>
        <w:rPr>
          <w:rFonts w:eastAsia="Calibri" w:cs="Calibri"/>
          <w:b w:val="false"/>
          <w:bCs w:val="false"/>
          <w:i w:val="false"/>
          <w:iCs w:val="false"/>
          <w:color w:val="111827"/>
          <w:sz w:val="21"/>
          <w:szCs w:val="21"/>
        </w:rPr>
        <w:t xml:space="preserve">; hai bên chỉ sửa </w:t>
      </w:r>
      <w:r>
        <w:rPr>
          <w:rFonts w:eastAsia="Consolas" w:cs="Consolas" w:ascii="Consolas" w:hAnsi="Consolas"/>
          <w:b w:val="false"/>
          <w:bCs w:val="false"/>
          <w:i w:val="false"/>
          <w:iCs w:val="false"/>
          <w:color w:val="111827"/>
          <w:sz w:val="19"/>
          <w:szCs w:val="19"/>
        </w:rPr>
        <w:t>ContractTerms</w:t>
      </w:r>
      <w:r>
        <w:rPr>
          <w:rFonts w:eastAsia="Calibri" w:cs="Calibri"/>
          <w:b w:val="false"/>
          <w:bCs w:val="false"/>
          <w:i w:val="false"/>
          <w:iCs w:val="false"/>
          <w:color w:val="111827"/>
          <w:sz w:val="21"/>
          <w:szCs w:val="21"/>
        </w:rPr>
        <w:t xml:space="preserve"> trước chữ ký thứ hai.</w:t>
      </w:r>
    </w:p>
    <w:p>
      <w:pPr>
        <w:pStyle w:val="Normal"/>
        <w:spacing w:lineRule="exact" w:line="276" w:before="0" w:after="60"/>
        <w:ind w:hanging="220" w:start="360"/>
        <w:jc w:val="both"/>
        <w:rPr/>
      </w:pPr>
      <w:r>
        <w:rPr>
          <w:rFonts w:eastAsia="Calibri" w:cs="Calibri"/>
          <w:b w:val="false"/>
          <w:bCs w:val="false"/>
          <w:i w:val="false"/>
          <w:iCs w:val="false"/>
          <w:color w:val="111827"/>
          <w:sz w:val="21"/>
          <w:szCs w:val="21"/>
        </w:rPr>
        <w:t xml:space="preserve">3. Mỗi chữ ký dùng OTP challenge binding theo user–contract–terms. Hai chữ ký phải có cùng </w:t>
      </w:r>
      <w:r>
        <w:rPr>
          <w:rFonts w:eastAsia="Consolas" w:cs="Consolas" w:ascii="Consolas" w:hAnsi="Consolas"/>
          <w:b w:val="false"/>
          <w:bCs w:val="false"/>
          <w:i w:val="false"/>
          <w:iCs w:val="false"/>
          <w:color w:val="111827"/>
          <w:sz w:val="19"/>
          <w:szCs w:val="19"/>
        </w:rPr>
        <w:t>signedContentHash</w:t>
      </w:r>
      <w:r>
        <w:rPr>
          <w:rFonts w:eastAsia="Calibri" w:cs="Calibri"/>
          <w:b w:val="false"/>
          <w:bCs w:val="false"/>
          <w:i w:val="false"/>
          <w:iCs w:val="false"/>
          <w:color w:val="111827"/>
          <w:sz w:val="21"/>
          <w:szCs w:val="21"/>
        </w:rPr>
        <w:t xml:space="preserve">; sau đó hợp đồng thành </w:t>
      </w:r>
      <w:r>
        <w:rPr>
          <w:rFonts w:eastAsia="Consolas" w:cs="Consolas" w:ascii="Consolas" w:hAnsi="Consolas"/>
          <w:b w:val="false"/>
          <w:bCs w:val="false"/>
          <w:i w:val="false"/>
          <w:iCs w:val="false"/>
          <w:color w:val="111827"/>
          <w:sz w:val="19"/>
          <w:szCs w:val="19"/>
        </w:rPr>
        <w:t>SIGNED</w:t>
      </w:r>
      <w:r>
        <w:rPr>
          <w:rFonts w:eastAsia="Calibri" w:cs="Calibri"/>
          <w:b w:val="false"/>
          <w:bCs w:val="false"/>
          <w:i w:val="false"/>
          <w:iCs w:val="false"/>
          <w:color w:val="111827"/>
          <w:sz w:val="21"/>
          <w:szCs w:val="21"/>
        </w:rPr>
        <w:t xml:space="preserve"> và terms bất biến.</w:t>
      </w:r>
    </w:p>
    <w:p>
      <w:pPr>
        <w:pStyle w:val="Normal"/>
        <w:spacing w:lineRule="exact" w:line="276" w:before="0" w:after="60"/>
        <w:ind w:hanging="220" w:start="360"/>
        <w:jc w:val="both"/>
        <w:rPr/>
      </w:pPr>
      <w:r>
        <w:rPr>
          <w:rFonts w:eastAsia="Calibri" w:cs="Calibri"/>
          <w:b w:val="false"/>
          <w:bCs w:val="false"/>
          <w:i w:val="false"/>
          <w:iCs w:val="false"/>
          <w:color w:val="111827"/>
          <w:sz w:val="21"/>
          <w:szCs w:val="21"/>
        </w:rPr>
        <w:t xml:space="preserve">4. escrow-service yêu cầu bank-service lock buyer deposit và seller deposit. Chỉ khi cả hai leg thành công hợp đồng mới </w:t>
      </w:r>
      <w:r>
        <w:rPr>
          <w:rFonts w:eastAsia="Consolas" w:cs="Consolas" w:ascii="Consolas" w:hAnsi="Consolas"/>
          <w:b w:val="false"/>
          <w:bCs w:val="false"/>
          <w:i w:val="false"/>
          <w:iCs w:val="false"/>
          <w:color w:val="111827"/>
          <w:sz w:val="19"/>
          <w:szCs w:val="19"/>
        </w:rPr>
        <w:t>ACTIVE</w:t>
      </w:r>
      <w:r>
        <w:rPr>
          <w:rFonts w:eastAsia="Calibri" w:cs="Calibri"/>
          <w:b w:val="false"/>
          <w:bCs w:val="false"/>
          <w:i w:val="false"/>
          <w:iCs w:val="false"/>
          <w:color w:val="111827"/>
          <w:sz w:val="21"/>
          <w:szCs w:val="21"/>
        </w:rPr>
        <w:t xml:space="preserve">. Lock một phần rồi thất bại phải refund leg đã lock trước khi </w:t>
      </w:r>
      <w:r>
        <w:rPr>
          <w:rFonts w:eastAsia="Consolas" w:cs="Consolas" w:ascii="Consolas" w:hAnsi="Consolas"/>
          <w:b w:val="false"/>
          <w:bCs w:val="false"/>
          <w:i w:val="false"/>
          <w:iCs w:val="false"/>
          <w:color w:val="111827"/>
          <w:sz w:val="19"/>
          <w:szCs w:val="19"/>
        </w:rPr>
        <w:t>ACTIVATION_FAILED</w:t>
      </w:r>
      <w:r>
        <w:rPr>
          <w:rFonts w:eastAsia="Calibri" w:cs="Calibri"/>
          <w:b w:val="false"/>
          <w:bCs w:val="false"/>
          <w:i w:val="false"/>
          <w:iCs w:val="false"/>
          <w:color w:val="111827"/>
          <w:sz w:val="21"/>
          <w:szCs w:val="21"/>
        </w:rPr>
        <w:t>.</w:t>
      </w:r>
    </w:p>
    <w:p>
      <w:pPr>
        <w:pStyle w:val="Normal"/>
        <w:spacing w:lineRule="exact" w:line="276" w:before="0" w:after="60"/>
        <w:ind w:hanging="220" w:start="360"/>
        <w:jc w:val="both"/>
        <w:rPr/>
      </w:pPr>
      <w:r>
        <w:rPr>
          <w:rFonts w:eastAsia="Calibri" w:cs="Calibri"/>
          <w:b w:val="false"/>
          <w:bCs w:val="false"/>
          <w:i w:val="false"/>
          <w:iCs w:val="false"/>
          <w:color w:val="111827"/>
          <w:sz w:val="21"/>
          <w:szCs w:val="21"/>
        </w:rPr>
        <w:t xml:space="preserve">5. Mỗi milestone có funding riêng: </w:t>
      </w:r>
      <w:r>
        <w:rPr>
          <w:rFonts w:eastAsia="Consolas" w:cs="Consolas" w:ascii="Consolas" w:hAnsi="Consolas"/>
          <w:b w:val="false"/>
          <w:bCs w:val="false"/>
          <w:i w:val="false"/>
          <w:iCs w:val="false"/>
          <w:color w:val="111827"/>
          <w:sz w:val="19"/>
          <w:szCs w:val="19"/>
        </w:rPr>
        <w:t>FUNDING_PENDING → LOCKED</w:t>
      </w:r>
      <w:r>
        <w:rPr>
          <w:rFonts w:eastAsia="Calibri" w:cs="Calibri"/>
          <w:b w:val="false"/>
          <w:bCs w:val="false"/>
          <w:i w:val="false"/>
          <w:iCs w:val="false"/>
          <w:color w:val="111827"/>
          <w:sz w:val="21"/>
          <w:szCs w:val="21"/>
        </w:rPr>
        <w:t xml:space="preserve"> hoặc </w:t>
      </w:r>
      <w:r>
        <w:rPr>
          <w:rFonts w:eastAsia="Consolas" w:cs="Consolas" w:ascii="Consolas" w:hAnsi="Consolas"/>
          <w:b w:val="false"/>
          <w:bCs w:val="false"/>
          <w:i w:val="false"/>
          <w:iCs w:val="false"/>
          <w:color w:val="111827"/>
          <w:sz w:val="19"/>
          <w:szCs w:val="19"/>
        </w:rPr>
        <w:t>FUNDING_FAILED</w:t>
      </w:r>
      <w:r>
        <w:rPr>
          <w:rFonts w:eastAsia="Calibri" w:cs="Calibri"/>
          <w:b w:val="false"/>
          <w:bCs w:val="false"/>
          <w:i w:val="false"/>
          <w:iCs w:val="false"/>
          <w:color w:val="111827"/>
          <w:sz w:val="21"/>
          <w:szCs w:val="21"/>
        </w:rPr>
        <w:t xml:space="preserve">. Seller obligation clock chỉ chạy sau </w:t>
      </w:r>
      <w:r>
        <w:rPr>
          <w:rFonts w:eastAsia="Consolas" w:cs="Consolas" w:ascii="Consolas" w:hAnsi="Consolas"/>
          <w:b w:val="false"/>
          <w:bCs w:val="false"/>
          <w:i w:val="false"/>
          <w:iCs w:val="false"/>
          <w:color w:val="111827"/>
          <w:sz w:val="19"/>
          <w:szCs w:val="19"/>
        </w:rPr>
        <w:t>LOCKED</w:t>
      </w:r>
      <w:r>
        <w:rPr>
          <w:rFonts w:eastAsia="Calibri" w:cs="Calibri"/>
          <w:b w:val="false"/>
          <w:bCs w:val="false"/>
          <w:i w:val="false"/>
          <w:iCs w:val="false"/>
          <w:color w:val="111827"/>
          <w:sz w:val="21"/>
          <w:szCs w:val="21"/>
        </w:rPr>
        <w:t>; lỗi kỹ thuật/ngân hàng đã xác nhận không bị suy thành seller breach.</w:t>
      </w:r>
    </w:p>
    <w:p>
      <w:pPr>
        <w:pStyle w:val="Normal"/>
        <w:spacing w:lineRule="exact" w:line="276" w:before="0" w:after="60"/>
        <w:ind w:hanging="220" w:start="360"/>
        <w:jc w:val="both"/>
        <w:rPr/>
      </w:pPr>
      <w:r>
        <w:rPr>
          <w:rFonts w:eastAsia="Calibri" w:cs="Calibri"/>
          <w:b w:val="false"/>
          <w:bCs w:val="false"/>
          <w:i w:val="false"/>
          <w:iCs w:val="false"/>
          <w:color w:val="111827"/>
          <w:sz w:val="21"/>
          <w:szCs w:val="21"/>
        </w:rPr>
        <w:t>6. Seller cân và khai giao; buyer xác nhận sạch hoặc flag. Nếu có inspection đang pending, timer không được auto-confirm.</w:t>
      </w:r>
    </w:p>
    <w:p>
      <w:pPr>
        <w:pStyle w:val="Normal"/>
        <w:spacing w:lineRule="exact" w:line="276" w:before="0" w:after="60"/>
        <w:ind w:hanging="220" w:start="360"/>
        <w:jc w:val="both"/>
        <w:rPr/>
      </w:pPr>
      <w:r>
        <w:rPr>
          <w:rFonts w:eastAsia="Calibri" w:cs="Calibri"/>
          <w:b w:val="false"/>
          <w:bCs w:val="false"/>
          <w:i w:val="false"/>
          <w:iCs w:val="false"/>
          <w:color w:val="111827"/>
          <w:sz w:val="21"/>
          <w:szCs w:val="21"/>
        </w:rPr>
        <w:t>7. Phần đã giao có thể quyết toán pro-rata. Delta 1 vượt ngưỡng chỉ mở quy trình attribution, không tự động gán vi phạm.</w:t>
      </w:r>
    </w:p>
    <w:p>
      <w:pPr>
        <w:pStyle w:val="Normal"/>
        <w:spacing w:lineRule="exact" w:line="276" w:before="0" w:after="60"/>
        <w:ind w:hanging="220" w:start="360"/>
        <w:jc w:val="both"/>
        <w:rPr/>
      </w:pPr>
      <w:r>
        <w:rPr>
          <w:rFonts w:eastAsia="Calibri" w:cs="Calibri"/>
          <w:b w:val="false"/>
          <w:bCs w:val="false"/>
          <w:i w:val="false"/>
          <w:iCs w:val="false"/>
          <w:color w:val="111827"/>
          <w:sz w:val="21"/>
          <w:szCs w:val="21"/>
        </w:rPr>
        <w:t xml:space="preserve">8. Hậu quả chế tài và uy tín cuối cùng hội tụ tại </w:t>
      </w:r>
      <w:r>
        <w:rPr>
          <w:rFonts w:eastAsia="Consolas" w:cs="Consolas" w:ascii="Consolas" w:hAnsi="Consolas"/>
          <w:b w:val="false"/>
          <w:bCs w:val="false"/>
          <w:i w:val="false"/>
          <w:iCs w:val="false"/>
          <w:color w:val="111827"/>
          <w:sz w:val="19"/>
          <w:szCs w:val="19"/>
        </w:rPr>
        <w:t>AttributionDecision → RemedyDecision → remedy.finalized</w:t>
      </w:r>
      <w:r>
        <w:rPr>
          <w:rFonts w:eastAsia="Calibri" w:cs="Calibri"/>
          <w:b w:val="false"/>
          <w:bCs w:val="false"/>
          <w:i w:val="false"/>
          <w:iCs w:val="false"/>
          <w:color w:val="111827"/>
          <w:sz w:val="21"/>
          <w:szCs w:val="21"/>
        </w:rPr>
        <w:t>.</w:t>
      </w:r>
    </w:p>
    <w:p>
      <w:pPr>
        <w:pStyle w:val="Normal"/>
        <w:spacing w:lineRule="exact" w:line="276" w:before="0" w:after="60"/>
        <w:ind w:hanging="220" w:start="360"/>
        <w:jc w:val="both"/>
        <w:rPr/>
      </w:pPr>
      <w:r>
        <w:rPr>
          <w:rFonts w:eastAsia="Calibri" w:cs="Calibri"/>
          <w:b w:val="false"/>
          <w:bCs w:val="false"/>
          <w:i w:val="false"/>
          <w:iCs w:val="false"/>
          <w:color w:val="111827"/>
          <w:sz w:val="21"/>
          <w:szCs w:val="21"/>
        </w:rPr>
        <w:t xml:space="preserve">9. Normal settlement cũng dùng decision no-fault để trả buyer deposit và seller deposit. </w:t>
      </w:r>
      <w:r>
        <w:rPr>
          <w:rFonts w:eastAsia="Consolas" w:cs="Consolas" w:ascii="Consolas" w:hAnsi="Consolas"/>
          <w:b w:val="false"/>
          <w:bCs w:val="false"/>
          <w:i w:val="false"/>
          <w:iCs w:val="false"/>
          <w:color w:val="111827"/>
          <w:sz w:val="19"/>
          <w:szCs w:val="19"/>
        </w:rPr>
        <w:t>SETTLED</w:t>
      </w:r>
      <w:r>
        <w:rPr>
          <w:rFonts w:eastAsia="Calibri" w:cs="Calibri"/>
          <w:b w:val="false"/>
          <w:bCs w:val="false"/>
          <w:i w:val="false"/>
          <w:iCs w:val="false"/>
          <w:color w:val="111827"/>
          <w:sz w:val="21"/>
          <w:szCs w:val="21"/>
        </w:rPr>
        <w:t xml:space="preserve"> chỉ được commit khi bank ledger đủ expected </w:t>
      </w:r>
      <w:r>
        <w:rPr>
          <w:rFonts w:eastAsia="Consolas" w:cs="Consolas" w:ascii="Consolas" w:hAnsi="Consolas"/>
          <w:b w:val="false"/>
          <w:bCs w:val="false"/>
          <w:i w:val="false"/>
          <w:iCs w:val="false"/>
          <w:color w:val="111827"/>
          <w:sz w:val="19"/>
          <w:szCs w:val="19"/>
        </w:rPr>
        <w:t>remedyLegId</w:t>
      </w:r>
      <w:r>
        <w:rPr>
          <w:rFonts w:eastAsia="Calibri" w:cs="Calibri"/>
          <w:b w:val="false"/>
          <w:bCs w:val="false"/>
          <w:i w:val="false"/>
          <w:iCs w:val="false"/>
          <w:color w:val="111827"/>
          <w:sz w:val="21"/>
          <w:szCs w:val="21"/>
        </w:rPr>
        <w:t xml:space="preserve"> và tổng lock contract bằng 0.</w:t>
      </w:r>
    </w:p>
    <w:p>
      <w:pPr>
        <w:pStyle w:val="Heading2"/>
        <w:spacing w:before="240" w:after="80"/>
        <w:rPr/>
      </w:pPr>
      <w:bookmarkStart w:id="6" w:name="__RefHeading___Toc505_AgriContract"/>
      <w:bookmarkEnd w:id="6"/>
      <w:r>
        <w:rPr>
          <w:rFonts w:eastAsia="Calibri" w:cs="Calibri" w:ascii="Calibri" w:hAnsi="Calibri"/>
          <w:b/>
          <w:bCs/>
          <w:color w:val="1F2A37"/>
          <w:sz w:val="25"/>
          <w:szCs w:val="25"/>
        </w:rPr>
        <w:t>3.2 State và hành vi chấm dứt</w:t>
      </w:r>
    </w:p>
    <w:p>
      <w:pPr>
        <w:pStyle w:val="Normal"/>
        <w:spacing w:lineRule="exact" w:line="276" w:before="0" w:after="120"/>
        <w:jc w:val="both"/>
        <w:rPr/>
      </w:pPr>
      <w:r>
        <w:rPr>
          <w:rFonts w:eastAsia="Calibri" w:cs="Calibri"/>
          <w:b w:val="false"/>
          <w:bCs w:val="false"/>
          <w:i w:val="false"/>
          <w:iCs w:val="false"/>
          <w:color w:val="111827"/>
          <w:sz w:val="21"/>
          <w:szCs w:val="21"/>
        </w:rPr>
        <w:t xml:space="preserve">Contract state chuẩn: </w:t>
      </w:r>
      <w:r>
        <w:rPr>
          <w:rFonts w:eastAsia="Consolas" w:cs="Consolas" w:ascii="Consolas" w:hAnsi="Consolas"/>
          <w:b w:val="false"/>
          <w:bCs w:val="false"/>
          <w:i w:val="false"/>
          <w:iCs w:val="false"/>
          <w:color w:val="111827"/>
          <w:sz w:val="19"/>
          <w:szCs w:val="19"/>
        </w:rPr>
        <w:t>OFFERED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NEGOTIATING</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SIGNED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ACTIVE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REPLACEMENT_PENDING</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SUPERSEDE_REFUND_PENDING</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ACTIVATION_REFUND_PENDING</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SETTLED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TERMINATED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WITHDRAWN</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SUPERSEDED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ACTIVATION_FAILED</w:t>
      </w:r>
      <w:r>
        <w:rPr>
          <w:rFonts w:eastAsia="Calibri" w:cs="Calibri"/>
          <w:b w:val="false"/>
          <w:bCs w:val="false"/>
          <w:i w:val="false"/>
          <w:iCs w:val="false"/>
          <w:color w:val="111827"/>
          <w:sz w:val="21"/>
          <w:szCs w:val="21"/>
        </w:rPr>
        <w:t>.</w:t>
      </w:r>
    </w:p>
    <w:tbl>
      <w:tblPr>
        <w:tblW w:w="9638" w:type="dxa"/>
        <w:jc w:val="start"/>
        <w:tblInd w:w="0" w:type="dxa"/>
        <w:tblLayout w:type="fixed"/>
        <w:tblCellMar>
          <w:top w:w="60" w:type="dxa"/>
          <w:start w:w="90" w:type="dxa"/>
          <w:bottom w:w="60" w:type="dxa"/>
          <w:end w:w="90" w:type="dxa"/>
        </w:tblCellMar>
      </w:tblPr>
      <w:tblGrid>
        <w:gridCol w:w="2855"/>
        <w:gridCol w:w="3249"/>
        <w:gridCol w:w="3534"/>
      </w:tblGrid>
      <w:tr>
        <w:trPr>
          <w:tblHeader w:val="true"/>
          <w:cantSplit w:val="true"/>
        </w:trPr>
        <w:tc>
          <w:tcPr>
            <w:tcW w:w="285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Hành vi</w:t>
            </w:r>
          </w:p>
        </w:tc>
        <w:tc>
          <w:tcPr>
            <w:tcW w:w="324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Ý nghĩa</w:t>
            </w:r>
          </w:p>
        </w:tc>
        <w:tc>
          <w:tcPr>
            <w:tcW w:w="3534"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Attribution/hậu quả</w:t>
            </w:r>
          </w:p>
        </w:tc>
      </w:tr>
      <w:tr>
        <w:trPr>
          <w:cantSplit w:val="true"/>
        </w:trPr>
        <w:tc>
          <w:tcPr>
            <w:tcW w:w="285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WITHDRAW_OFFER</w:t>
            </w:r>
          </w:p>
        </w:tc>
        <w:tc>
          <w:tcPr>
            <w:tcW w:w="324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Rút đề nghị trước khi đủ hai chữ ký</w:t>
            </w:r>
          </w:p>
        </w:tc>
        <w:tc>
          <w:tcPr>
            <w:tcW w:w="353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 xml:space="preserve">Không remedy leg; </w:t>
            </w:r>
            <w:r>
              <w:rPr>
                <w:rFonts w:eastAsia="Consolas" w:cs="Consolas" w:ascii="Consolas" w:hAnsi="Consolas"/>
                <w:b w:val="false"/>
                <w:bCs w:val="false"/>
                <w:i w:val="false"/>
                <w:iCs w:val="false"/>
                <w:color w:val="111827"/>
                <w:sz w:val="17"/>
                <w:szCs w:val="17"/>
              </w:rPr>
              <w:t>WITHDRAWN</w:t>
            </w:r>
            <w:r>
              <w:rPr>
                <w:rFonts w:eastAsia="Calibri" w:cs="Calibri"/>
                <w:b w:val="false"/>
                <w:bCs w:val="false"/>
                <w:i w:val="false"/>
                <w:iCs w:val="false"/>
                <w:color w:val="111827"/>
                <w:sz w:val="19"/>
                <w:szCs w:val="19"/>
              </w:rPr>
              <w:t xml:space="preserve"> zero-lock by construction</w:t>
            </w:r>
          </w:p>
        </w:tc>
      </w:tr>
      <w:tr>
        <w:trPr>
          <w:cantSplit w:val="true"/>
        </w:trPr>
        <w:tc>
          <w:tcPr>
            <w:tcW w:w="285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MUTUAL_TERMINATION</w:t>
            </w:r>
          </w:p>
        </w:tc>
        <w:tc>
          <w:tcPr>
            <w:tcW w:w="324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Hai bên đồng thuận kết thúc toàn bộ phạm vi còn lại</w:t>
            </w:r>
          </w:p>
        </w:tc>
        <w:tc>
          <w:tcPr>
            <w:tcW w:w="353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finalBreachingRole = null</w:t>
            </w:r>
            <w:r>
              <w:rPr>
                <w:rFonts w:eastAsia="Calibri" w:cs="Calibri"/>
                <w:b w:val="false"/>
                <w:bCs w:val="false"/>
                <w:i w:val="false"/>
                <w:iCs w:val="false"/>
                <w:color w:val="111827"/>
                <w:sz w:val="19"/>
                <w:szCs w:val="19"/>
              </w:rPr>
              <w:t>; hoàn trả/giải phóng đúng chủ; không penalty/reputation lock</w:t>
            </w:r>
          </w:p>
        </w:tc>
      </w:tr>
      <w:tr>
        <w:trPr>
          <w:cantSplit w:val="true"/>
        </w:trPr>
        <w:tc>
          <w:tcPr>
            <w:tcW w:w="285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MUTUAL_REPLACEMENT</w:t>
            </w:r>
          </w:p>
        </w:tc>
        <w:tc>
          <w:tcPr>
            <w:tcW w:w="324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Tạo hợp đồng mới thay thế hợp đồng cũ</w:t>
            </w:r>
          </w:p>
        </w:tc>
        <w:tc>
          <w:tcPr>
            <w:tcW w:w="353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 xml:space="preserve">Hợp đồng mới phải ký trước; hợp đồng cũ chỉ </w:t>
            </w:r>
            <w:r>
              <w:rPr>
                <w:rFonts w:eastAsia="Consolas" w:cs="Consolas" w:ascii="Consolas" w:hAnsi="Consolas"/>
                <w:b w:val="false"/>
                <w:bCs w:val="false"/>
                <w:i w:val="false"/>
                <w:iCs w:val="false"/>
                <w:color w:val="111827"/>
                <w:sz w:val="17"/>
                <w:szCs w:val="17"/>
              </w:rPr>
              <w:t>SUPERSEDED</w:t>
            </w:r>
            <w:r>
              <w:rPr>
                <w:rFonts w:eastAsia="Calibri" w:cs="Calibri"/>
                <w:b w:val="false"/>
                <w:bCs w:val="false"/>
                <w:i w:val="false"/>
                <w:iCs w:val="false"/>
                <w:color w:val="111827"/>
                <w:sz w:val="19"/>
                <w:szCs w:val="19"/>
              </w:rPr>
              <w:t xml:space="preserve"> sau refund hết lock; không rollback lịch sử cũ nếu activation mới fail</w:t>
            </w:r>
          </w:p>
        </w:tc>
      </w:tr>
      <w:tr>
        <w:trPr>
          <w:cantSplit w:val="true"/>
        </w:trPr>
        <w:tc>
          <w:tcPr>
            <w:tcW w:w="285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TERMINATION_FOR_BREACH</w:t>
            </w:r>
          </w:p>
        </w:tc>
        <w:tc>
          <w:tcPr>
            <w:tcW w:w="324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Chấm dứt do vi phạm đã được attribution</w:t>
            </w:r>
          </w:p>
        </w:tc>
        <w:tc>
          <w:tcPr>
            <w:tcW w:w="353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 xml:space="preserve">Hậu quả theo </w:t>
            </w:r>
            <w:r>
              <w:rPr>
                <w:rFonts w:eastAsia="Consolas" w:cs="Consolas" w:ascii="Consolas" w:hAnsi="Consolas"/>
                <w:b w:val="false"/>
                <w:bCs w:val="false"/>
                <w:i w:val="false"/>
                <w:iCs w:val="false"/>
                <w:color w:val="111827"/>
                <w:sz w:val="17"/>
                <w:szCs w:val="17"/>
              </w:rPr>
              <w:t>finalBreachingRole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LegalProfile</w:t>
            </w:r>
            <w:r>
              <w:rPr>
                <w:rFonts w:eastAsia="Calibri" w:cs="Calibri"/>
                <w:b w:val="false"/>
                <w:bCs w:val="false"/>
                <w:i w:val="false"/>
                <w:iCs w:val="false"/>
                <w:color w:val="111827"/>
                <w:sz w:val="19"/>
                <w:szCs w:val="19"/>
              </w:rPr>
              <w:t xml:space="preserve"> và phần nghĩa vụ còn lại; milestone đã </w:t>
            </w:r>
            <w:r>
              <w:rPr>
                <w:rFonts w:eastAsia="Consolas" w:cs="Consolas" w:ascii="Consolas" w:hAnsi="Consolas"/>
                <w:b w:val="false"/>
                <w:bCs w:val="false"/>
                <w:i w:val="false"/>
                <w:iCs w:val="false"/>
                <w:color w:val="111827"/>
                <w:sz w:val="17"/>
                <w:szCs w:val="17"/>
              </w:rPr>
              <w:t>SETTLED</w:t>
            </w:r>
            <w:r>
              <w:rPr>
                <w:rFonts w:eastAsia="Calibri" w:cs="Calibri"/>
                <w:b w:val="false"/>
                <w:bCs w:val="false"/>
                <w:i w:val="false"/>
                <w:iCs w:val="false"/>
                <w:color w:val="111827"/>
                <w:sz w:val="19"/>
                <w:szCs w:val="19"/>
              </w:rPr>
              <w:t xml:space="preserve"> không bị truy thu</w:t>
            </w:r>
          </w:p>
        </w:tc>
      </w:tr>
      <w:tr>
        <w:trPr>
          <w:cantSplit w:val="true"/>
        </w:trPr>
        <w:tc>
          <w:tcPr>
            <w:tcW w:w="285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TERMINATION_FOR_FORCE_MAJEURE</w:t>
            </w:r>
          </w:p>
        </w:tc>
        <w:tc>
          <w:tcPr>
            <w:tcW w:w="3249"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Kết thúc no-fault sau review bất khả kháng</w:t>
            </w:r>
          </w:p>
        </w:tc>
        <w:tc>
          <w:tcPr>
            <w:tcW w:w="3534"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Không penalty/reputation; tiền về đúng chủ</w:t>
            </w:r>
          </w:p>
        </w:tc>
      </w:tr>
      <w:tr>
        <w:trPr>
          <w:cantSplit w:val="true"/>
        </w:trPr>
        <w:tc>
          <w:tcPr>
            <w:tcW w:w="285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onsolas" w:cs="Consolas" w:ascii="Consolas" w:hAnsi="Consolas"/>
                <w:b w:val="false"/>
                <w:bCs w:val="false"/>
                <w:i w:val="false"/>
                <w:iCs w:val="false"/>
                <w:color w:val="111827"/>
                <w:sz w:val="17"/>
                <w:szCs w:val="17"/>
              </w:rPr>
              <w:t>ACTIVATION_FAILURE</w:t>
            </w:r>
          </w:p>
        </w:tc>
        <w:tc>
          <w:tcPr>
            <w:tcW w:w="324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Không thể hoàn tất lock cọc sau retry/cure</w:t>
            </w:r>
          </w:p>
        </w:tc>
        <w:tc>
          <w:tcPr>
            <w:tcW w:w="353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Refund leg đã lock; chỉ terminal khi zero-lock</w:t>
            </w:r>
          </w:p>
        </w:tc>
      </w:tr>
    </w:tbl>
    <w:p>
      <w:pPr>
        <w:pStyle w:val="Heading2"/>
        <w:spacing w:before="240" w:after="80"/>
        <w:rPr/>
      </w:pPr>
      <w:bookmarkStart w:id="7" w:name="__RefHeading___Toc507_AgriContract"/>
      <w:bookmarkEnd w:id="7"/>
      <w:r>
        <w:rPr>
          <w:rFonts w:eastAsia="Calibri" w:cs="Calibri" w:ascii="Calibri" w:hAnsi="Calibri"/>
          <w:b/>
          <w:bCs/>
          <w:color w:val="1F2A37"/>
          <w:sz w:val="25"/>
          <w:szCs w:val="25"/>
        </w:rPr>
        <w:t>3.3 Attribution: không đồng nhất người yêu cầu với bên vi phạm</w:t>
      </w:r>
    </w:p>
    <w:p>
      <w:pPr>
        <w:pStyle w:val="ListParagraph"/>
        <w:numPr>
          <w:ilvl w:val="0"/>
          <w:numId w:val="3"/>
        </w:numPr>
        <w:spacing w:lineRule="exact" w:line="276" w:before="0" w:after="60"/>
        <w:rPr/>
      </w:pPr>
      <w:r>
        <w:rPr>
          <w:rFonts w:eastAsia="Consolas" w:cs="Consolas" w:ascii="Consolas" w:hAnsi="Consolas"/>
          <w:b w:val="false"/>
          <w:bCs w:val="false"/>
          <w:i w:val="false"/>
          <w:iCs w:val="false"/>
          <w:color w:val="111827"/>
          <w:sz w:val="19"/>
          <w:szCs w:val="19"/>
        </w:rPr>
        <w:t>requestedBy</w:t>
      </w:r>
      <w:r>
        <w:rPr>
          <w:rFonts w:eastAsia="Calibri" w:cs="Calibri"/>
          <w:b w:val="false"/>
          <w:bCs w:val="false"/>
          <w:i w:val="false"/>
          <w:iCs w:val="false"/>
          <w:color w:val="111827"/>
          <w:sz w:val="21"/>
          <w:szCs w:val="21"/>
        </w:rPr>
        <w:t>: ai khởi tạo yêu cầu.</w:t>
      </w:r>
    </w:p>
    <w:p>
      <w:pPr>
        <w:pStyle w:val="ListParagraph"/>
        <w:numPr>
          <w:ilvl w:val="0"/>
          <w:numId w:val="1"/>
        </w:numPr>
        <w:spacing w:lineRule="exact" w:line="276" w:before="0" w:after="60"/>
        <w:rPr/>
      </w:pPr>
      <w:r>
        <w:rPr>
          <w:rFonts w:eastAsia="Consolas" w:cs="Consolas" w:ascii="Consolas" w:hAnsi="Consolas"/>
          <w:b w:val="false"/>
          <w:bCs w:val="false"/>
          <w:i w:val="false"/>
          <w:iCs w:val="false"/>
          <w:color w:val="111827"/>
          <w:sz w:val="19"/>
          <w:szCs w:val="19"/>
        </w:rPr>
        <w:t>allegedBreachingRole</w:t>
      </w:r>
      <w:r>
        <w:rPr>
          <w:rFonts w:eastAsia="Calibri" w:cs="Calibri"/>
          <w:b w:val="false"/>
          <w:bCs w:val="false"/>
          <w:i w:val="false"/>
          <w:iCs w:val="false"/>
          <w:color w:val="111827"/>
          <w:sz w:val="21"/>
          <w:szCs w:val="21"/>
        </w:rPr>
        <w:t>: bên đang bị cáo buộc, chưa phải kết luận.</w:t>
      </w:r>
    </w:p>
    <w:p>
      <w:pPr>
        <w:pStyle w:val="ListParagraph"/>
        <w:numPr>
          <w:ilvl w:val="0"/>
          <w:numId w:val="1"/>
        </w:numPr>
        <w:spacing w:lineRule="exact" w:line="276" w:before="0" w:after="60"/>
        <w:rPr/>
      </w:pPr>
      <w:r>
        <w:rPr>
          <w:rFonts w:eastAsia="Consolas" w:cs="Consolas" w:ascii="Consolas" w:hAnsi="Consolas"/>
          <w:b w:val="false"/>
          <w:bCs w:val="false"/>
          <w:i w:val="false"/>
          <w:iCs w:val="false"/>
          <w:color w:val="111827"/>
          <w:sz w:val="19"/>
          <w:szCs w:val="19"/>
        </w:rPr>
        <w:t>finalBreachingRole</w:t>
      </w:r>
      <w:r>
        <w:rPr>
          <w:rFonts w:eastAsia="Calibri" w:cs="Calibri"/>
          <w:b w:val="false"/>
          <w:bCs w:val="false"/>
          <w:i w:val="false"/>
          <w:iCs w:val="false"/>
          <w:color w:val="111827"/>
          <w:sz w:val="21"/>
          <w:szCs w:val="21"/>
        </w:rPr>
        <w:t>: kết luận cuối cùng; chỉ field này được dùng để quyết định sanction.</w:t>
      </w:r>
    </w:p>
    <w:p>
      <w:pPr>
        <w:pStyle w:val="Normal"/>
        <w:spacing w:lineRule="exact" w:line="276" w:before="0" w:after="120"/>
        <w:jc w:val="both"/>
        <w:rPr/>
      </w:pPr>
      <w:r>
        <w:rPr>
          <w:rFonts w:eastAsia="Calibri" w:cs="Calibri"/>
          <w:b w:val="false"/>
          <w:bCs w:val="false"/>
          <w:i w:val="false"/>
          <w:iCs w:val="false"/>
          <w:color w:val="111827"/>
          <w:sz w:val="21"/>
          <w:szCs w:val="21"/>
        </w:rPr>
        <w:t xml:space="preserve">Rổ A dùng bằng chứng khách quan và tạo </w:t>
      </w:r>
      <w:r>
        <w:rPr>
          <w:rFonts w:eastAsia="Consolas" w:cs="Consolas" w:ascii="Consolas" w:hAnsi="Consolas"/>
          <w:b w:val="false"/>
          <w:bCs w:val="false"/>
          <w:i w:val="false"/>
          <w:iCs w:val="false"/>
          <w:color w:val="111827"/>
          <w:sz w:val="19"/>
          <w:szCs w:val="19"/>
        </w:rPr>
        <w:t>AttributionDecision(decisionSource = SYSTEM, breachCaseId = null)</w:t>
      </w:r>
      <w:r>
        <w:rPr>
          <w:rFonts w:eastAsia="Calibri" w:cs="Calibri"/>
          <w:b w:val="false"/>
          <w:bCs w:val="false"/>
          <w:i w:val="false"/>
          <w:iCs w:val="false"/>
          <w:color w:val="111827"/>
          <w:sz w:val="21"/>
          <w:szCs w:val="21"/>
        </w:rPr>
        <w:t xml:space="preserve">. Rổ B tạo </w:t>
      </w:r>
      <w:r>
        <w:rPr>
          <w:rFonts w:eastAsia="Consolas" w:cs="Consolas" w:ascii="Consolas" w:hAnsi="Consolas"/>
          <w:b w:val="false"/>
          <w:bCs w:val="false"/>
          <w:i w:val="false"/>
          <w:iCs w:val="false"/>
          <w:color w:val="111827"/>
          <w:sz w:val="19"/>
          <w:szCs w:val="19"/>
        </w:rPr>
        <w:t>BreachCase</w:t>
      </w:r>
      <w:r>
        <w:rPr>
          <w:rFonts w:eastAsia="Calibri" w:cs="Calibri"/>
          <w:b w:val="false"/>
          <w:bCs w:val="false"/>
          <w:i w:val="false"/>
          <w:iCs w:val="false"/>
          <w:color w:val="111827"/>
          <w:sz w:val="21"/>
          <w:szCs w:val="21"/>
        </w:rPr>
        <w:t xml:space="preserve"> với state </w:t>
      </w:r>
      <w:r>
        <w:rPr>
          <w:rFonts w:eastAsia="Consolas" w:cs="Consolas" w:ascii="Consolas" w:hAnsi="Consolas"/>
          <w:b w:val="false"/>
          <w:bCs w:val="false"/>
          <w:i w:val="false"/>
          <w:iCs w:val="false"/>
          <w:color w:val="111827"/>
          <w:sz w:val="19"/>
          <w:szCs w:val="19"/>
        </w:rPr>
        <w:t>REPORTED → UNDER_REVIEW → RESOLVED</w:t>
      </w:r>
      <w:r>
        <w:rPr>
          <w:rFonts w:eastAsia="Calibri" w:cs="Calibri"/>
          <w:b w:val="false"/>
          <w:bCs w:val="false"/>
          <w:i w:val="false"/>
          <w:iCs w:val="false"/>
          <w:color w:val="111827"/>
          <w:sz w:val="21"/>
          <w:szCs w:val="21"/>
        </w:rPr>
        <w:t xml:space="preserve">. Allegation chưa final không được tạo ledger side effect hoặc negative reputation. Kết quả no-fault có </w:t>
      </w:r>
      <w:r>
        <w:rPr>
          <w:rFonts w:eastAsia="Consolas" w:cs="Consolas" w:ascii="Consolas" w:hAnsi="Consolas"/>
          <w:b w:val="false"/>
          <w:bCs w:val="false"/>
          <w:i w:val="false"/>
          <w:iCs w:val="false"/>
          <w:color w:val="111827"/>
          <w:sz w:val="19"/>
          <w:szCs w:val="19"/>
        </w:rPr>
        <w:t>finalBreachingRole = null</w:t>
      </w:r>
      <w:r>
        <w:rPr>
          <w:rFonts w:eastAsia="Calibri" w:cs="Calibri"/>
          <w:b w:val="false"/>
          <w:bCs w:val="false"/>
          <w:i w:val="false"/>
          <w:iCs w:val="false"/>
          <w:color w:val="111827"/>
          <w:sz w:val="21"/>
          <w:szCs w:val="21"/>
        </w:rPr>
        <w:t xml:space="preserve"> và </w:t>
      </w:r>
      <w:r>
        <w:rPr>
          <w:rFonts w:eastAsia="Consolas" w:cs="Consolas" w:ascii="Consolas" w:hAnsi="Consolas"/>
          <w:b w:val="false"/>
          <w:bCs w:val="false"/>
          <w:i w:val="false"/>
          <w:iCs w:val="false"/>
          <w:color w:val="111827"/>
          <w:sz w:val="19"/>
          <w:szCs w:val="19"/>
        </w:rPr>
        <w:t>penaltyEligible = reputationEligible = false</w:t>
      </w:r>
      <w:r>
        <w:rPr>
          <w:rFonts w:eastAsia="Calibri" w:cs="Calibri"/>
          <w:b w:val="false"/>
          <w:bCs w:val="false"/>
          <w:i w:val="false"/>
          <w:iCs w:val="false"/>
          <w:color w:val="111827"/>
          <w:sz w:val="21"/>
          <w:szCs w:val="21"/>
        </w:rPr>
        <w:t>.</w:t>
      </w:r>
    </w:p>
    <w:p>
      <w:pPr>
        <w:pStyle w:val="Heading2"/>
        <w:spacing w:before="240" w:after="80"/>
        <w:rPr/>
      </w:pPr>
      <w:bookmarkStart w:id="8" w:name="__RefHeading___Toc509_AgriContract"/>
      <w:bookmarkEnd w:id="8"/>
      <w:r>
        <w:rPr>
          <w:rFonts w:eastAsia="Calibri" w:cs="Calibri" w:ascii="Calibri" w:hAnsi="Calibri"/>
          <w:b/>
          <w:bCs/>
          <w:color w:val="1F2A37"/>
          <w:sz w:val="25"/>
          <w:szCs w:val="25"/>
        </w:rPr>
        <w:t>3.4 Remedy và bảo toàn tiền</w:t>
      </w:r>
    </w:p>
    <w:p>
      <w:pPr>
        <w:pStyle w:val="Normal"/>
        <w:spacing w:lineRule="exact" w:line="276" w:before="0" w:after="120"/>
        <w:jc w:val="both"/>
        <w:rPr/>
      </w:pPr>
      <w:r>
        <w:rPr>
          <w:rFonts w:eastAsia="Consolas" w:cs="Consolas" w:ascii="Consolas" w:hAnsi="Consolas"/>
          <w:b w:val="false"/>
          <w:bCs w:val="false"/>
          <w:i w:val="false"/>
          <w:iCs w:val="false"/>
          <w:color w:val="111827"/>
          <w:sz w:val="19"/>
          <w:szCs w:val="19"/>
        </w:rPr>
        <w:t>RemedyDecision</w:t>
      </w:r>
      <w:r>
        <w:rPr>
          <w:rFonts w:eastAsia="Calibri" w:cs="Calibri"/>
          <w:b w:val="false"/>
          <w:bCs w:val="false"/>
          <w:i w:val="false"/>
          <w:iCs w:val="false"/>
          <w:color w:val="111827"/>
          <w:sz w:val="21"/>
          <w:szCs w:val="21"/>
        </w:rPr>
        <w:t xml:space="preserve"> chứa nhiều </w:t>
      </w:r>
      <w:r>
        <w:rPr>
          <w:rFonts w:eastAsia="Consolas" w:cs="Consolas" w:ascii="Consolas" w:hAnsi="Consolas"/>
          <w:b w:val="false"/>
          <w:bCs w:val="false"/>
          <w:i w:val="false"/>
          <w:iCs w:val="false"/>
          <w:color w:val="111827"/>
          <w:sz w:val="19"/>
          <w:szCs w:val="19"/>
        </w:rPr>
        <w:t>remedyLegs</w:t>
      </w:r>
      <w:r>
        <w:rPr>
          <w:rFonts w:eastAsia="Calibri" w:cs="Calibri"/>
          <w:b w:val="false"/>
          <w:bCs w:val="false"/>
          <w:i w:val="false"/>
          <w:iCs w:val="false"/>
          <w:color w:val="111827"/>
          <w:sz w:val="21"/>
          <w:szCs w:val="21"/>
        </w:rPr>
        <w:t xml:space="preserve">; mỗi leg có </w:t>
      </w:r>
      <w:r>
        <w:rPr>
          <w:rFonts w:eastAsia="Consolas" w:cs="Consolas" w:ascii="Consolas" w:hAnsi="Consolas"/>
          <w:b w:val="false"/>
          <w:bCs w:val="false"/>
          <w:i w:val="false"/>
          <w:iCs w:val="false"/>
          <w:color w:val="111827"/>
          <w:sz w:val="19"/>
          <w:szCs w:val="19"/>
        </w:rPr>
        <w:t>remedyLegId</w:t>
      </w:r>
      <w:r>
        <w:rPr>
          <w:rFonts w:eastAsia="Calibri" w:cs="Calibri"/>
          <w:b w:val="false"/>
          <w:bCs w:val="false"/>
          <w:i w:val="false"/>
          <w:iCs w:val="false"/>
          <w:color w:val="111827"/>
          <w:sz w:val="21"/>
          <w:szCs w:val="21"/>
        </w:rPr>
        <w:t xml:space="preserve"> duy nhất. Các loại hậu quả tách bạch:</w:t>
      </w:r>
    </w:p>
    <w:p>
      <w:pPr>
        <w:pStyle w:val="ListParagraph"/>
        <w:numPr>
          <w:ilvl w:val="0"/>
          <w:numId w:val="1"/>
        </w:numPr>
        <w:spacing w:lineRule="exact" w:line="276" w:before="0" w:after="60"/>
        <w:rPr/>
      </w:pPr>
      <w:r>
        <w:rPr>
          <w:rFonts w:eastAsia="Consolas" w:cs="Consolas" w:ascii="Consolas" w:hAnsi="Consolas"/>
          <w:b w:val="false"/>
          <w:bCs w:val="false"/>
          <w:i w:val="false"/>
          <w:iCs w:val="false"/>
          <w:color w:val="111827"/>
          <w:sz w:val="19"/>
          <w:szCs w:val="19"/>
        </w:rPr>
        <w:t>PAYMENT_SETTLEMENT</w:t>
      </w:r>
      <w:r>
        <w:rPr>
          <w:rFonts w:eastAsia="Calibri" w:cs="Calibri"/>
          <w:b w:val="false"/>
          <w:bCs w:val="false"/>
          <w:i w:val="false"/>
          <w:iCs w:val="false"/>
          <w:color w:val="111827"/>
          <w:sz w:val="21"/>
          <w:szCs w:val="21"/>
        </w:rPr>
        <w:t xml:space="preserve"> / </w:t>
      </w:r>
      <w:r>
        <w:rPr>
          <w:rFonts w:eastAsia="Consolas" w:cs="Consolas" w:ascii="Consolas" w:hAnsi="Consolas"/>
          <w:b w:val="false"/>
          <w:bCs w:val="false"/>
          <w:i w:val="false"/>
          <w:iCs w:val="false"/>
          <w:color w:val="111827"/>
          <w:sz w:val="19"/>
          <w:szCs w:val="19"/>
        </w:rPr>
        <w:t>PAYMENT_REFUND</w:t>
      </w:r>
      <w:r>
        <w:rPr>
          <w:rFonts w:eastAsia="Calibri" w:cs="Calibri"/>
          <w:b w:val="false"/>
          <w:bCs w:val="false"/>
          <w:i w:val="false"/>
          <w:iCs w:val="false"/>
          <w:color w:val="111827"/>
          <w:sz w:val="21"/>
          <w:szCs w:val="21"/>
        </w:rPr>
        <w:t xml:space="preserve"> cho tiền milestone và hoàn tiền bình thường;</w:t>
      </w:r>
    </w:p>
    <w:p>
      <w:pPr>
        <w:pStyle w:val="ListParagraph"/>
        <w:numPr>
          <w:ilvl w:val="0"/>
          <w:numId w:val="1"/>
        </w:numPr>
        <w:spacing w:lineRule="exact" w:line="276" w:before="0" w:after="60"/>
        <w:rPr/>
      </w:pPr>
      <w:r>
        <w:rPr>
          <w:rFonts w:eastAsia="Consolas" w:cs="Consolas" w:ascii="Consolas" w:hAnsi="Consolas"/>
          <w:b w:val="false"/>
          <w:bCs w:val="false"/>
          <w:i w:val="false"/>
          <w:iCs w:val="false"/>
          <w:color w:val="111827"/>
          <w:sz w:val="19"/>
          <w:szCs w:val="19"/>
        </w:rPr>
        <w:t>DEPOSIT_FORFEITURE</w:t>
      </w:r>
      <w:r>
        <w:rPr>
          <w:rFonts w:eastAsia="Calibri" w:cs="Calibri"/>
          <w:b w:val="false"/>
          <w:bCs w:val="false"/>
          <w:i w:val="false"/>
          <w:iCs w:val="false"/>
          <w:color w:val="111827"/>
          <w:sz w:val="21"/>
          <w:szCs w:val="21"/>
        </w:rPr>
        <w:t xml:space="preserve"> cho hậu quả cọc nếu điều khoản/pháp luật cho phép;</w:t>
      </w:r>
    </w:p>
    <w:p>
      <w:pPr>
        <w:pStyle w:val="ListParagraph"/>
        <w:numPr>
          <w:ilvl w:val="0"/>
          <w:numId w:val="1"/>
        </w:numPr>
        <w:spacing w:lineRule="exact" w:line="276" w:before="0" w:after="60"/>
        <w:rPr/>
      </w:pPr>
      <w:r>
        <w:rPr>
          <w:rFonts w:eastAsia="Consolas" w:cs="Consolas" w:ascii="Consolas" w:hAnsi="Consolas"/>
          <w:b w:val="false"/>
          <w:bCs w:val="false"/>
          <w:i w:val="false"/>
          <w:iCs w:val="false"/>
          <w:color w:val="111827"/>
          <w:sz w:val="19"/>
          <w:szCs w:val="19"/>
        </w:rPr>
        <w:t>CONTRACTUAL_PENALTY</w:t>
      </w:r>
      <w:r>
        <w:rPr>
          <w:rFonts w:eastAsia="Calibri" w:cs="Calibri"/>
          <w:b w:val="false"/>
          <w:bCs w:val="false"/>
          <w:i w:val="false"/>
          <w:iCs w:val="false"/>
          <w:color w:val="111827"/>
          <w:sz w:val="21"/>
          <w:szCs w:val="21"/>
        </w:rPr>
        <w:t xml:space="preserve"> theo mức trần của </w:t>
      </w:r>
      <w:r>
        <w:rPr>
          <w:rFonts w:eastAsia="Consolas" w:cs="Consolas" w:ascii="Consolas" w:hAnsi="Consolas"/>
          <w:b w:val="false"/>
          <w:bCs w:val="false"/>
          <w:i w:val="false"/>
          <w:iCs w:val="false"/>
          <w:color w:val="111827"/>
          <w:sz w:val="19"/>
          <w:szCs w:val="19"/>
        </w:rPr>
        <w:t>LegalProfile</w:t>
      </w:r>
      <w:r>
        <w:rPr>
          <w:rFonts w:eastAsia="Calibri" w:cs="Calibri"/>
          <w:b w:val="false"/>
          <w:bCs w:val="false"/>
          <w:i w:val="false"/>
          <w:iCs w:val="false"/>
          <w:color w:val="111827"/>
          <w:sz w:val="21"/>
          <w:szCs w:val="21"/>
        </w:rPr>
        <w:t xml:space="preserve"> và phần nghĩa vụ bị vi phạm;</w:t>
      </w:r>
    </w:p>
    <w:p>
      <w:pPr>
        <w:pStyle w:val="ListParagraph"/>
        <w:numPr>
          <w:ilvl w:val="0"/>
          <w:numId w:val="1"/>
        </w:numPr>
        <w:spacing w:lineRule="exact" w:line="276" w:before="0" w:after="60"/>
        <w:rPr/>
      </w:pPr>
      <w:r>
        <w:rPr>
          <w:rFonts w:eastAsia="Consolas" w:cs="Consolas" w:ascii="Consolas" w:hAnsi="Consolas"/>
          <w:b w:val="false"/>
          <w:bCs w:val="false"/>
          <w:i w:val="false"/>
          <w:iCs w:val="false"/>
          <w:color w:val="111827"/>
          <w:sz w:val="19"/>
          <w:szCs w:val="19"/>
        </w:rPr>
        <w:t>DAMAGES_COMPENSATION</w:t>
      </w:r>
      <w:r>
        <w:rPr>
          <w:rFonts w:eastAsia="Calibri" w:cs="Calibri"/>
          <w:b w:val="false"/>
          <w:bCs w:val="false"/>
          <w:i w:val="false"/>
          <w:iCs w:val="false"/>
          <w:color w:val="111827"/>
          <w:sz w:val="21"/>
          <w:szCs w:val="21"/>
        </w:rPr>
        <w:t xml:space="preserve"> chỉ khi </w:t>
      </w:r>
      <w:r>
        <w:rPr>
          <w:rFonts w:eastAsia="Consolas" w:cs="Consolas" w:ascii="Consolas" w:hAnsi="Consolas"/>
          <w:b w:val="false"/>
          <w:bCs w:val="false"/>
          <w:i w:val="false"/>
          <w:iCs w:val="false"/>
          <w:color w:val="111827"/>
          <w:sz w:val="19"/>
          <w:szCs w:val="19"/>
        </w:rPr>
        <w:t>damagesPolicy</w:t>
      </w:r>
      <w:r>
        <w:rPr>
          <w:rFonts w:eastAsia="Calibri" w:cs="Calibri"/>
          <w:b w:val="false"/>
          <w:bCs w:val="false"/>
          <w:i w:val="false"/>
          <w:iCs w:val="false"/>
          <w:color w:val="111827"/>
          <w:sz w:val="21"/>
          <w:szCs w:val="21"/>
        </w:rPr>
        <w:t xml:space="preserve"> và bằng chứng cho phép.</w:t>
      </w:r>
    </w:p>
    <w:p>
      <w:pPr>
        <w:pStyle w:val="Normal"/>
        <w:spacing w:lineRule="exact" w:line="276" w:before="0" w:after="120"/>
        <w:jc w:val="both"/>
        <w:rPr/>
      </w:pPr>
      <w:r>
        <w:rPr>
          <w:rFonts w:eastAsia="Calibri" w:cs="Calibri"/>
          <w:b w:val="false"/>
          <w:bCs w:val="false"/>
          <w:i w:val="false"/>
          <w:iCs w:val="false"/>
          <w:color w:val="111827"/>
          <w:sz w:val="21"/>
          <w:szCs w:val="21"/>
        </w:rPr>
        <w:t xml:space="preserve">Không dùng một khoản “phạt” gộp. Không double recovery; forfeiture có thể phải offset theo policy. </w:t>
      </w:r>
      <w:r>
        <w:rPr>
          <w:rFonts w:eastAsia="Consolas" w:cs="Consolas" w:ascii="Consolas" w:hAnsi="Consolas"/>
          <w:b w:val="false"/>
          <w:bCs w:val="false"/>
          <w:i w:val="false"/>
          <w:iCs w:val="false"/>
          <w:color w:val="111827"/>
          <w:sz w:val="19"/>
          <w:szCs w:val="19"/>
        </w:rPr>
        <w:t>requestedBy</w:t>
      </w:r>
      <w:r>
        <w:rPr>
          <w:rFonts w:eastAsia="Calibri" w:cs="Calibri"/>
          <w:b w:val="false"/>
          <w:bCs w:val="false"/>
          <w:i w:val="false"/>
          <w:iCs w:val="false"/>
          <w:color w:val="111827"/>
          <w:sz w:val="21"/>
          <w:szCs w:val="21"/>
        </w:rPr>
        <w:t xml:space="preserve"> không được dùng để chọn bên bị seize. Một </w:t>
      </w:r>
      <w:r>
        <w:rPr>
          <w:rFonts w:eastAsia="Consolas" w:cs="Consolas" w:ascii="Consolas" w:hAnsi="Consolas"/>
          <w:b w:val="false"/>
          <w:bCs w:val="false"/>
          <w:i w:val="false"/>
          <w:iCs w:val="false"/>
          <w:color w:val="111827"/>
          <w:sz w:val="19"/>
          <w:szCs w:val="19"/>
        </w:rPr>
        <w:t>remedyDecisionId</w:t>
      </w:r>
      <w:r>
        <w:rPr>
          <w:rFonts w:eastAsia="Calibri" w:cs="Calibri"/>
          <w:b w:val="false"/>
          <w:bCs w:val="false"/>
          <w:i w:val="false"/>
          <w:iCs w:val="false"/>
          <w:color w:val="111827"/>
          <w:sz w:val="21"/>
          <w:szCs w:val="21"/>
        </w:rPr>
        <w:t xml:space="preserve"> nhóm nhiều leg nên không được unique ở bank ledger; dedup tiền ở cấp </w:t>
      </w:r>
      <w:r>
        <w:rPr>
          <w:rFonts w:eastAsia="Consolas" w:cs="Consolas" w:ascii="Consolas" w:hAnsi="Consolas"/>
          <w:b w:val="false"/>
          <w:bCs w:val="false"/>
          <w:i w:val="false"/>
          <w:iCs w:val="false"/>
          <w:color w:val="111827"/>
          <w:sz w:val="19"/>
          <w:szCs w:val="19"/>
        </w:rPr>
        <w:t>remedyLegId</w:t>
      </w:r>
      <w:r>
        <w:rPr>
          <w:rFonts w:eastAsia="Calibri" w:cs="Calibri"/>
          <w:b w:val="false"/>
          <w:bCs w:val="false"/>
          <w:i w:val="false"/>
          <w:iCs w:val="false"/>
          <w:color w:val="111827"/>
          <w:sz w:val="21"/>
          <w:szCs w:val="21"/>
        </w:rPr>
        <w:t>.</w:t>
      </w:r>
    </w:p>
    <w:p>
      <w:pPr>
        <w:pStyle w:val="Heading2"/>
        <w:spacing w:before="240" w:after="80"/>
        <w:rPr/>
      </w:pPr>
      <w:bookmarkStart w:id="9" w:name="__RefHeading___Toc511_AgriContract"/>
      <w:bookmarkEnd w:id="9"/>
      <w:r>
        <w:rPr>
          <w:rFonts w:eastAsia="Calibri" w:cs="Calibri" w:ascii="Calibri" w:hAnsi="Calibri"/>
          <w:b/>
          <w:bCs/>
          <w:color w:val="1F2A37"/>
          <w:sz w:val="25"/>
          <w:szCs w:val="25"/>
        </w:rPr>
        <w:t>3.5 Milestone, Delta 1/Delta 2 và Level 2 provisional</w:t>
      </w:r>
    </w:p>
    <w:p>
      <w:pPr>
        <w:pStyle w:val="Normal"/>
        <w:spacing w:lineRule="exact" w:line="276" w:before="0" w:after="120"/>
        <w:jc w:val="both"/>
        <w:rPr/>
      </w:pPr>
      <w:r>
        <w:rPr>
          <w:rFonts w:eastAsia="Calibri" w:cs="Calibri"/>
          <w:b w:val="false"/>
          <w:bCs w:val="false"/>
          <w:i w:val="false"/>
          <w:iCs w:val="false"/>
          <w:color w:val="111827"/>
          <w:sz w:val="21"/>
          <w:szCs w:val="21"/>
        </w:rPr>
        <w:t xml:space="preserve">Milestone delivery state: </w:t>
      </w:r>
      <w:r>
        <w:rPr>
          <w:rFonts w:eastAsia="Consolas" w:cs="Consolas" w:ascii="Consolas" w:hAnsi="Consolas"/>
          <w:b w:val="false"/>
          <w:bCs w:val="false"/>
          <w:i w:val="false"/>
          <w:iCs w:val="false"/>
          <w:color w:val="111827"/>
          <w:sz w:val="19"/>
          <w:szCs w:val="19"/>
        </w:rPr>
        <w:t>CREATED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IN_PROGRESS</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SELLER_WEIGHED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BUYER_RECEIVED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AWAITING_SELLER_RESPONSE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CONTESTED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FORCE_MAJEURE_PENDING_REVIEW</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SETTLED</w:t>
      </w:r>
      <w:r>
        <w:rPr>
          <w:rFonts w:eastAsia="Calibri" w:cs="Calibri"/>
          <w:b w:val="false"/>
          <w:bCs w:val="false"/>
          <w:i w:val="false"/>
          <w:iCs w:val="false"/>
          <w:color w:val="111827"/>
          <w:sz w:val="21"/>
          <w:szCs w:val="21"/>
        </w:rPr>
        <w:t xml:space="preserve">. Seller-only evidence không tự settle. Buyer non-response chỉ auto-confirm khi milestone vẫn ở </w:t>
      </w:r>
      <w:r>
        <w:rPr>
          <w:rFonts w:eastAsia="Consolas" w:cs="Consolas" w:ascii="Consolas" w:hAnsi="Consolas"/>
          <w:b w:val="false"/>
          <w:bCs w:val="false"/>
          <w:i w:val="false"/>
          <w:iCs w:val="false"/>
          <w:color w:val="111827"/>
          <w:sz w:val="19"/>
          <w:szCs w:val="19"/>
        </w:rPr>
        <w:t>BUYER_RECEIVED</w:t>
      </w:r>
      <w:r>
        <w:rPr>
          <w:rFonts w:eastAsia="Calibri" w:cs="Calibri"/>
          <w:b w:val="false"/>
          <w:bCs w:val="false"/>
          <w:i w:val="false"/>
          <w:iCs w:val="false"/>
          <w:color w:val="111827"/>
          <w:sz w:val="21"/>
          <w:szCs w:val="21"/>
        </w:rPr>
        <w:t xml:space="preserve"> và không có inspection pending.</w:t>
      </w:r>
    </w:p>
    <w:p>
      <w:pPr>
        <w:pStyle w:val="Normal"/>
        <w:spacing w:lineRule="exact" w:line="276" w:before="0" w:after="120"/>
        <w:jc w:val="both"/>
        <w:rPr/>
      </w:pPr>
      <w:r>
        <w:rPr>
          <w:rFonts w:eastAsia="Calibri" w:cs="Calibri"/>
          <w:b w:val="false"/>
          <w:bCs w:val="false"/>
          <w:i w:val="false"/>
          <w:iCs w:val="false"/>
          <w:color w:val="111827"/>
          <w:sz w:val="21"/>
          <w:szCs w:val="21"/>
        </w:rPr>
        <w:t xml:space="preserve">Delta 1 (quantity) cho phép quyết toán phần đã giao và mở attribution cho phần thiếu nếu vượt threshold. Delta 2 (quality) đi theo flag/response/inspection. Level 2 provisional phải dùng release floor và các leg explicit sao cho </w:t>
      </w:r>
      <w:r>
        <w:rPr>
          <w:rFonts w:eastAsia="Consolas" w:cs="Consolas" w:ascii="Consolas" w:hAnsi="Consolas"/>
          <w:b w:val="false"/>
          <w:bCs w:val="false"/>
          <w:i w:val="false"/>
          <w:iCs w:val="false"/>
          <w:color w:val="111827"/>
          <w:sz w:val="19"/>
          <w:szCs w:val="19"/>
        </w:rPr>
        <w:t>release + refund + remaining lock = batchAmount</w:t>
      </w:r>
      <w:r>
        <w:rPr>
          <w:rFonts w:eastAsia="Calibri" w:cs="Calibri"/>
          <w:b w:val="false"/>
          <w:bCs w:val="false"/>
          <w:i w:val="false"/>
          <w:iCs w:val="false"/>
          <w:color w:val="111827"/>
          <w:sz w:val="21"/>
          <w:szCs w:val="21"/>
        </w:rPr>
        <w:t>; zero-amount command bị omit.</w:t>
      </w:r>
    </w:p>
    <w:p>
      <w:pPr>
        <w:pStyle w:val="Heading2"/>
        <w:spacing w:before="240" w:after="80"/>
        <w:rPr/>
      </w:pPr>
      <w:bookmarkStart w:id="10" w:name="__RefHeading___Toc513_AgriContract"/>
      <w:bookmarkEnd w:id="10"/>
      <w:r>
        <w:rPr>
          <w:rFonts w:eastAsia="Calibri" w:cs="Calibri" w:ascii="Calibri" w:hAnsi="Calibri"/>
          <w:b/>
          <w:bCs/>
          <w:color w:val="1F2A37"/>
          <w:sz w:val="25"/>
          <w:szCs w:val="25"/>
        </w:rPr>
        <w:t>3.6 Vì sao seller không bị khoá vốn lưu động toàn hợp đồng</w:t>
      </w:r>
    </w:p>
    <w:p>
      <w:pPr>
        <w:pStyle w:val="Normal"/>
        <w:spacing w:lineRule="exact" w:line="276" w:before="0" w:after="120"/>
        <w:jc w:val="both"/>
        <w:rPr/>
      </w:pPr>
      <w:r>
        <w:rPr>
          <w:rFonts w:eastAsia="Calibri" w:cs="Calibri"/>
          <w:b w:val="false"/>
          <w:bCs w:val="false"/>
          <w:i w:val="false"/>
          <w:iCs w:val="false"/>
          <w:color w:val="111827"/>
          <w:sz w:val="21"/>
          <w:szCs w:val="21"/>
        </w:rPr>
        <w:t xml:space="preserve">Tiền hàng được lock và giải phóng theo từng milestone, không khoá toàn bộ giá trị từ ngày ký. Seller deposit là tham số contract-level riêng, còn buyer funding của batch chỉ được coi là sẵn sàng khi bank xác nhận </w:t>
      </w:r>
      <w:r>
        <w:rPr>
          <w:rFonts w:eastAsia="Consolas" w:cs="Consolas" w:ascii="Consolas" w:hAnsi="Consolas"/>
          <w:b w:val="false"/>
          <w:bCs w:val="false"/>
          <w:i w:val="false"/>
          <w:iCs w:val="false"/>
          <w:color w:val="111827"/>
          <w:sz w:val="19"/>
          <w:szCs w:val="19"/>
        </w:rPr>
        <w:t>LOCKED</w:t>
      </w:r>
      <w:r>
        <w:rPr>
          <w:rFonts w:eastAsia="Calibri" w:cs="Calibri"/>
          <w:b w:val="false"/>
          <w:bCs w:val="false"/>
          <w:i w:val="false"/>
          <w:iCs w:val="false"/>
          <w:color w:val="111827"/>
          <w:sz w:val="21"/>
          <w:szCs w:val="21"/>
        </w:rPr>
        <w:t>. Thiết kế vẫn cần pilot để kiểm chứng mức cọc/cửa sổ funding phù hợp theo từng ngành.</w:t>
      </w:r>
    </w:p>
    <w:p>
      <w:pPr>
        <w:pStyle w:val="Heading1"/>
        <w:pBdr>
          <w:bottom w:val="single" w:sz="6" w:space="6" w:color="D1D5DB"/>
        </w:pBdr>
        <w:spacing w:before="320" w:after="120"/>
        <w:rPr/>
      </w:pPr>
      <w:bookmarkStart w:id="11" w:name="__RefHeading___Toc515_AgriContract"/>
      <w:bookmarkEnd w:id="11"/>
      <w:r>
        <w:rPr>
          <w:rFonts w:eastAsia="Calibri" w:cs="Calibri" w:ascii="Calibri" w:hAnsi="Calibri"/>
          <w:b/>
          <w:bCs/>
          <w:color w:val="1F2A37"/>
          <w:sz w:val="30"/>
          <w:szCs w:val="30"/>
        </w:rPr>
        <w:t>4. Giám định độc lập — ranh giới Level 1, 1.5 và 2</w:t>
      </w:r>
    </w:p>
    <w:p>
      <w:pPr>
        <w:pStyle w:val="ListParagraph"/>
        <w:numPr>
          <w:ilvl w:val="0"/>
          <w:numId w:val="1"/>
        </w:numPr>
        <w:spacing w:lineRule="exact" w:line="276" w:before="0" w:after="60"/>
        <w:rPr/>
      </w:pPr>
      <w:r>
        <w:rPr>
          <w:rFonts w:eastAsia="Calibri" w:cs="Calibri"/>
          <w:b/>
          <w:bCs/>
          <w:i w:val="false"/>
          <w:iCs w:val="false"/>
          <w:color w:val="111827"/>
          <w:sz w:val="21"/>
          <w:szCs w:val="21"/>
        </w:rPr>
        <w:t>Level 1:</w:t>
      </w:r>
      <w:r>
        <w:rPr>
          <w:rFonts w:eastAsia="Calibri" w:cs="Calibri"/>
          <w:b w:val="false"/>
          <w:bCs w:val="false"/>
          <w:i w:val="false"/>
          <w:iCs w:val="false"/>
          <w:color w:val="111827"/>
          <w:sz w:val="21"/>
          <w:szCs w:val="21"/>
        </w:rPr>
        <w:t xml:space="preserve"> đối chiếu và phản hồi giữa buyer/seller trong workflow milestone.</w:t>
      </w:r>
    </w:p>
    <w:p>
      <w:pPr>
        <w:pStyle w:val="ListParagraph"/>
        <w:numPr>
          <w:ilvl w:val="0"/>
          <w:numId w:val="1"/>
        </w:numPr>
        <w:spacing w:lineRule="exact" w:line="276" w:before="0" w:after="60"/>
        <w:rPr/>
      </w:pPr>
      <w:r>
        <w:rPr>
          <w:rFonts w:eastAsia="Calibri" w:cs="Calibri"/>
          <w:b/>
          <w:bCs/>
          <w:i w:val="false"/>
          <w:iCs w:val="false"/>
          <w:color w:val="111827"/>
          <w:sz w:val="21"/>
          <w:szCs w:val="21"/>
        </w:rPr>
        <w:t>Level 1.5:</w:t>
      </w:r>
      <w:r>
        <w:rPr>
          <w:rFonts w:eastAsia="Calibri" w:cs="Calibri"/>
          <w:b w:val="false"/>
          <w:bCs w:val="false"/>
          <w:i w:val="false"/>
          <w:iCs w:val="false"/>
          <w:color w:val="111827"/>
          <w:sz w:val="21"/>
          <w:szCs w:val="21"/>
        </w:rPr>
        <w:t xml:space="preserve"> inspector tích hợp nền tảng, có KYC/session, nhưng </w:t>
      </w:r>
      <w:r>
        <w:rPr>
          <w:rFonts w:eastAsia="Consolas" w:cs="Consolas" w:ascii="Consolas" w:hAnsi="Consolas"/>
          <w:b w:val="false"/>
          <w:bCs w:val="false"/>
          <w:i w:val="false"/>
          <w:iCs w:val="false"/>
          <w:color w:val="111827"/>
          <w:sz w:val="19"/>
          <w:szCs w:val="19"/>
        </w:rPr>
        <w:t>inspection result signature/hash</w:t>
      </w:r>
      <w:r>
        <w:rPr>
          <w:rFonts w:eastAsia="Calibri" w:cs="Calibri"/>
          <w:b w:val="false"/>
          <w:bCs w:val="false"/>
          <w:i w:val="false"/>
          <w:iCs w:val="false"/>
          <w:color w:val="111827"/>
          <w:sz w:val="21"/>
          <w:szCs w:val="21"/>
        </w:rPr>
        <w:t xml:space="preserve"> là commitment riêng, không dùng nhầm chữ ký hợp đồng. Kết quả normalized và report identity được hash trước khi phát event.</w:t>
      </w:r>
    </w:p>
    <w:p>
      <w:pPr>
        <w:pStyle w:val="ListParagraph"/>
        <w:numPr>
          <w:ilvl w:val="0"/>
          <w:numId w:val="1"/>
        </w:numPr>
        <w:spacing w:lineRule="exact" w:line="276" w:before="0" w:after="60"/>
        <w:rPr/>
      </w:pPr>
      <w:r>
        <w:rPr>
          <w:rFonts w:eastAsia="Calibri" w:cs="Calibri"/>
          <w:b/>
          <w:bCs/>
          <w:i w:val="false"/>
          <w:iCs w:val="false"/>
          <w:color w:val="111827"/>
          <w:sz w:val="21"/>
          <w:szCs w:val="21"/>
        </w:rPr>
        <w:t>Level 2:</w:t>
      </w:r>
      <w:r>
        <w:rPr>
          <w:rFonts w:eastAsia="Calibri" w:cs="Calibri"/>
          <w:b w:val="false"/>
          <w:bCs w:val="false"/>
          <w:i w:val="false"/>
          <w:iCs w:val="false"/>
          <w:color w:val="111827"/>
          <w:sz w:val="21"/>
          <w:szCs w:val="21"/>
        </w:rPr>
        <w:t xml:space="preserve"> tổ chức bên ngoài được hai bên chọn và đóng băng trong </w:t>
      </w:r>
      <w:r>
        <w:rPr>
          <w:rFonts w:eastAsia="Consolas" w:cs="Consolas" w:ascii="Consolas" w:hAnsi="Consolas"/>
          <w:b w:val="false"/>
          <w:bCs w:val="false"/>
          <w:i w:val="false"/>
          <w:iCs w:val="false"/>
          <w:color w:val="111827"/>
          <w:sz w:val="19"/>
          <w:szCs w:val="19"/>
        </w:rPr>
        <w:t>ContractTerms</w:t>
      </w:r>
      <w:r>
        <w:rPr>
          <w:rFonts w:eastAsia="Calibri" w:cs="Calibri"/>
          <w:b w:val="false"/>
          <w:bCs w:val="false"/>
          <w:i w:val="false"/>
          <w:iCs w:val="false"/>
          <w:color w:val="111827"/>
          <w:sz w:val="21"/>
          <w:szCs w:val="21"/>
        </w:rPr>
        <w:t>; không giả định có RBAC/chữ ký trong hệ thống. Platform phát commission kèm case ID, nhận report qua mailbox/entrypoint riêng, virus scan và human-confirm; report hash được đóng băng trước thao tác review.</w:t>
      </w:r>
    </w:p>
    <w:p>
      <w:pPr>
        <w:pStyle w:val="Normal"/>
        <w:spacing w:lineRule="exact" w:line="276" w:before="0" w:after="120"/>
        <w:jc w:val="both"/>
        <w:rPr/>
      </w:pPr>
      <w:r>
        <w:rPr>
          <w:rFonts w:eastAsia="Calibri" w:cs="Calibri"/>
          <w:b w:val="false"/>
          <w:bCs w:val="false"/>
          <w:i w:val="false"/>
          <w:iCs w:val="false"/>
          <w:color w:val="111827"/>
          <w:sz w:val="21"/>
          <w:szCs w:val="21"/>
        </w:rPr>
        <w:t>Tổ chức Level 2 phải phù hợp allowlist/accreditation rule theo hợp đồng. Các tích hợp SGS/Bureau Veritas hoặc tổ chức trong nước là interface/mô phỏng trong đồ án, không được trình bày như quan hệ production đã ký.</w:t>
      </w:r>
    </w:p>
    <w:p>
      <w:pPr>
        <w:pStyle w:val="Heading1"/>
        <w:pBdr>
          <w:bottom w:val="single" w:sz="6" w:space="6" w:color="D1D5DB"/>
        </w:pBdr>
        <w:spacing w:before="320" w:after="120"/>
        <w:rPr/>
      </w:pPr>
      <w:bookmarkStart w:id="12" w:name="__RefHeading___Toc517_AgriContract"/>
      <w:bookmarkEnd w:id="12"/>
      <w:r>
        <w:rPr>
          <w:rFonts w:eastAsia="Calibri" w:cs="Calibri" w:ascii="Calibri" w:hAnsi="Calibri"/>
          <w:b/>
          <w:bCs/>
          <w:color w:val="1F2A37"/>
          <w:sz w:val="30"/>
          <w:szCs w:val="30"/>
        </w:rPr>
        <w:t>5. Uy tín và cơ chế khoá tài khoản</w:t>
      </w:r>
    </w:p>
    <w:p>
      <w:pPr>
        <w:pStyle w:val="Normal"/>
        <w:spacing w:lineRule="exact" w:line="276" w:before="0" w:after="120"/>
        <w:jc w:val="both"/>
        <w:rPr/>
      </w:pPr>
      <w:r>
        <w:rPr>
          <w:rFonts w:eastAsia="Calibri" w:cs="Calibri"/>
          <w:b w:val="false"/>
          <w:bCs w:val="false"/>
          <w:i w:val="false"/>
          <w:iCs w:val="false"/>
          <w:color w:val="111827"/>
          <w:sz w:val="21"/>
          <w:szCs w:val="21"/>
        </w:rPr>
        <w:t xml:space="preserve">Reputation không phạt theo allegation, </w:t>
      </w:r>
      <w:r>
        <w:rPr>
          <w:rFonts w:eastAsia="Consolas" w:cs="Consolas" w:ascii="Consolas" w:hAnsi="Consolas"/>
          <w:b w:val="false"/>
          <w:bCs w:val="false"/>
          <w:i w:val="false"/>
          <w:iCs w:val="false"/>
          <w:color w:val="111827"/>
          <w:sz w:val="19"/>
          <w:szCs w:val="19"/>
        </w:rPr>
        <w:t>contract.terminated</w:t>
      </w:r>
      <w:r>
        <w:rPr>
          <w:rFonts w:eastAsia="Calibri" w:cs="Calibri"/>
          <w:b w:val="false"/>
          <w:bCs w:val="false"/>
          <w:i w:val="false"/>
          <w:iCs w:val="false"/>
          <w:color w:val="111827"/>
          <w:sz w:val="21"/>
          <w:szCs w:val="21"/>
        </w:rPr>
        <w:t xml:space="preserve">, hành vi bấm nút hay event milestone quan sát. </w:t>
      </w:r>
      <w:r>
        <w:rPr>
          <w:rFonts w:eastAsia="Calibri" w:cs="Calibri"/>
          <w:b/>
          <w:bCs/>
          <w:i w:val="false"/>
          <w:iCs w:val="false"/>
          <w:color w:val="111827"/>
          <w:sz w:val="21"/>
          <w:szCs w:val="21"/>
        </w:rPr>
        <w:t>Input tiêu cực duy nhất</w:t>
      </w:r>
      <w:r>
        <w:rPr>
          <w:rFonts w:eastAsia="Calibri" w:cs="Calibri"/>
          <w:b w:val="false"/>
          <w:bCs w:val="false"/>
          <w:i w:val="false"/>
          <w:iCs w:val="false"/>
          <w:color w:val="111827"/>
          <w:sz w:val="21"/>
          <w:szCs w:val="21"/>
        </w:rPr>
        <w:t xml:space="preserve"> là </w:t>
      </w:r>
      <w:r>
        <w:rPr>
          <w:rFonts w:eastAsia="Consolas" w:cs="Consolas" w:ascii="Consolas" w:hAnsi="Consolas"/>
          <w:b w:val="false"/>
          <w:bCs w:val="false"/>
          <w:i w:val="false"/>
          <w:iCs w:val="false"/>
          <w:color w:val="111827"/>
          <w:sz w:val="19"/>
          <w:szCs w:val="19"/>
        </w:rPr>
        <w:t>remedy.finalized</w:t>
      </w:r>
      <w:r>
        <w:rPr>
          <w:rFonts w:eastAsia="Calibri" w:cs="Calibri"/>
          <w:b w:val="false"/>
          <w:bCs w:val="false"/>
          <w:i w:val="false"/>
          <w:iCs w:val="false"/>
          <w:color w:val="111827"/>
          <w:sz w:val="21"/>
          <w:szCs w:val="21"/>
        </w:rPr>
        <w:t xml:space="preserve"> với </w:t>
      </w:r>
      <w:r>
        <w:rPr>
          <w:rFonts w:eastAsia="Consolas" w:cs="Consolas" w:ascii="Consolas" w:hAnsi="Consolas"/>
          <w:b w:val="false"/>
          <w:bCs w:val="false"/>
          <w:i w:val="false"/>
          <w:iCs w:val="false"/>
          <w:color w:val="111827"/>
          <w:sz w:val="19"/>
          <w:szCs w:val="19"/>
        </w:rPr>
        <w:t>reputationEligible = true</w:t>
      </w:r>
      <w:r>
        <w:rPr>
          <w:rFonts w:eastAsia="Calibri" w:cs="Calibri"/>
          <w:b w:val="false"/>
          <w:bCs w:val="false"/>
          <w:i w:val="false"/>
          <w:iCs w:val="false"/>
          <w:color w:val="111827"/>
          <w:sz w:val="21"/>
          <w:szCs w:val="21"/>
        </w:rPr>
        <w:t xml:space="preserve"> và attribution đã final. User bị ảnh hưởng được xác định trực tiếp từ </w:t>
      </w:r>
      <w:r>
        <w:rPr>
          <w:rFonts w:eastAsia="Consolas" w:cs="Consolas" w:ascii="Consolas" w:hAnsi="Consolas"/>
          <w:b w:val="false"/>
          <w:bCs w:val="false"/>
          <w:i w:val="false"/>
          <w:iCs w:val="false"/>
          <w:color w:val="111827"/>
          <w:sz w:val="19"/>
          <w:szCs w:val="19"/>
        </w:rPr>
        <w:t>buyerId</w:t>
      </w:r>
      <w:r>
        <w:rPr>
          <w:rFonts w:eastAsia="Calibri" w:cs="Calibri"/>
          <w:b w:val="false"/>
          <w:bCs w:val="false"/>
          <w:i w:val="false"/>
          <w:iCs w:val="false"/>
          <w:color w:val="111827"/>
          <w:sz w:val="21"/>
          <w:szCs w:val="21"/>
        </w:rPr>
        <w:t>/</w:t>
      </w:r>
      <w:r>
        <w:rPr>
          <w:rFonts w:eastAsia="Consolas" w:cs="Consolas" w:ascii="Consolas" w:hAnsi="Consolas"/>
          <w:b w:val="false"/>
          <w:bCs w:val="false"/>
          <w:i w:val="false"/>
          <w:iCs w:val="false"/>
          <w:color w:val="111827"/>
          <w:sz w:val="19"/>
          <w:szCs w:val="19"/>
        </w:rPr>
        <w:t>sellerId</w:t>
      </w:r>
      <w:r>
        <w:rPr>
          <w:rFonts w:eastAsia="Calibri" w:cs="Calibri"/>
          <w:b w:val="false"/>
          <w:bCs w:val="false"/>
          <w:i w:val="false"/>
          <w:iCs w:val="false"/>
          <w:color w:val="111827"/>
          <w:sz w:val="21"/>
          <w:szCs w:val="21"/>
        </w:rPr>
        <w:t xml:space="preserve"> cùng </w:t>
      </w:r>
      <w:r>
        <w:rPr>
          <w:rFonts w:eastAsia="Consolas" w:cs="Consolas" w:ascii="Consolas" w:hAnsi="Consolas"/>
          <w:b w:val="false"/>
          <w:bCs w:val="false"/>
          <w:i w:val="false"/>
          <w:iCs w:val="false"/>
          <w:color w:val="111827"/>
          <w:sz w:val="19"/>
          <w:szCs w:val="19"/>
        </w:rPr>
        <w:t>finalBreachingRole</w:t>
      </w:r>
      <w:r>
        <w:rPr>
          <w:rFonts w:eastAsia="Calibri" w:cs="Calibri"/>
          <w:b w:val="false"/>
          <w:bCs w:val="false"/>
          <w:i w:val="false"/>
          <w:iCs w:val="false"/>
          <w:color w:val="111827"/>
          <w:sz w:val="21"/>
          <w:szCs w:val="21"/>
        </w:rPr>
        <w:t xml:space="preserve"> trong payload. Reputation là tín hiệu từ các fact đã ghi nhận, có thể chịu bias, cold-start và dispute; không phải thước đo hoàn hảo về uy tín hay sự thật. [18], [20]</w:t>
      </w:r>
    </w:p>
    <w:p>
      <w:pPr>
        <w:pStyle w:val="Normal"/>
        <w:spacing w:lineRule="exact" w:line="276" w:before="0" w:after="120"/>
        <w:jc w:val="both"/>
        <w:rPr/>
      </w:pPr>
      <w:r>
        <w:rPr>
          <w:rFonts w:eastAsia="Consolas" w:cs="Consolas" w:ascii="Consolas" w:hAnsi="Consolas"/>
          <w:b w:val="false"/>
          <w:bCs w:val="false"/>
          <w:i w:val="false"/>
          <w:iCs w:val="false"/>
          <w:color w:val="111827"/>
          <w:sz w:val="19"/>
          <w:szCs w:val="19"/>
        </w:rPr>
        <w:t>lock_entry</w:t>
      </w:r>
      <w:r>
        <w:rPr>
          <w:rFonts w:eastAsia="Calibri" w:cs="Calibri"/>
          <w:b w:val="false"/>
          <w:bCs w:val="false"/>
          <w:i w:val="false"/>
          <w:iCs w:val="false"/>
          <w:color w:val="111827"/>
          <w:sz w:val="21"/>
          <w:szCs w:val="21"/>
        </w:rPr>
        <w:t xml:space="preserve"> là insert-only, unique theo </w:t>
      </w:r>
      <w:r>
        <w:rPr>
          <w:rFonts w:eastAsia="Consolas" w:cs="Consolas" w:ascii="Consolas" w:hAnsi="Consolas"/>
          <w:b w:val="false"/>
          <w:bCs w:val="false"/>
          <w:i w:val="false"/>
          <w:iCs w:val="false"/>
          <w:color w:val="111827"/>
          <w:sz w:val="19"/>
          <w:szCs w:val="19"/>
        </w:rPr>
        <w:t>remedy_decision_id</w:t>
      </w:r>
      <w:r>
        <w:rPr>
          <w:rFonts w:eastAsia="Calibri" w:cs="Calibri"/>
          <w:b w:val="false"/>
          <w:bCs w:val="false"/>
          <w:i w:val="false"/>
          <w:iCs w:val="false"/>
          <w:color w:val="111827"/>
          <w:sz w:val="21"/>
          <w:szCs w:val="21"/>
        </w:rPr>
        <w:t xml:space="preserve">; một decision tạo tối đa một lock. Mở khoá sớm dùng override append-only và maker-checker, không UPDATE record lịch sử. user-service nhận projection với </w:t>
      </w:r>
      <w:r>
        <w:rPr>
          <w:rFonts w:eastAsia="Consolas" w:cs="Consolas" w:ascii="Consolas" w:hAnsi="Consolas"/>
          <w:b w:val="false"/>
          <w:bCs w:val="false"/>
          <w:i w:val="false"/>
          <w:iCs w:val="false"/>
          <w:color w:val="111827"/>
          <w:sz w:val="19"/>
          <w:szCs w:val="19"/>
        </w:rPr>
        <w:t>lockRevision</w:t>
      </w:r>
      <w:r>
        <w:rPr>
          <w:rFonts w:eastAsia="Calibri" w:cs="Calibri"/>
          <w:b w:val="false"/>
          <w:bCs w:val="false"/>
          <w:i w:val="false"/>
          <w:iCs w:val="false"/>
          <w:color w:val="111827"/>
          <w:sz w:val="21"/>
          <w:szCs w:val="21"/>
        </w:rPr>
        <w:t xml:space="preserve"> tăng đơn điệu và lưu </w:t>
      </w:r>
      <w:r>
        <w:rPr>
          <w:rFonts w:eastAsia="Consolas" w:cs="Consolas" w:ascii="Consolas" w:hAnsi="Consolas"/>
          <w:b w:val="false"/>
          <w:bCs w:val="false"/>
          <w:i w:val="false"/>
          <w:iCs w:val="false"/>
          <w:color w:val="111827"/>
          <w:sz w:val="19"/>
          <w:szCs w:val="19"/>
        </w:rPr>
        <w:t>last_lock_revision</w:t>
      </w:r>
      <w:r>
        <w:rPr>
          <w:rFonts w:eastAsia="Calibri" w:cs="Calibri"/>
          <w:b w:val="false"/>
          <w:bCs w:val="false"/>
          <w:i w:val="false"/>
          <w:iCs w:val="false"/>
          <w:color w:val="111827"/>
          <w:sz w:val="21"/>
          <w:szCs w:val="21"/>
        </w:rPr>
        <w:t xml:space="preserve"> để không bị event cũ ghi đè sau restart. Completion/dispute facts được lưu append-only ở tầng ứng dụng (bất biến theo invariant thiết kế); score được tính khi query, không persist như chân lý cố định.</w:t>
      </w:r>
    </w:p>
    <w:p>
      <w:pPr>
        <w:pStyle w:val="Normal"/>
        <w:spacing w:lineRule="exact" w:line="276" w:before="0" w:after="120"/>
        <w:jc w:val="both"/>
        <w:rPr/>
      </w:pPr>
      <w:r>
        <w:rPr>
          <w:rFonts w:eastAsia="Calibri" w:cs="Calibri"/>
          <w:b w:val="false"/>
          <w:bCs w:val="false"/>
          <w:i w:val="false"/>
          <w:iCs w:val="false"/>
          <w:color w:val="111827"/>
          <w:sz w:val="21"/>
          <w:szCs w:val="21"/>
        </w:rPr>
        <w:t xml:space="preserve">Tín hiệu </w:t>
      </w:r>
      <w:r>
        <w:rPr>
          <w:rFonts w:eastAsia="Consolas" w:cs="Consolas" w:ascii="Consolas" w:hAnsi="Consolas"/>
          <w:b w:val="false"/>
          <w:bCs w:val="false"/>
          <w:i w:val="false"/>
          <w:iCs w:val="false"/>
          <w:color w:val="111827"/>
          <w:sz w:val="19"/>
          <w:szCs w:val="19"/>
        </w:rPr>
        <w:t>ELEVATED_RISK</w:t>
      </w:r>
      <w:r>
        <w:rPr>
          <w:rFonts w:eastAsia="Calibri" w:cs="Calibri"/>
          <w:b w:val="false"/>
          <w:bCs w:val="false"/>
          <w:i w:val="false"/>
          <w:iCs w:val="false"/>
          <w:color w:val="111827"/>
          <w:sz w:val="21"/>
          <w:szCs w:val="21"/>
        </w:rPr>
        <w:t>/AML chỉ là projection hỗ trợ review ở Phase 2, không tự chặn settlement hoặc thay thế quyết định của tổ chức tín dụng.</w:t>
      </w:r>
    </w:p>
    <w:p>
      <w:pPr>
        <w:pStyle w:val="Heading1"/>
        <w:pBdr>
          <w:bottom w:val="single" w:sz="6" w:space="6" w:color="D1D5DB"/>
        </w:pBdr>
        <w:spacing w:before="320" w:after="120"/>
        <w:rPr/>
      </w:pPr>
      <w:bookmarkStart w:id="13" w:name="__RefHeading___Toc519_AgriContract"/>
      <w:bookmarkEnd w:id="13"/>
      <w:r>
        <w:rPr>
          <w:rFonts w:eastAsia="Calibri" w:cs="Calibri" w:ascii="Calibri" w:hAnsi="Calibri"/>
          <w:b/>
          <w:bCs/>
          <w:color w:val="1F2A37"/>
          <w:sz w:val="30"/>
          <w:szCs w:val="30"/>
        </w:rPr>
        <w:t>6. Bằng chứng, audit và notification</w:t>
      </w:r>
    </w:p>
    <w:p>
      <w:pPr>
        <w:pStyle w:val="Normal"/>
        <w:spacing w:lineRule="exact" w:line="276" w:before="0" w:after="120"/>
        <w:jc w:val="both"/>
        <w:rPr/>
      </w:pPr>
      <w:r>
        <w:rPr>
          <w:rFonts w:eastAsia="Calibri" w:cs="Calibri"/>
          <w:b w:val="false"/>
          <w:bCs w:val="false"/>
          <w:i w:val="false"/>
          <w:iCs w:val="false"/>
          <w:color w:val="111827"/>
          <w:sz w:val="21"/>
          <w:szCs w:val="21"/>
        </w:rPr>
        <w:t xml:space="preserve">Audit-service tạo </w:t>
      </w:r>
      <w:r>
        <w:rPr>
          <w:rFonts w:eastAsia="Consolas" w:cs="Consolas" w:ascii="Consolas" w:hAnsi="Consolas"/>
          <w:b w:val="false"/>
          <w:bCs w:val="false"/>
          <w:i w:val="false"/>
          <w:iCs w:val="false"/>
          <w:color w:val="111827"/>
          <w:sz w:val="19"/>
          <w:szCs w:val="19"/>
        </w:rPr>
        <w:t>audit_record</w:t>
      </w:r>
      <w:r>
        <w:rPr>
          <w:rFonts w:eastAsia="Calibri" w:cs="Calibri"/>
          <w:b w:val="false"/>
          <w:bCs w:val="false"/>
          <w:i w:val="false"/>
          <w:iCs w:val="false"/>
          <w:color w:val="111827"/>
          <w:sz w:val="21"/>
          <w:szCs w:val="21"/>
        </w:rPr>
        <w:t xml:space="preserve"> append-only với dual chain global/per-subject. Hash commitment bao gồm cả envelope identity (</w:t>
      </w:r>
      <w:r>
        <w:rPr>
          <w:rFonts w:eastAsia="Consolas" w:cs="Consolas" w:ascii="Consolas" w:hAnsi="Consolas"/>
          <w:b w:val="false"/>
          <w:bCs w:val="false"/>
          <w:i w:val="false"/>
          <w:iCs w:val="false"/>
          <w:color w:val="111827"/>
          <w:sz w:val="19"/>
          <w:szCs w:val="19"/>
        </w:rPr>
        <w:t>sourceEventId</w:t>
      </w:r>
      <w:r>
        <w:rPr>
          <w:rFonts w:eastAsia="Calibri" w:cs="Calibri"/>
          <w:b w:val="false"/>
          <w:bCs w:val="false"/>
          <w:i w:val="false"/>
          <w:iCs w:val="false"/>
          <w:color w:val="111827"/>
          <w:sz w:val="21"/>
          <w:szCs w:val="21"/>
        </w:rPr>
        <w:t xml:space="preserve">, correlation/causation) và toàn bộ field canonical; sửa metadata hoặc payload đều phải bị phát hiện. </w:t>
      </w:r>
      <w:r>
        <w:rPr>
          <w:rFonts w:eastAsia="Consolas" w:cs="Consolas" w:ascii="Consolas" w:hAnsi="Consolas"/>
          <w:b w:val="false"/>
          <w:bCs w:val="false"/>
          <w:i w:val="false"/>
          <w:iCs w:val="false"/>
          <w:color w:val="111827"/>
          <w:sz w:val="19"/>
          <w:szCs w:val="19"/>
        </w:rPr>
        <w:t>audit_record</w:t>
      </w:r>
      <w:r>
        <w:rPr>
          <w:rFonts w:eastAsia="Calibri" w:cs="Calibri"/>
          <w:b w:val="false"/>
          <w:bCs w:val="false"/>
          <w:i w:val="false"/>
          <w:iCs w:val="false"/>
          <w:color w:val="111827"/>
          <w:sz w:val="21"/>
          <w:szCs w:val="21"/>
        </w:rPr>
        <w:t xml:space="preserve"> và </w:t>
      </w:r>
      <w:r>
        <w:rPr>
          <w:rFonts w:eastAsia="Consolas" w:cs="Consolas" w:ascii="Consolas" w:hAnsi="Consolas"/>
          <w:b w:val="false"/>
          <w:bCs w:val="false"/>
          <w:i w:val="false"/>
          <w:iCs w:val="false"/>
          <w:color w:val="111827"/>
          <w:sz w:val="19"/>
          <w:szCs w:val="19"/>
        </w:rPr>
        <w:t>anchor_request_outbox</w:t>
      </w:r>
      <w:r>
        <w:rPr>
          <w:rFonts w:eastAsia="Calibri" w:cs="Calibri"/>
          <w:b w:val="false"/>
          <w:bCs w:val="false"/>
          <w:i w:val="false"/>
          <w:iCs w:val="false"/>
          <w:color w:val="111827"/>
          <w:sz w:val="21"/>
          <w:szCs w:val="21"/>
        </w:rPr>
        <w:t xml:space="preserve"> được ghi cùng transaction; replay cùng source event không tạo record, anchor hoặc evidence email thứ hai.</w:t>
      </w:r>
    </w:p>
    <w:p>
      <w:pPr>
        <w:pStyle w:val="Normal"/>
        <w:spacing w:lineRule="exact" w:line="276" w:before="0" w:after="120"/>
        <w:jc w:val="both"/>
        <w:rPr/>
      </w:pPr>
      <w:r>
        <w:rPr>
          <w:rFonts w:eastAsia="Calibri" w:cs="Calibri"/>
          <w:b w:val="false"/>
          <w:bCs w:val="false"/>
          <w:i w:val="false"/>
          <w:iCs w:val="false"/>
          <w:color w:val="111827"/>
          <w:sz w:val="21"/>
          <w:szCs w:val="21"/>
        </w:rPr>
        <w:t>Bằng chứng có thể được đối chiếu ở nhiều vị trí: chain trong database, digest/anchor và OpenTimestamps theo thiết kế. Đây là cơ chế phát hiện sửa đổi so với checkpoint/anchor được giữ ngoài quyền quản trị cơ sở dữ liệu; nó không chống được kịch bản một actor có đặc quyền viết lại toàn chuỗi trong cùng trust domain, và không chứng minh nội dung khai báo là đúng hay giao dịch hợp pháp.</w:t>
      </w:r>
    </w:p>
    <w:p>
      <w:pPr>
        <w:pStyle w:val="Normal"/>
        <w:spacing w:lineRule="exact" w:line="276" w:before="0" w:after="120"/>
        <w:jc w:val="both"/>
        <w:rPr/>
      </w:pPr>
      <w:r>
        <w:rPr>
          <w:rFonts w:eastAsia="Calibri" w:cs="Calibri"/>
          <w:b w:val="false"/>
          <w:bCs w:val="false"/>
          <w:i w:val="false"/>
          <w:iCs w:val="false"/>
          <w:color w:val="111827"/>
          <w:sz w:val="21"/>
          <w:szCs w:val="21"/>
        </w:rPr>
        <w:t xml:space="preserve">Notification-service nhận </w:t>
      </w:r>
      <w:r>
        <w:rPr>
          <w:rFonts w:eastAsia="Calibri" w:cs="Calibri"/>
          <w:b/>
          <w:bCs/>
          <w:i w:val="false"/>
          <w:iCs w:val="false"/>
          <w:color w:val="111827"/>
          <w:sz w:val="21"/>
          <w:szCs w:val="21"/>
        </w:rPr>
        <w:t>notification command riêng</w:t>
      </w:r>
      <w:r>
        <w:rPr>
          <w:rFonts w:eastAsia="Calibri" w:cs="Calibri"/>
          <w:b w:val="false"/>
          <w:bCs w:val="false"/>
          <w:i w:val="false"/>
          <w:iCs w:val="false"/>
          <w:color w:val="111827"/>
          <w:sz w:val="21"/>
          <w:szCs w:val="21"/>
        </w:rPr>
        <w:t xml:space="preserve">, không được dùng business event như một trigger hậu quả. RabbitMQ là đường mặc định; internal synchronous API chỉ dùng cho OTP để bảo đảm provider fail thì không có mail gửi muộn ngoài kiểm soát. Dedup theo </w:t>
      </w:r>
      <w:r>
        <w:rPr>
          <w:rFonts w:eastAsia="Consolas" w:cs="Consolas" w:ascii="Consolas" w:hAnsi="Consolas"/>
          <w:b w:val="false"/>
          <w:bCs w:val="false"/>
          <w:i w:val="false"/>
          <w:iCs w:val="false"/>
          <w:color w:val="111827"/>
          <w:sz w:val="19"/>
          <w:szCs w:val="19"/>
        </w:rPr>
        <w:t>(event_id, recipient_email, notification_type)</w:t>
      </w:r>
      <w:r>
        <w:rPr>
          <w:rFonts w:eastAsia="Calibri" w:cs="Calibri"/>
          <w:b w:val="false"/>
          <w:bCs w:val="false"/>
          <w:i w:val="false"/>
          <w:iCs w:val="false"/>
          <w:color w:val="111827"/>
          <w:sz w:val="21"/>
          <w:szCs w:val="21"/>
        </w:rPr>
        <w:t>.</w:t>
      </w:r>
    </w:p>
    <w:p>
      <w:pPr>
        <w:pStyle w:val="Heading1"/>
        <w:pBdr>
          <w:bottom w:val="single" w:sz="6" w:space="6" w:color="D1D5DB"/>
        </w:pBdr>
        <w:spacing w:before="320" w:after="120"/>
        <w:rPr/>
      </w:pPr>
      <w:bookmarkStart w:id="14" w:name="__RefHeading___Toc521_AgriContract"/>
      <w:bookmarkEnd w:id="14"/>
      <w:r>
        <w:rPr>
          <w:rFonts w:eastAsia="Calibri" w:cs="Calibri" w:ascii="Calibri" w:hAnsi="Calibri"/>
          <w:b/>
          <w:bCs/>
          <w:color w:val="1F2A37"/>
          <w:sz w:val="30"/>
          <w:szCs w:val="30"/>
        </w:rPr>
        <w:t>7. Khung pháp lý và quản trị rủi ro</w:t>
      </w:r>
    </w:p>
    <w:p>
      <w:pPr>
        <w:pStyle w:val="Heading2"/>
        <w:spacing w:before="240" w:after="80"/>
        <w:rPr/>
      </w:pPr>
      <w:bookmarkStart w:id="15" w:name="__RefHeading___Toc523_AgriContract"/>
      <w:bookmarkEnd w:id="15"/>
      <w:r>
        <w:rPr>
          <w:rFonts w:eastAsia="Calibri" w:cs="Calibri" w:ascii="Calibri" w:hAnsi="Calibri"/>
          <w:b/>
          <w:bCs/>
          <w:color w:val="1F2A37"/>
          <w:sz w:val="25"/>
          <w:szCs w:val="25"/>
        </w:rPr>
        <w:t>7.1 LegalProfile đóng băng cùng hợp đồng</w:t>
      </w:r>
    </w:p>
    <w:p>
      <w:pPr>
        <w:pStyle w:val="Normal"/>
        <w:spacing w:lineRule="exact" w:line="276" w:before="0" w:after="120"/>
        <w:jc w:val="both"/>
        <w:rPr/>
      </w:pPr>
      <w:r>
        <w:rPr>
          <w:rFonts w:eastAsia="Consolas" w:cs="Consolas" w:ascii="Consolas" w:hAnsi="Consolas"/>
          <w:b w:val="false"/>
          <w:bCs w:val="false"/>
          <w:i w:val="false"/>
          <w:iCs w:val="false"/>
          <w:color w:val="111827"/>
          <w:sz w:val="19"/>
          <w:szCs w:val="19"/>
        </w:rPr>
        <w:t>LegalProfile</w:t>
      </w:r>
      <w:r>
        <w:rPr>
          <w:rFonts w:eastAsia="Calibri" w:cs="Calibri"/>
          <w:b w:val="false"/>
          <w:bCs w:val="false"/>
          <w:i w:val="false"/>
          <w:iCs w:val="false"/>
          <w:color w:val="111827"/>
          <w:sz w:val="21"/>
          <w:szCs w:val="21"/>
        </w:rPr>
        <w:t xml:space="preserve"> gồm </w:t>
      </w:r>
      <w:r>
        <w:rPr>
          <w:rFonts w:eastAsia="Consolas" w:cs="Consolas" w:ascii="Consolas" w:hAnsi="Consolas"/>
          <w:b w:val="false"/>
          <w:bCs w:val="false"/>
          <w:i w:val="false"/>
          <w:iCs w:val="false"/>
          <w:color w:val="111827"/>
          <w:sz w:val="19"/>
          <w:szCs w:val="19"/>
        </w:rPr>
        <w:t>governingLaw</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contractType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maxContractualPenaltyRate</w:t>
      </w:r>
      <w:r>
        <w:rPr>
          <w:rFonts w:eastAsia="Calibri" w:cs="Calibri"/>
          <w:b w:val="false"/>
          <w:bCs w:val="false"/>
          <w:i w:val="false"/>
          <w:iCs w:val="false"/>
          <w:color w:val="111827"/>
          <w:sz w:val="21"/>
          <w:szCs w:val="21"/>
        </w:rPr>
        <w:t xml:space="preserve"> và </w:t>
      </w:r>
      <w:r>
        <w:rPr>
          <w:rFonts w:eastAsia="Consolas" w:cs="Consolas" w:ascii="Consolas" w:hAnsi="Consolas"/>
          <w:b w:val="false"/>
          <w:bCs w:val="false"/>
          <w:i w:val="false"/>
          <w:iCs w:val="false"/>
          <w:color w:val="111827"/>
          <w:sz w:val="19"/>
          <w:szCs w:val="19"/>
        </w:rPr>
        <w:t>damagesPolicy</w:t>
      </w:r>
      <w:r>
        <w:rPr>
          <w:rFonts w:eastAsia="Calibri" w:cs="Calibri"/>
          <w:b w:val="false"/>
          <w:bCs w:val="false"/>
          <w:i w:val="false"/>
          <w:iCs w:val="false"/>
          <w:color w:val="111827"/>
          <w:sz w:val="21"/>
          <w:szCs w:val="21"/>
        </w:rPr>
        <w:t xml:space="preserve">. Với </w:t>
      </w:r>
      <w:r>
        <w:rPr>
          <w:rFonts w:eastAsia="Consolas" w:cs="Consolas" w:ascii="Consolas" w:hAnsi="Consolas"/>
          <w:b w:val="false"/>
          <w:bCs w:val="false"/>
          <w:i w:val="false"/>
          <w:iCs w:val="false"/>
          <w:color w:val="111827"/>
          <w:sz w:val="19"/>
          <w:szCs w:val="19"/>
        </w:rPr>
        <w:t>VN_COMMERCIAL_LAW</w:t>
      </w:r>
      <w:r>
        <w:rPr>
          <w:rFonts w:eastAsia="Calibri" w:cs="Calibri"/>
          <w:b w:val="false"/>
          <w:bCs w:val="false"/>
          <w:i w:val="false"/>
          <w:iCs w:val="false"/>
          <w:color w:val="111827"/>
          <w:sz w:val="21"/>
          <w:szCs w:val="21"/>
        </w:rPr>
        <w:t xml:space="preserve">, thiết kế áp trần contractual penalty 8% cho phần nghĩa vụ bị vi phạm. Ba policy bồi thường được tách: </w:t>
      </w:r>
      <w:r>
        <w:rPr>
          <w:rFonts w:eastAsia="Consolas" w:cs="Consolas" w:ascii="Consolas" w:hAnsi="Consolas"/>
          <w:b w:val="false"/>
          <w:bCs w:val="false"/>
          <w:i w:val="false"/>
          <w:iCs w:val="false"/>
          <w:color w:val="111827"/>
          <w:sz w:val="19"/>
          <w:szCs w:val="19"/>
        </w:rPr>
        <w:t>COMMERCIAL_CUMULATIVE_IF_PROVEN</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CIVIL_PENALTY_ONLY_UNLESS_EXPRESSLY_CUMULATIVE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EXPRESS_PENALTY_ONLY</w:t>
      </w:r>
      <w:r>
        <w:rPr>
          <w:rFonts w:eastAsia="Calibri" w:cs="Calibri"/>
          <w:b w:val="false"/>
          <w:bCs w:val="false"/>
          <w:i w:val="false"/>
          <w:iCs w:val="false"/>
          <w:color w:val="111827"/>
          <w:sz w:val="21"/>
          <w:szCs w:val="21"/>
        </w:rPr>
        <w:t>.</w:t>
      </w:r>
    </w:p>
    <w:p>
      <w:pPr>
        <w:pStyle w:val="Normal"/>
        <w:spacing w:lineRule="exact" w:line="276" w:before="0" w:after="120"/>
        <w:jc w:val="both"/>
        <w:rPr/>
      </w:pPr>
      <w:r>
        <w:rPr>
          <w:rFonts w:eastAsia="Calibri" w:cs="Calibri"/>
          <w:b w:val="false"/>
          <w:bCs w:val="false"/>
          <w:i w:val="false"/>
          <w:iCs w:val="false"/>
          <w:color w:val="111827"/>
          <w:sz w:val="21"/>
          <w:szCs w:val="21"/>
        </w:rPr>
        <w:t>Phân loại deposit theo BLDS Điều 328, tiền phong toả/ký quỹ tại tổ chức tín dụng theo Điều 330 và quan hệ penalty–damages phải được legal validation cho mẫu hợp đồng pilot. Hệ thống không tự suy “cọc = phạt” và không coi mọi chấm dứt là breach. [45], [46]</w:t>
      </w:r>
    </w:p>
    <w:p>
      <w:pPr>
        <w:pStyle w:val="Heading2"/>
        <w:spacing w:before="240" w:after="80"/>
        <w:rPr/>
      </w:pPr>
      <w:bookmarkStart w:id="16" w:name="__RefHeading___Toc525_AgriContract"/>
      <w:bookmarkEnd w:id="16"/>
      <w:r>
        <w:rPr>
          <w:rFonts w:eastAsia="Calibri" w:cs="Calibri" w:ascii="Calibri" w:hAnsi="Calibri"/>
          <w:b/>
          <w:bCs/>
          <w:color w:val="1F2A37"/>
          <w:sz w:val="25"/>
          <w:szCs w:val="25"/>
        </w:rPr>
        <w:t>7.2 Governance và trust boundary</w:t>
      </w:r>
    </w:p>
    <w:p>
      <w:pPr>
        <w:pStyle w:val="Normal"/>
        <w:spacing w:lineRule="exact" w:line="276" w:before="0" w:after="120"/>
        <w:jc w:val="both"/>
        <w:rPr/>
      </w:pPr>
      <w:r>
        <w:rPr>
          <w:rFonts w:eastAsia="Calibri" w:cs="Calibri"/>
          <w:b w:val="false"/>
          <w:bCs w:val="false"/>
          <w:i w:val="false"/>
          <w:iCs w:val="false"/>
          <w:color w:val="111827"/>
          <w:sz w:val="21"/>
          <w:szCs w:val="21"/>
        </w:rPr>
        <w:t xml:space="preserve">Role Phase 2: </w:t>
      </w:r>
      <w:r>
        <w:rPr>
          <w:rFonts w:eastAsia="Consolas" w:cs="Consolas" w:ascii="Consolas" w:hAnsi="Consolas"/>
          <w:b w:val="false"/>
          <w:bCs w:val="false"/>
          <w:i w:val="false"/>
          <w:iCs w:val="false"/>
          <w:color w:val="111827"/>
          <w:sz w:val="19"/>
          <w:szCs w:val="19"/>
        </w:rPr>
        <w:t>BUYER</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SELLER</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ADMIN</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INSPECTOR</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OPERATOR</w:t>
      </w:r>
      <w:r>
        <w:rPr>
          <w:rFonts w:eastAsia="Calibri" w:cs="Calibri"/>
          <w:b w:val="false"/>
          <w:bCs w:val="false"/>
          <w:i w:val="false"/>
          <w:iCs w:val="false"/>
          <w:color w:val="111827"/>
          <w:sz w:val="21"/>
          <w:szCs w:val="21"/>
        </w:rPr>
        <w:t xml:space="preserve">. Maker-checker chỉ áp ở hai điểm high-risk đã thiết kế; người đề xuất không tự approve. Gateway xác thực coarse-grained và strip identity header; owner service chịu ownership/fine-grained authorization. </w:t>
      </w:r>
      <w:r>
        <w:rPr>
          <w:rFonts w:eastAsia="Consolas" w:cs="Consolas" w:ascii="Consolas" w:hAnsi="Consolas"/>
          <w:b w:val="false"/>
          <w:bCs w:val="false"/>
          <w:i w:val="false"/>
          <w:iCs w:val="false"/>
          <w:color w:val="111827"/>
          <w:sz w:val="19"/>
          <w:szCs w:val="19"/>
        </w:rPr>
        <w:t>/internal/**</w:t>
      </w:r>
      <w:r>
        <w:rPr>
          <w:rFonts w:eastAsia="Calibri" w:cs="Calibri"/>
          <w:b w:val="false"/>
          <w:bCs w:val="false"/>
          <w:i w:val="false"/>
          <w:iCs w:val="false"/>
          <w:color w:val="111827"/>
          <w:sz w:val="21"/>
          <w:szCs w:val="21"/>
        </w:rPr>
        <w:t xml:space="preserve"> không có route external và các use case ký/listing/offer fail-closed khi user-service unavailable.</w:t>
      </w:r>
    </w:p>
    <w:p>
      <w:pPr>
        <w:pStyle w:val="Normal"/>
        <w:spacing w:lineRule="exact" w:line="276" w:before="0" w:after="120"/>
        <w:jc w:val="both"/>
        <w:rPr/>
      </w:pPr>
      <w:r>
        <w:rPr>
          <w:rFonts w:eastAsia="Calibri" w:cs="Calibri"/>
          <w:b w:val="false"/>
          <w:bCs w:val="false"/>
          <w:i w:val="false"/>
          <w:iCs w:val="false"/>
          <w:color w:val="111827"/>
          <w:sz w:val="21"/>
          <w:szCs w:val="21"/>
        </w:rPr>
        <w:t xml:space="preserve">External Verifier dùng ES256, canonical JSON, nonce persist và cửa sổ timestamp; lock/unlock đi trực tiếp bank-service, không có Admin bypass hay gateway retry. Đây là </w:t>
      </w:r>
      <w:r>
        <w:rPr>
          <w:rFonts w:eastAsia="Calibri" w:cs="Calibri"/>
          <w:b/>
          <w:bCs/>
          <w:i w:val="false"/>
          <w:iCs w:val="false"/>
          <w:color w:val="111827"/>
          <w:sz w:val="21"/>
          <w:szCs w:val="21"/>
        </w:rPr>
        <w:t>zero-trust-oriented control tại một boundary</w:t>
      </w:r>
      <w:r>
        <w:rPr>
          <w:rFonts w:eastAsia="Calibri" w:cs="Calibri"/>
          <w:b w:val="false"/>
          <w:bCs w:val="false"/>
          <w:i w:val="false"/>
          <w:iCs w:val="false"/>
          <w:color w:val="111827"/>
          <w:sz w:val="21"/>
          <w:szCs w:val="21"/>
        </w:rPr>
        <w:t>, không phải mô hình Zero Trust toàn diện. Nếu verifier key holder và các operator liên quan thông đồng, rủi ro vẫn tồn tại.</w:t>
      </w:r>
    </w:p>
    <w:p>
      <w:pPr>
        <w:pStyle w:val="Heading1"/>
        <w:pBdr>
          <w:bottom w:val="single" w:sz="6" w:space="6" w:color="D1D5DB"/>
        </w:pBdr>
        <w:spacing w:before="320" w:after="120"/>
        <w:rPr/>
      </w:pPr>
      <w:bookmarkStart w:id="17" w:name="__RefHeading___Toc527_AgriContract"/>
      <w:bookmarkEnd w:id="17"/>
      <w:r>
        <w:rPr>
          <w:rFonts w:eastAsia="Calibri" w:cs="Calibri" w:ascii="Calibri" w:hAnsi="Calibri"/>
          <w:b/>
          <w:bCs/>
          <w:color w:val="1F2A37"/>
          <w:sz w:val="30"/>
          <w:szCs w:val="30"/>
        </w:rPr>
        <w:t>8. Ba lớp giá trị</w:t>
      </w:r>
    </w:p>
    <w:tbl>
      <w:tblPr>
        <w:tblW w:w="9638" w:type="dxa"/>
        <w:jc w:val="start"/>
        <w:tblInd w:w="0" w:type="dxa"/>
        <w:tblLayout w:type="fixed"/>
        <w:tblCellMar>
          <w:top w:w="60" w:type="dxa"/>
          <w:start w:w="90" w:type="dxa"/>
          <w:bottom w:w="60" w:type="dxa"/>
          <w:end w:w="90" w:type="dxa"/>
        </w:tblCellMar>
      </w:tblPr>
      <w:tblGrid>
        <w:gridCol w:w="2365"/>
        <w:gridCol w:w="3653"/>
        <w:gridCol w:w="3620"/>
      </w:tblGrid>
      <w:tr>
        <w:trPr>
          <w:tblHeader w:val="true"/>
          <w:cantSplit w:val="true"/>
        </w:trPr>
        <w:tc>
          <w:tcPr>
            <w:tcW w:w="236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Lớp</w:t>
            </w:r>
          </w:p>
        </w:tc>
        <w:tc>
          <w:tcPr>
            <w:tcW w:w="365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Giá trị gần hạn</w:t>
            </w:r>
          </w:p>
        </w:tc>
        <w:tc>
          <w:tcPr>
            <w:tcW w:w="362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exact" w:line="252" w:before="0" w:after="0"/>
              <w:jc w:val="start"/>
              <w:rPr/>
            </w:pPr>
            <w:r>
              <w:rPr>
                <w:rFonts w:eastAsia="Calibri" w:cs="Calibri"/>
                <w:b/>
                <w:bCs/>
                <w:i w:val="false"/>
                <w:iCs w:val="false"/>
                <w:color w:val="FFFFFF"/>
                <w:sz w:val="19"/>
                <w:szCs w:val="19"/>
              </w:rPr>
              <w:t>Điều cần validation</w:t>
            </w:r>
          </w:p>
        </w:tc>
      </w:tr>
      <w:tr>
        <w:trPr>
          <w:cantSplit w:val="true"/>
        </w:trPr>
        <w:tc>
          <w:tcPr>
            <w:tcW w:w="23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Giao dịch</w:t>
            </w:r>
          </w:p>
        </w:tc>
        <w:tc>
          <w:tcPr>
            <w:tcW w:w="365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Điều khoản rõ, milestone funding, đối chiếu giao nhận, hoàn/giải phóng tiền đúng điều kiện</w:t>
            </w:r>
          </w:p>
        </w:tc>
        <w:tc>
          <w:tcPr>
            <w:tcW w:w="36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Mức cọc, cửa sổ thời gian, phí và trải nghiệm hai bên</w:t>
            </w:r>
          </w:p>
        </w:tc>
      </w:tr>
      <w:tr>
        <w:trPr>
          <w:cantSplit w:val="true"/>
        </w:trPr>
        <w:tc>
          <w:tcPr>
            <w:tcW w:w="23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Tin cậy</w:t>
            </w:r>
          </w:p>
        </w:tc>
        <w:tc>
          <w:tcPr>
            <w:tcW w:w="365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Attribution tách allegation/final decision; audit trail; reputation dựa trên fact cuối</w:t>
            </w:r>
          </w:p>
        </w:tc>
        <w:tc>
          <w:tcPr>
            <w:tcW w:w="36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exact" w:line="252" w:before="0" w:after="0"/>
              <w:jc w:val="start"/>
              <w:rPr/>
            </w:pPr>
            <w:r>
              <w:rPr>
                <w:rFonts w:eastAsia="Calibri" w:cs="Calibri"/>
                <w:b w:val="false"/>
                <w:bCs w:val="false"/>
                <w:i w:val="false"/>
                <w:iCs w:val="false"/>
                <w:color w:val="111827"/>
                <w:sz w:val="19"/>
                <w:szCs w:val="19"/>
              </w:rPr>
              <w:t>Tỷ lệ case Rổ A/Rổ B, thời gian review, mức chấp nhận dữ liệu uy tín</w:t>
            </w:r>
          </w:p>
        </w:tc>
      </w:tr>
      <w:tr>
        <w:trPr>
          <w:cantSplit w:val="true"/>
        </w:trPr>
        <w:tc>
          <w:tcPr>
            <w:tcW w:w="2365"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Dữ liệu</w:t>
            </w:r>
          </w:p>
        </w:tc>
        <w:tc>
          <w:tcPr>
            <w:tcW w:w="3653"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Read model về termination, milestone, FM, cấu trúc giao dịch và EUDR evidence</w:t>
            </w:r>
          </w:p>
        </w:tc>
        <w:tc>
          <w:tcPr>
            <w:tcW w:w="3620" w:type="dxa"/>
            <w:tcBorders>
              <w:top w:val="single" w:sz="4" w:space="0" w:color="D1D5DB"/>
              <w:start w:val="single" w:sz="4" w:space="0" w:color="D1D5DB"/>
              <w:bottom w:val="single" w:sz="4" w:space="0" w:color="D1D5DB"/>
              <w:end w:val="single" w:sz="4" w:space="0" w:color="D1D5DB"/>
            </w:tcBorders>
            <w:vAlign w:val="center"/>
          </w:tcPr>
          <w:p>
            <w:pPr>
              <w:pStyle w:val="Normal"/>
              <w:spacing w:lineRule="exact" w:line="252" w:before="0" w:after="0"/>
              <w:jc w:val="start"/>
              <w:rPr/>
            </w:pPr>
            <w:r>
              <w:rPr>
                <w:rFonts w:eastAsia="Calibri" w:cs="Calibri"/>
                <w:b w:val="false"/>
                <w:bCs w:val="false"/>
                <w:i w:val="false"/>
                <w:iCs w:val="false"/>
                <w:color w:val="111827"/>
                <w:sz w:val="19"/>
                <w:szCs w:val="19"/>
              </w:rPr>
              <w:t>Chất lượng dữ liệu, quyền sử dụng, utility cho ngân hàng/hiệp hội</w:t>
            </w:r>
          </w:p>
        </w:tc>
      </w:tr>
    </w:tbl>
    <w:p>
      <w:pPr>
        <w:pStyle w:val="Normal"/>
        <w:spacing w:lineRule="exact" w:line="276" w:before="0" w:after="120"/>
        <w:jc w:val="both"/>
        <w:rPr/>
      </w:pPr>
      <w:r>
        <w:rPr>
          <w:rFonts w:eastAsia="Calibri" w:cs="Calibri"/>
          <w:b w:val="false"/>
          <w:bCs w:val="false"/>
          <w:i w:val="false"/>
          <w:iCs w:val="false"/>
          <w:color w:val="111827"/>
          <w:sz w:val="21"/>
          <w:szCs w:val="21"/>
        </w:rPr>
        <w:t>ROI và willingness-to-pay chưa được chứng minh bằng dữ liệu sơ cấp; phải đo trong pilot thay vì suy từ tổng kim ngạch ngành.</w:t>
      </w:r>
    </w:p>
    <w:p>
      <w:pPr>
        <w:pStyle w:val="Heading1"/>
        <w:pBdr>
          <w:bottom w:val="single" w:sz="6" w:space="6" w:color="D1D5DB"/>
        </w:pBdr>
        <w:spacing w:before="320" w:after="120"/>
        <w:rPr/>
      </w:pPr>
      <w:bookmarkStart w:id="18" w:name="__RefHeading___Toc529_AgriContract"/>
      <w:bookmarkEnd w:id="18"/>
      <w:r>
        <w:rPr>
          <w:rFonts w:eastAsia="Calibri" w:cs="Calibri" w:ascii="Calibri" w:hAnsi="Calibri"/>
          <w:b/>
          <w:bCs/>
          <w:color w:val="1F2A37"/>
          <w:sz w:val="30"/>
          <w:szCs w:val="30"/>
        </w:rPr>
        <w:t>9. Điểm khác biệt của mô hình</w:t>
      </w:r>
    </w:p>
    <w:p>
      <w:pPr>
        <w:pStyle w:val="Normal"/>
        <w:spacing w:lineRule="exact" w:line="276" w:before="0" w:after="120"/>
        <w:jc w:val="both"/>
        <w:rPr/>
      </w:pPr>
      <w:r>
        <w:rPr>
          <w:rFonts w:eastAsia="Calibri" w:cs="Calibri"/>
          <w:b w:val="false"/>
          <w:bCs w:val="false"/>
          <w:i w:val="false"/>
          <w:iCs w:val="false"/>
          <w:color w:val="111827"/>
          <w:sz w:val="21"/>
          <w:szCs w:val="21"/>
        </w:rPr>
        <w:t>AgriContract không cạnh tranh bằng việc trở thành nhà phân phối hay blockchain công khai. Điểm khác biệt là một contract layer bản địa hoá: (1) legal profile/terms bất biến sau ký; (2) custody boundary tách khỏi nghiệp vụ; (3) milestone và attribution/remedy có invariant bảo toàn tiền; (4) giám định nhiều cấp; (5) audit/notification/data governance tích hợp. So sánh với giải pháp quốc tế chỉ là bằng chứng khái niệm; mức phù hợp tại Việt Nam vẫn cần discovery.</w:t>
      </w:r>
    </w:p>
    <w:p>
      <w:pPr>
        <w:pStyle w:val="Heading1"/>
        <w:pBdr>
          <w:bottom w:val="single" w:sz="6" w:space="6" w:color="D1D5DB"/>
        </w:pBdr>
        <w:spacing w:before="320" w:after="120"/>
        <w:rPr/>
      </w:pPr>
      <w:bookmarkStart w:id="19" w:name="__RefHeading___Toc531_AgriContract"/>
      <w:bookmarkEnd w:id="19"/>
      <w:r>
        <w:rPr>
          <w:rFonts w:eastAsia="Calibri" w:cs="Calibri" w:ascii="Calibri" w:hAnsi="Calibri"/>
          <w:b/>
          <w:bCs/>
          <w:color w:val="1F2A37"/>
          <w:sz w:val="30"/>
          <w:szCs w:val="30"/>
        </w:rPr>
        <w:t>10. Chiến lược vào thị trường — anchor buyer pilot</w:t>
      </w:r>
    </w:p>
    <w:p>
      <w:pPr>
        <w:pStyle w:val="Normal"/>
        <w:spacing w:lineRule="exact" w:line="276" w:before="0" w:after="120"/>
        <w:jc w:val="both"/>
        <w:rPr/>
      </w:pPr>
      <w:r>
        <w:rPr>
          <w:rFonts w:eastAsia="Calibri" w:cs="Calibri"/>
          <w:b w:val="false"/>
          <w:bCs w:val="false"/>
          <w:i w:val="false"/>
          <w:iCs w:val="false"/>
          <w:color w:val="111827"/>
          <w:sz w:val="21"/>
          <w:szCs w:val="21"/>
        </w:rPr>
        <w:t>Pilot nên bắt đầu từ một anchor buyer có mạng lưới HTX/supplier sẵn có, một hoặc hai commodity và contract template được luật sư xác nhận. Phạm vi pilot cần giới hạn số nhánh termination/remedy, ngân hàng/custodian sandbox, tổ chức giám định và KPI release/reconciliation. Không launch hai phía rộng khi chưa đo funnel mời–KYC–listing–ký–funding–settlement.</w:t>
      </w:r>
    </w:p>
    <w:p>
      <w:pPr>
        <w:pStyle w:val="Heading1"/>
        <w:pBdr>
          <w:bottom w:val="single" w:sz="6" w:space="6" w:color="D1D5DB"/>
        </w:pBdr>
        <w:spacing w:before="320" w:after="120"/>
        <w:rPr/>
      </w:pPr>
      <w:bookmarkStart w:id="20" w:name="__RefHeading___Toc533_AgriContract"/>
      <w:bookmarkEnd w:id="20"/>
      <w:r>
        <w:rPr>
          <w:rFonts w:eastAsia="Calibri" w:cs="Calibri" w:ascii="Calibri" w:hAnsi="Calibri"/>
          <w:b/>
          <w:bCs/>
          <w:color w:val="1F2A37"/>
          <w:sz w:val="30"/>
          <w:szCs w:val="30"/>
        </w:rPr>
        <w:t>11. Câu hỏi phản biện trọng yếu</w:t>
      </w:r>
    </w:p>
    <w:p>
      <w:pPr>
        <w:pStyle w:val="Normal"/>
        <w:spacing w:lineRule="exact" w:line="276" w:before="0" w:after="120"/>
        <w:jc w:val="both"/>
        <w:rPr/>
      </w:pPr>
      <w:r>
        <w:rPr>
          <w:rFonts w:eastAsia="Calibri" w:cs="Calibri"/>
          <w:b/>
          <w:bCs/>
          <w:i w:val="false"/>
          <w:iCs w:val="false"/>
          <w:color w:val="111827"/>
          <w:sz w:val="21"/>
          <w:szCs w:val="21"/>
        </w:rPr>
        <w:t>Hệ thống có tự phán xử không?</w:t>
      </w:r>
      <w:r>
        <w:rPr>
          <w:rFonts w:eastAsia="Calibri" w:cs="Calibri"/>
          <w:b w:val="false"/>
          <w:bCs w:val="false"/>
          <w:i w:val="false"/>
          <w:iCs w:val="false"/>
          <w:color w:val="111827"/>
          <w:sz w:val="21"/>
          <w:szCs w:val="21"/>
        </w:rPr>
        <w:t xml:space="preserve"> Không. Rổ A chỉ tự attribution khi evidence khách quan đáp ứng guard đã ký; Rổ B cần review. Hệ thống tạo workflow và bằng chứng, không thay toà án/trọng tài.</w:t>
      </w:r>
    </w:p>
    <w:p>
      <w:pPr>
        <w:pStyle w:val="Normal"/>
        <w:spacing w:lineRule="exact" w:line="276" w:before="0" w:after="120"/>
        <w:jc w:val="both"/>
        <w:rPr/>
      </w:pPr>
      <w:r>
        <w:rPr>
          <w:rFonts w:eastAsia="Calibri" w:cs="Calibri"/>
          <w:b/>
          <w:bCs/>
          <w:i w:val="false"/>
          <w:iCs w:val="false"/>
          <w:color w:val="111827"/>
          <w:sz w:val="21"/>
          <w:szCs w:val="21"/>
        </w:rPr>
        <w:t>Ai giữ tiền?</w:t>
      </w:r>
      <w:r>
        <w:rPr>
          <w:rFonts w:eastAsia="Calibri" w:cs="Calibri"/>
          <w:b w:val="false"/>
          <w:bCs w:val="false"/>
          <w:i w:val="false"/>
          <w:iCs w:val="false"/>
          <w:color w:val="111827"/>
          <w:sz w:val="21"/>
          <w:szCs w:val="21"/>
        </w:rPr>
        <w:t xml:space="preserve"> Trong sản phẩm thật phải là custodian/tổ chức tín dụng hợp pháp. bank-service Phase 2 là ledger/adapter mô phỏng interface, không phải tuyên bố AgriContract được phép giữ tiền.</w:t>
      </w:r>
    </w:p>
    <w:p>
      <w:pPr>
        <w:pStyle w:val="Normal"/>
        <w:spacing w:lineRule="exact" w:line="276" w:before="0" w:after="120"/>
        <w:jc w:val="both"/>
        <w:rPr/>
      </w:pPr>
      <w:r>
        <w:rPr>
          <w:rFonts w:eastAsia="Calibri" w:cs="Calibri"/>
          <w:b/>
          <w:bCs/>
          <w:i w:val="false"/>
          <w:iCs w:val="false"/>
          <w:color w:val="111827"/>
          <w:sz w:val="21"/>
          <w:szCs w:val="21"/>
        </w:rPr>
        <w:t>Người yêu cầu chấm dứt có bị phạt không?</w:t>
      </w:r>
      <w:r>
        <w:rPr>
          <w:rFonts w:eastAsia="Calibri" w:cs="Calibri"/>
          <w:b w:val="false"/>
          <w:bCs w:val="false"/>
          <w:i w:val="false"/>
          <w:iCs w:val="false"/>
          <w:color w:val="111827"/>
          <w:sz w:val="21"/>
          <w:szCs w:val="21"/>
        </w:rPr>
        <w:t xml:space="preserve"> Không mặc định. </w:t>
      </w:r>
      <w:r>
        <w:rPr>
          <w:rFonts w:eastAsia="Consolas" w:cs="Consolas" w:ascii="Consolas" w:hAnsi="Consolas"/>
          <w:b w:val="false"/>
          <w:bCs w:val="false"/>
          <w:i w:val="false"/>
          <w:iCs w:val="false"/>
          <w:color w:val="111827"/>
          <w:sz w:val="19"/>
          <w:szCs w:val="19"/>
        </w:rPr>
        <w:t>requestedBy</w:t>
      </w:r>
      <w:r>
        <w:rPr>
          <w:rFonts w:eastAsia="Calibri" w:cs="Calibri"/>
          <w:b w:val="false"/>
          <w:bCs w:val="false"/>
          <w:i w:val="false"/>
          <w:iCs w:val="false"/>
          <w:color w:val="111827"/>
          <w:sz w:val="21"/>
          <w:szCs w:val="21"/>
        </w:rPr>
        <w:t xml:space="preserve"> và </w:t>
      </w:r>
      <w:r>
        <w:rPr>
          <w:rFonts w:eastAsia="Consolas" w:cs="Consolas" w:ascii="Consolas" w:hAnsi="Consolas"/>
          <w:b w:val="false"/>
          <w:bCs w:val="false"/>
          <w:i w:val="false"/>
          <w:iCs w:val="false"/>
          <w:color w:val="111827"/>
          <w:sz w:val="19"/>
          <w:szCs w:val="19"/>
        </w:rPr>
        <w:t>finalBreachingRole</w:t>
      </w:r>
      <w:r>
        <w:rPr>
          <w:rFonts w:eastAsia="Calibri" w:cs="Calibri"/>
          <w:b w:val="false"/>
          <w:bCs w:val="false"/>
          <w:i w:val="false"/>
          <w:iCs w:val="false"/>
          <w:color w:val="111827"/>
          <w:sz w:val="21"/>
          <w:szCs w:val="21"/>
        </w:rPr>
        <w:t xml:space="preserve"> là hai field khác nhau; sanction chỉ dựa trên quyết định cuối.</w:t>
      </w:r>
    </w:p>
    <w:p>
      <w:pPr>
        <w:pStyle w:val="Normal"/>
        <w:spacing w:lineRule="exact" w:line="276" w:before="0" w:after="120"/>
        <w:jc w:val="both"/>
        <w:rPr/>
      </w:pPr>
      <w:r>
        <w:rPr>
          <w:rFonts w:eastAsia="Calibri" w:cs="Calibri"/>
          <w:b/>
          <w:bCs/>
          <w:i w:val="false"/>
          <w:iCs w:val="false"/>
          <w:color w:val="111827"/>
          <w:sz w:val="21"/>
          <w:szCs w:val="21"/>
        </w:rPr>
        <w:t>Có blockchain/Zero Trust không?</w:t>
      </w:r>
      <w:r>
        <w:rPr>
          <w:rFonts w:eastAsia="Calibri" w:cs="Calibri"/>
          <w:b w:val="false"/>
          <w:bCs w:val="false"/>
          <w:i w:val="false"/>
          <w:iCs w:val="false"/>
          <w:color w:val="111827"/>
          <w:sz w:val="21"/>
          <w:szCs w:val="21"/>
        </w:rPr>
        <w:t xml:space="preserve"> Không claim blockchain hay mô hình Zero Trust toàn diện. Thiết kế dùng hash chain/anchor và một số control zero-trust-oriented phù hợp trusted-operator model.</w:t>
      </w:r>
    </w:p>
    <w:p>
      <w:pPr>
        <w:pStyle w:val="Normal"/>
        <w:spacing w:lineRule="exact" w:line="276" w:before="0" w:after="120"/>
        <w:jc w:val="both"/>
        <w:rPr/>
      </w:pPr>
      <w:r>
        <w:rPr>
          <w:rFonts w:eastAsia="Calibri" w:cs="Calibri"/>
          <w:b/>
          <w:bCs/>
          <w:i w:val="false"/>
          <w:iCs w:val="false"/>
          <w:color w:val="111827"/>
          <w:sz w:val="21"/>
          <w:szCs w:val="21"/>
        </w:rPr>
        <w:t>Tại sao event-driven nhưng không double money?</w:t>
      </w:r>
      <w:r>
        <w:rPr>
          <w:rFonts w:eastAsia="Calibri" w:cs="Calibri"/>
          <w:b w:val="false"/>
          <w:bCs w:val="false"/>
          <w:i w:val="false"/>
          <w:iCs w:val="false"/>
          <w:color w:val="111827"/>
          <w:sz w:val="21"/>
          <w:szCs w:val="21"/>
        </w:rPr>
        <w:t xml:space="preserve"> Transactional outbox + source event id + </w:t>
      </w:r>
      <w:r>
        <w:rPr>
          <w:rFonts w:eastAsia="Consolas" w:cs="Consolas" w:ascii="Consolas" w:hAnsi="Consolas"/>
          <w:b w:val="false"/>
          <w:bCs w:val="false"/>
          <w:i w:val="false"/>
          <w:iCs w:val="false"/>
          <w:color w:val="111827"/>
          <w:sz w:val="19"/>
          <w:szCs w:val="19"/>
        </w:rPr>
        <w:t>remedyLegId</w:t>
      </w:r>
      <w:r>
        <w:rPr>
          <w:rFonts w:eastAsia="Calibri" w:cs="Calibri"/>
          <w:b w:val="false"/>
          <w:bCs w:val="false"/>
          <w:i w:val="false"/>
          <w:iCs w:val="false"/>
          <w:color w:val="111827"/>
          <w:sz w:val="21"/>
          <w:szCs w:val="21"/>
        </w:rPr>
        <w:t xml:space="preserve"> unique + consumer idempotency; terminal lifecycle còn có reconciliation guard và zero-lock invariant.</w:t>
      </w:r>
    </w:p>
    <w:p>
      <w:pPr>
        <w:pStyle w:val="Heading1"/>
        <w:pBdr>
          <w:bottom w:val="single" w:sz="6" w:space="6" w:color="D1D5DB"/>
        </w:pBdr>
        <w:spacing w:before="320" w:after="120"/>
        <w:rPr/>
      </w:pPr>
      <w:bookmarkStart w:id="21" w:name="__RefHeading___Toc535_AgriContract"/>
      <w:bookmarkEnd w:id="21"/>
      <w:r>
        <w:rPr>
          <w:rFonts w:eastAsia="Calibri" w:cs="Calibri" w:ascii="Calibri" w:hAnsi="Calibri"/>
          <w:b/>
          <w:bCs/>
          <w:color w:val="1F2A37"/>
          <w:sz w:val="30"/>
          <w:szCs w:val="30"/>
        </w:rPr>
        <w:t>12. Current Scope</w:t>
      </w:r>
    </w:p>
    <w:p>
      <w:pPr>
        <w:pStyle w:val="Normal"/>
        <w:spacing w:lineRule="exact" w:line="276" w:before="0" w:after="120"/>
        <w:jc w:val="both"/>
        <w:rPr/>
      </w:pPr>
      <w:r>
        <w:rPr>
          <w:rFonts w:eastAsia="Calibri" w:cs="Calibri"/>
          <w:b w:val="false"/>
          <w:bCs w:val="false"/>
          <w:i w:val="false"/>
          <w:iCs w:val="false"/>
          <w:color w:val="111827"/>
          <w:sz w:val="21"/>
          <w:szCs w:val="21"/>
        </w:rPr>
        <w:t xml:space="preserve">Phase 2 bao phủ contract layer cho giao dịch nông sản B2B: listing/offer, terms và hai chữ ký, buyer/seller deposit, milestone funding, delivery/inspection, attribution/remedy, reputation, audit/evidence, notification, pricing tham chiếu, file intake, governance và các projection analytics liên quan. Luồng canonical phân biệt </w:t>
      </w:r>
      <w:r>
        <w:rPr>
          <w:rFonts w:eastAsia="Consolas" w:cs="Consolas" w:ascii="Consolas" w:hAnsi="Consolas"/>
          <w:b w:val="false"/>
          <w:bCs w:val="false"/>
          <w:i w:val="false"/>
          <w:iCs w:val="false"/>
          <w:color w:val="111827"/>
          <w:sz w:val="19"/>
          <w:szCs w:val="19"/>
        </w:rPr>
        <w:t>requestedBy</w:t>
      </w:r>
      <w:r>
        <w:rPr>
          <w:rFonts w:eastAsia="Calibri" w:cs="Calibri"/>
          <w:b w:val="false"/>
          <w:bCs w:val="false"/>
          <w:i w:val="false"/>
          <w:iCs w:val="false"/>
          <w:color w:val="111827"/>
          <w:sz w:val="21"/>
          <w:szCs w:val="21"/>
        </w:rPr>
        <w:t xml:space="preserve">, allegation và </w:t>
      </w:r>
      <w:r>
        <w:rPr>
          <w:rFonts w:eastAsia="Consolas" w:cs="Consolas" w:ascii="Consolas" w:hAnsi="Consolas"/>
          <w:b w:val="false"/>
          <w:bCs w:val="false"/>
          <w:i w:val="false"/>
          <w:iCs w:val="false"/>
          <w:color w:val="111827"/>
          <w:sz w:val="19"/>
          <w:szCs w:val="19"/>
        </w:rPr>
        <w:t>finalBreachingRole</w:t>
      </w:r>
      <w:r>
        <w:rPr>
          <w:rFonts w:eastAsia="Calibri" w:cs="Calibri"/>
          <w:b w:val="false"/>
          <w:bCs w:val="false"/>
          <w:i w:val="false"/>
          <w:iCs w:val="false"/>
          <w:color w:val="111827"/>
          <w:sz w:val="21"/>
          <w:szCs w:val="21"/>
        </w:rPr>
        <w:t xml:space="preserve">; hậu quả chế tài (phạt, tịch thu cọc, bồi thường) và uy tín tiêu cực chỉ phản ứng với </w:t>
      </w:r>
      <w:r>
        <w:rPr>
          <w:rFonts w:eastAsia="Consolas" w:cs="Consolas" w:ascii="Consolas" w:hAnsi="Consolas"/>
          <w:b w:val="false"/>
          <w:bCs w:val="false"/>
          <w:i w:val="false"/>
          <w:iCs w:val="false"/>
          <w:color w:val="111827"/>
          <w:sz w:val="19"/>
          <w:szCs w:val="19"/>
        </w:rPr>
        <w:t>remedy.finalized</w:t>
      </w:r>
      <w:r>
        <w:rPr>
          <w:rFonts w:eastAsia="Calibri" w:cs="Calibri"/>
          <w:b w:val="false"/>
          <w:bCs w:val="false"/>
          <w:i w:val="false"/>
          <w:iCs w:val="false"/>
          <w:color w:val="111827"/>
          <w:sz w:val="21"/>
          <w:szCs w:val="21"/>
        </w:rPr>
        <w:t xml:space="preserve">, còn thanh toán/hoàn tiền milestone thông thường dùng authority của milestone events; terminal lifecycle yêu cầu expected remedy legs hoàn tất và remaining lock bằng </w:t>
      </w:r>
      <w:r>
        <w:rPr>
          <w:rFonts w:eastAsia="Consolas" w:cs="Consolas" w:ascii="Consolas" w:hAnsi="Consolas"/>
          <w:b w:val="false"/>
          <w:bCs w:val="false"/>
          <w:i w:val="false"/>
          <w:iCs w:val="false"/>
          <w:color w:val="111827"/>
          <w:sz w:val="19"/>
          <w:szCs w:val="19"/>
        </w:rPr>
        <w:t>0.00</w:t>
      </w:r>
      <w:r>
        <w:rPr>
          <w:rFonts w:eastAsia="Calibri" w:cs="Calibri"/>
          <w:b w:val="false"/>
          <w:bCs w:val="false"/>
          <w:i w:val="false"/>
          <w:iCs w:val="false"/>
          <w:color w:val="111827"/>
          <w:sz w:val="21"/>
          <w:szCs w:val="21"/>
        </w:rPr>
        <w:t>.</w:t>
      </w:r>
    </w:p>
    <w:p>
      <w:pPr>
        <w:pStyle w:val="Heading1"/>
        <w:pBdr>
          <w:bottom w:val="single" w:sz="6" w:space="6" w:color="D1D5DB"/>
        </w:pBdr>
        <w:spacing w:before="320" w:after="120"/>
        <w:rPr/>
      </w:pPr>
      <w:bookmarkStart w:id="22" w:name="__RefHeading___Toc537_AgriContract"/>
      <w:bookmarkEnd w:id="22"/>
      <w:r>
        <w:rPr>
          <w:rFonts w:eastAsia="Calibri" w:cs="Calibri" w:ascii="Calibri" w:hAnsi="Calibri"/>
          <w:b/>
          <w:bCs/>
          <w:color w:val="1F2A37"/>
          <w:sz w:val="30"/>
          <w:szCs w:val="30"/>
        </w:rPr>
        <w:t>13. Known Limitations</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12 business services, API/event/schema và Verification Matrix là đặc tả thiết kế định hướng triển khai, chưa phải code/production đã chứng minh.</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Không tích hợp ngân hàng thật, CA chữ ký số, tổ chức inspection production, đối tác tín dụng hoặc cold rebuild analytics trong Phase 2 hiện tại.</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Không có full amendment; thay đổi sau ký dùng mutual replacement saga. Mutual termination chỉ cho toàn bộ remaining scope.</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Không tự xử lý logistics, kế toán, bảo hiểm, due-diligence statement EUDR hay phán quyết pháp lý.</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Baseline rừng, plot overlap và yield anomaly là signal/review support; không tự kết luận gian lận hoặc factual truth.</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Pricing scrape/manual có rủi ro độ trễ/nguồn; không phải indexed settlement engine đã hoàn chỉnh.</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External verifier emergency lock là control hẹp; không loại bỏ rủi ro thông đồng và không thay DR/separation of duties.</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Data retention/cross-border/PII, mẫu contract và legal classification phải được validation trước deployment thật.</w:t>
      </w:r>
    </w:p>
    <w:p>
      <w:pPr>
        <w:pStyle w:val="Heading1"/>
        <w:pBdr>
          <w:bottom w:val="single" w:sz="6" w:space="6" w:color="D1D5DB"/>
        </w:pBdr>
        <w:spacing w:before="320" w:after="120"/>
        <w:rPr/>
      </w:pPr>
      <w:bookmarkStart w:id="23" w:name="__RefHeading___Toc539_AgriContract"/>
      <w:bookmarkEnd w:id="23"/>
      <w:r>
        <w:rPr>
          <w:rFonts w:eastAsia="Calibri" w:cs="Calibri" w:ascii="Calibri" w:hAnsi="Calibri"/>
          <w:b/>
          <w:bCs/>
          <w:color w:val="1F2A37"/>
          <w:sz w:val="30"/>
          <w:szCs w:val="30"/>
        </w:rPr>
        <w:t>14. Future Work</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Productionize custodian/ngân hàng, CA/WebAuthn, inspection/accreditation, email/price adapters và OpenTimestamps anchoring.</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Bổ sung ContractVersion amendment, notice–cure–remedy đầy đủ, quality-indexed settlement và payment/security package mở rộng.</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Hoàn thiện mTLS/KMS/HSM, separation of duties, deployment attestation, DR/scale và cross-border/ND13 controls.</w:t>
      </w:r>
    </w:p>
    <w:p>
      <w:pPr>
        <w:pStyle w:val="ListParagraph"/>
        <w:numPr>
          <w:ilvl w:val="0"/>
          <w:numId w:val="1"/>
        </w:numPr>
        <w:spacing w:lineRule="exact" w:line="276" w:before="0" w:after="60"/>
        <w:rPr/>
      </w:pPr>
      <w:r>
        <w:rPr>
          <w:rFonts w:eastAsia="Calibri" w:cs="Calibri"/>
          <w:b w:val="false"/>
          <w:bCs w:val="false"/>
          <w:i w:val="false"/>
          <w:iCs w:val="false"/>
          <w:color w:val="111827"/>
          <w:sz w:val="21"/>
          <w:szCs w:val="21"/>
        </w:rPr>
        <w:t>Tự động hoá giá cao su quốc tế sau khi chốt chuẩn hoá đơn vị/tỷ giá; tích hợp logistics/3PL khi có đối tác thật.</w:t>
      </w:r>
    </w:p>
    <w:p>
      <w:pPr>
        <w:pStyle w:val="Heading1"/>
        <w:pBdr>
          <w:bottom w:val="single" w:sz="6" w:space="6" w:color="D1D5DB"/>
        </w:pBdr>
        <w:spacing w:before="320" w:after="120"/>
        <w:rPr/>
      </w:pPr>
      <w:bookmarkStart w:id="24" w:name="__RefHeading___Toc541_AgriContract"/>
      <w:bookmarkEnd w:id="24"/>
      <w:r>
        <w:rPr>
          <w:rFonts w:eastAsia="Calibri" w:cs="Calibri" w:ascii="Calibri" w:hAnsi="Calibri"/>
          <w:b/>
          <w:bCs/>
          <w:color w:val="1F2A37"/>
          <w:sz w:val="30"/>
          <w:szCs w:val="30"/>
        </w:rPr>
        <w:t>15. Danh mục nguồn tham khảo</w:t>
      </w:r>
    </w:p>
    <w:p>
      <w:pPr>
        <w:pStyle w:val="Normal"/>
        <w:spacing w:lineRule="exact" w:line="276" w:before="0" w:after="120"/>
        <w:jc w:val="both"/>
        <w:rPr/>
      </w:pPr>
      <w:r>
        <w:rPr>
          <w:rFonts w:eastAsia="Calibri" w:cs="Calibri"/>
          <w:b w:val="false"/>
          <w:bCs w:val="false"/>
          <w:i w:val="false"/>
          <w:iCs w:val="false"/>
          <w:color w:val="111827"/>
          <w:sz w:val="21"/>
          <w:szCs w:val="21"/>
        </w:rPr>
        <w:t>[15] T. T. Nguyen et al., “Female leadership, internet use, and performance of agricultural cooperatives in Vietnam,” Ann. Public Cooperative Econ., vol. 94, no. 3, 2023, doi: 10.1111/apce.12434.</w:t>
      </w:r>
    </w:p>
    <w:p>
      <w:pPr>
        <w:pStyle w:val="Normal"/>
        <w:spacing w:lineRule="exact" w:line="276" w:before="0" w:after="120"/>
        <w:jc w:val="both"/>
        <w:rPr/>
      </w:pPr>
      <w:r>
        <w:rPr>
          <w:rFonts w:eastAsia="Calibri" w:cs="Calibri"/>
          <w:b w:val="false"/>
          <w:bCs w:val="false"/>
          <w:i w:val="false"/>
          <w:iCs w:val="false"/>
          <w:color w:val="111827"/>
          <w:sz w:val="21"/>
          <w:szCs w:val="21"/>
        </w:rPr>
        <w:t>[16] A. T. Duong, “Unveiling the role of government support: Empirical studies on the performance of cooperatives in Vietnam,” Ann. Public Cooperative Econ., vol. 96, no. 3, 2025, doi: 10.1111/apce.70001.</w:t>
      </w:r>
    </w:p>
    <w:p>
      <w:pPr>
        <w:pStyle w:val="Normal"/>
        <w:spacing w:lineRule="exact" w:line="276" w:before="0" w:after="120"/>
        <w:jc w:val="both"/>
        <w:rPr/>
      </w:pPr>
      <w:r>
        <w:rPr>
          <w:rFonts w:eastAsia="Calibri" w:cs="Calibri"/>
          <w:b w:val="false"/>
          <w:bCs w:val="false"/>
          <w:i w:val="false"/>
          <w:iCs w:val="false"/>
          <w:color w:val="111827"/>
          <w:sz w:val="21"/>
          <w:szCs w:val="21"/>
        </w:rPr>
        <w:t>[18] G. Burtch, Y. Hong, and S. Kumar, “When Does Dispute Resolution Substitute for a Reputation System?,” Prod. Oper. Manag., vol. 30, no. 6, 2020, doi: 10.1111/poms.13341.</w:t>
      </w:r>
    </w:p>
    <w:p>
      <w:pPr>
        <w:pStyle w:val="Normal"/>
        <w:spacing w:lineRule="exact" w:line="276" w:before="0" w:after="120"/>
        <w:jc w:val="both"/>
        <w:rPr/>
      </w:pPr>
      <w:r>
        <w:rPr>
          <w:rFonts w:eastAsia="Calibri" w:cs="Calibri"/>
          <w:b w:val="false"/>
          <w:bCs w:val="false"/>
          <w:i w:val="false"/>
          <w:iCs w:val="false"/>
          <w:color w:val="111827"/>
          <w:sz w:val="21"/>
          <w:szCs w:val="21"/>
        </w:rPr>
        <w:t>[20] J. R. Wolf and W. A. Muhanna, “Feedback Mechanisms, Judgment Bias, and Trust Formation in Online Auctions,” Decision Sciences, vol. 42, no. 1, 2011, doi: 10.1111/j.1540-5915.2010.00301.x.</w:t>
      </w:r>
    </w:p>
    <w:p>
      <w:pPr>
        <w:pStyle w:val="Normal"/>
        <w:spacing w:lineRule="exact" w:line="276" w:before="0" w:after="120"/>
        <w:jc w:val="both"/>
        <w:rPr/>
      </w:pPr>
      <w:r>
        <w:rPr>
          <w:rFonts w:eastAsia="Calibri" w:cs="Calibri"/>
          <w:b w:val="false"/>
          <w:bCs w:val="false"/>
          <w:i w:val="false"/>
          <w:iCs w:val="false"/>
          <w:color w:val="111827"/>
          <w:sz w:val="21"/>
          <w:szCs w:val="21"/>
        </w:rPr>
        <w:t>[27] Quốc hội Việt Nam, Luật Giao dịch điện tử số 20/2023/QH15, 2023.</w:t>
      </w:r>
    </w:p>
    <w:p>
      <w:pPr>
        <w:pStyle w:val="Normal"/>
        <w:spacing w:lineRule="exact" w:line="276" w:before="0" w:after="120"/>
        <w:jc w:val="both"/>
        <w:rPr/>
      </w:pPr>
      <w:r>
        <w:rPr>
          <w:rFonts w:eastAsia="Calibri" w:cs="Calibri"/>
          <w:b w:val="false"/>
          <w:bCs w:val="false"/>
          <w:i w:val="false"/>
          <w:iCs w:val="false"/>
          <w:color w:val="111827"/>
          <w:sz w:val="21"/>
          <w:szCs w:val="21"/>
        </w:rPr>
        <w:t>[28] Chính phủ Việt Nam, Nghị định 52/2024/NĐ-CP, 2024.</w:t>
      </w:r>
    </w:p>
    <w:p>
      <w:pPr>
        <w:pStyle w:val="Normal"/>
        <w:spacing w:lineRule="exact" w:line="276" w:before="0" w:after="120"/>
        <w:jc w:val="both"/>
        <w:rPr/>
      </w:pPr>
      <w:r>
        <w:rPr>
          <w:rFonts w:eastAsia="Calibri" w:cs="Calibri"/>
          <w:b w:val="false"/>
          <w:bCs w:val="false"/>
          <w:i w:val="false"/>
          <w:iCs w:val="false"/>
          <w:color w:val="111827"/>
          <w:sz w:val="21"/>
          <w:szCs w:val="21"/>
        </w:rPr>
        <w:t>[29] Chính phủ Việt Nam, Nghị định 340/2025/NĐ-CP, 2025.</w:t>
      </w:r>
    </w:p>
    <w:p>
      <w:pPr>
        <w:pStyle w:val="Normal"/>
        <w:spacing w:lineRule="exact" w:line="276" w:before="0" w:after="120"/>
        <w:jc w:val="both"/>
        <w:rPr/>
      </w:pPr>
      <w:r>
        <w:rPr>
          <w:rFonts w:eastAsia="Calibri" w:cs="Calibri"/>
          <w:b w:val="false"/>
          <w:bCs w:val="false"/>
          <w:i w:val="false"/>
          <w:iCs w:val="false"/>
          <w:color w:val="111827"/>
          <w:sz w:val="21"/>
          <w:szCs w:val="21"/>
        </w:rPr>
        <w:t>[45] Quốc hội Việt Nam, Bộ luật Dân sự số 91/2015/QH13, 2015.</w:t>
      </w:r>
    </w:p>
    <w:p>
      <w:pPr>
        <w:pStyle w:val="Normal"/>
        <w:spacing w:lineRule="exact" w:line="276" w:before="0" w:after="120"/>
        <w:jc w:val="both"/>
        <w:rPr/>
      </w:pPr>
      <w:r>
        <w:rPr>
          <w:rFonts w:eastAsia="Calibri" w:cs="Calibri"/>
          <w:b w:val="false"/>
          <w:bCs w:val="false"/>
          <w:i w:val="false"/>
          <w:iCs w:val="false"/>
          <w:color w:val="111827"/>
          <w:sz w:val="21"/>
          <w:szCs w:val="21"/>
        </w:rPr>
        <w:t>[46] Quốc hội Việt Nam, Luật Thương mại số 36/2005/QH11, 2005.</w:t>
      </w:r>
    </w:p>
    <w:p>
      <w:pPr>
        <w:pStyle w:val="Normal"/>
        <w:pBdr>
          <w:top w:val="single" w:sz="6" w:space="6" w:color="D1D5DB"/>
        </w:pBdr>
        <w:spacing w:before="300" w:after="0"/>
        <w:rPr/>
      </w:pPr>
      <w:r>
        <w:rPr>
          <w:rFonts w:eastAsia="Calibri" w:cs="Calibri"/>
          <w:i/>
          <w:iCs/>
          <w:color w:val="6B7280"/>
          <w:sz w:val="19"/>
          <w:szCs w:val="19"/>
        </w:rPr>
        <w:t xml:space="preserve">— </w:t>
      </w:r>
      <w:r>
        <w:rPr>
          <w:rFonts w:eastAsia="Calibri" w:cs="Calibri"/>
          <w:i/>
          <w:iCs/>
          <w:color w:val="6B7280"/>
          <w:sz w:val="19"/>
          <w:szCs w:val="19"/>
        </w:rPr>
        <w:t>Hết tài liệu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Final · Tháng 7/2026 · Trang </w:t>
    </w:r>
    <w:r>
      <w:rPr/>
      <w:fldChar w:fldCharType="begin"/>
    </w:r>
    <w:r>
      <w:rPr/>
      <w:instrText xml:space="preserve"> PAGE </w:instrText>
    </w:r>
    <w:r>
      <w:rPr/>
      <w:fldChar w:fldCharType="separate"/>
    </w:r>
    <w:r>
      <w:rPr/>
      <w:t>9</w:t>
    </w:r>
    <w:r>
      <w:rPr/>
      <w:fldChar w:fldCharType="end"/>
    </w:r>
    <w:r>
      <w:rPr>
        <w:rFonts w:eastAsia="Calibri" w:cs="Calibri"/>
        <w:color w:val="6B7280"/>
        <w:sz w:val="16"/>
        <w:szCs w:val="16"/>
      </w:rPr>
      <w:t>/</w:t>
    </w:r>
    <w:r>
      <w:rPr/>
      <w:fldChar w:fldCharType="begin"/>
    </w:r>
    <w:r>
      <w:rPr/>
      <w:instrText xml:space="preserve"> NUMPAGES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Final · Tháng 7/2026 · Trang </w:t>
    </w:r>
    <w:r>
      <w:rPr/>
      <w:fldChar w:fldCharType="begin"/>
    </w:r>
    <w:r>
      <w:rPr/>
      <w:instrText xml:space="preserve"> PAGE </w:instrText>
    </w:r>
    <w:r>
      <w:rPr/>
      <w:fldChar w:fldCharType="separate"/>
    </w:r>
    <w:r>
      <w:rPr/>
      <w:t>9</w:t>
    </w:r>
    <w:r>
      <w:rPr/>
      <w:fldChar w:fldCharType="end"/>
    </w:r>
    <w:r>
      <w:rPr>
        <w:rFonts w:eastAsia="Calibri" w:cs="Calibri"/>
        <w:color w:val="6B7280"/>
        <w:sz w:val="16"/>
        <w:szCs w:val="16"/>
      </w:rPr>
      <w:t>/</w:t>
    </w:r>
    <w:r>
      <w:rPr/>
      <w:fldChar w:fldCharType="begin"/>
    </w:r>
    <w:r>
      <w:rPr/>
      <w:instrText xml:space="preserve"> NUMPAGES </w:instrText>
    </w:r>
    <w:r>
      <w:rPr/>
      <w:fldChar w:fldCharType="separate"/>
    </w:r>
    <w:r>
      <w:rPr/>
      <w:t>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Giải pháp và mô hình</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Giải pháp và mô hình</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20"/>
      </w:pPr>
      <w:rPr>
        <w:rFonts w:ascii="Symbol" w:hAnsi="Symbol" w:cs="Symbol" w:hint="default"/>
        <w:color w:val="374151"/>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11827"/>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Heading1">
    <w:name w:val="Heading 1"/>
    <w:basedOn w:val="Heading"/>
    <w:qFormat/>
    <w:pPr>
      <w:outlineLvl w:val="0"/>
    </w:pPr>
    <w:rPr>
      <w:rFonts w:ascii="Calibri" w:hAnsi="Calibri" w:eastAsia="Calibri" w:cs="Calibri"/>
      <w:b/>
      <w:bCs/>
      <w:color w:val="1F2A37"/>
      <w:sz w:val="30"/>
      <w:szCs w:val="30"/>
    </w:rPr>
  </w:style>
  <w:style w:type="paragraph" w:styleId="Heading2">
    <w:name w:val="Heading 2"/>
    <w:basedOn w:val="Heading"/>
    <w:qFormat/>
    <w:pPr>
      <w:outlineLvl w:val="1"/>
    </w:pPr>
    <w:rPr>
      <w:rFonts w:ascii="Calibri" w:hAnsi="Calibri" w:eastAsia="Calibri" w:cs="Calibri"/>
      <w:b/>
      <w:bCs/>
      <w:color w:val="1F2A37"/>
      <w:sz w:val="25"/>
      <w:szCs w:val="25"/>
    </w:rPr>
  </w:style>
  <w:style w:type="paragraph" w:styleId="Heading3">
    <w:name w:val="Heading 3"/>
    <w:basedOn w:val="Heading"/>
    <w:qFormat/>
    <w:pPr>
      <w:outlineLvl w:val="2"/>
    </w:pPr>
    <w:rPr>
      <w:rFonts w:ascii="Calibri" w:hAnsi="Calibri" w:eastAsia="Calibri" w:cs="Calibri"/>
      <w:b/>
      <w:bCs/>
      <w:color w:val="374151"/>
      <w:sz w:val="22"/>
      <w:szCs w:val="22"/>
    </w:rPr>
  </w:style>
  <w:style w:type="paragraph" w:styleId="Heading4">
    <w:name w:val="Heading 4"/>
    <w:basedOn w:val="Heading"/>
    <w:qFormat/>
    <w:pPr>
      <w:outlineLvl w:val="3"/>
    </w:pPr>
    <w:rPr>
      <w:rFonts w:ascii="Calibri" w:hAnsi="Calibri" w:eastAsia="Calibri" w:cs="Calibri"/>
      <w:b/>
      <w:bCs/>
      <w:color w:val="374151"/>
      <w:sz w:val="21"/>
      <w:szCs w:val="21"/>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11827"/>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start="0"/>
    </w:pPr>
    <w:rPr/>
  </w:style>
  <w:style w:type="paragraph" w:styleId="TOC3">
    <w:name w:val="TOC 3"/>
    <w:basedOn w:val="Index"/>
    <w:pPr>
      <w:tabs>
        <w:tab w:val="clear" w:pos="720"/>
        <w:tab w:val="right" w:pos="9071" w:leader="dot"/>
      </w:tabs>
      <w:ind w:hanging="0" w:start="567"/>
    </w:pPr>
    <w:rPr/>
  </w:style>
  <w:style w:type="paragraph" w:styleId="TOC2">
    <w:name w:val="TOC 2"/>
    <w:basedOn w:val="Index"/>
    <w:pPr>
      <w:tabs>
        <w:tab w:val="clear" w:pos="720"/>
        <w:tab w:val="right" w:pos="9355"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2026-07-21T09:59:24Z</dcterms:created>
  <dc:creator>AgriContract</dc:creator>
  <dc:description/>
  <dc:language>en-US</dc:language>
  <cp:lastModifiedBy/>
  <dcterms:modified xsi:type="dcterms:W3CDTF">2026-07-21T09:59:26Z</dcterms:modified>
  <cp:revision>2</cp:revision>
  <dc:subject/>
  <dc:title>AgriContract — Giải pháp và mô hình nghiệp vụ Phase 2 — Final</dc:title>
</cp:coreProperties>
</file>