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Kiến trúc hệ thống Phase 2</w:t>
      </w:r>
    </w:p>
    <w:p>
      <w:pPr>
        <w:pStyle w:val="Normal"/>
        <w:spacing w:before="120" w:after="40"/>
        <w:rPr/>
      </w:pPr>
      <w:r>
        <w:rPr>
          <w:rFonts w:eastAsia="Calibri" w:cs="Calibri"/>
          <w:i/>
          <w:iCs/>
          <w:color w:val="374151"/>
          <w:sz w:val="23"/>
          <w:szCs w:val="23"/>
        </w:rPr>
        <w:t>Boundary, ownership, interaction, trust model, state choreography và quality attributes</w:t>
      </w:r>
    </w:p>
    <w:p>
      <w:pPr>
        <w:pStyle w:val="Normal"/>
        <w:spacing w:before="240" w:after="0"/>
        <w:rPr/>
      </w:pPr>
      <w:r>
        <w:rPr>
          <w:rFonts w:eastAsia="Calibri" w:cs="Calibri"/>
          <w:color w:val="6B7280"/>
          <w:sz w:val="20"/>
          <w:szCs w:val="20"/>
        </w:rPr>
        <w:t>Tài liệu kiến trúc đồ án</w:t>
      </w:r>
    </w:p>
    <w:p>
      <w:pPr>
        <w:pStyle w:val="Normal"/>
        <w:spacing w:before="0" w:after="0"/>
        <w:rPr/>
      </w:pPr>
      <w:r>
        <w:rPr>
          <w:rFonts w:eastAsia="Calibri" w:cs="Calibri"/>
          <w:color w:val="6B7280"/>
          <w:sz w:val="20"/>
          <w:szCs w:val="20"/>
        </w:rPr>
        <w:t>Phiên bản final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2481_AgriContract">
            <w:r>
              <w:rPr>
                <w:rStyle w:val="IndexLink"/>
              </w:rPr>
              <w:t>Tóm tắt điều hành</w:t>
              <w:tab/>
              <w:t>3</w:t>
            </w:r>
          </w:hyperlink>
        </w:p>
        <w:p>
          <w:pPr>
            <w:pStyle w:val="TOC1"/>
            <w:tabs>
              <w:tab w:val="clear" w:pos="9638"/>
              <w:tab w:val="right" w:pos="9637" w:leader="dot"/>
            </w:tabs>
            <w:rPr/>
          </w:pPr>
          <w:hyperlink w:anchor="__RefHeading___Toc2483_AgriContract">
            <w:r>
              <w:rPr>
                <w:rStyle w:val="IndexLink"/>
              </w:rPr>
              <w:t>1. Context, phạm vi và nguyên tắc</w:t>
              <w:tab/>
              <w:t>3</w:t>
            </w:r>
          </w:hyperlink>
        </w:p>
        <w:p>
          <w:pPr>
            <w:pStyle w:val="TOC2"/>
            <w:tabs>
              <w:tab w:val="clear" w:pos="9355"/>
              <w:tab w:val="right" w:pos="9637" w:leader="dot"/>
            </w:tabs>
            <w:rPr/>
          </w:pPr>
          <w:hyperlink w:anchor="__RefHeading___Toc2485_AgriContract">
            <w:r>
              <w:rPr>
                <w:rStyle w:val="IndexLink"/>
              </w:rPr>
              <w:t>1.1 Context hệ thống</w:t>
              <w:tab/>
              <w:t>3</w:t>
            </w:r>
          </w:hyperlink>
        </w:p>
        <w:p>
          <w:pPr>
            <w:pStyle w:val="TOC2"/>
            <w:tabs>
              <w:tab w:val="clear" w:pos="9355"/>
              <w:tab w:val="right" w:pos="9637" w:leader="dot"/>
            </w:tabs>
            <w:rPr/>
          </w:pPr>
          <w:hyperlink w:anchor="__RefHeading___Toc2487_AgriContract">
            <w:r>
              <w:rPr>
                <w:rStyle w:val="IndexLink"/>
              </w:rPr>
              <w:t>1.2 Nguyên tắc kiến trúc</w:t>
              <w:tab/>
              <w:t>3</w:t>
            </w:r>
          </w:hyperlink>
        </w:p>
        <w:p>
          <w:pPr>
            <w:pStyle w:val="TOC1"/>
            <w:tabs>
              <w:tab w:val="clear" w:pos="9638"/>
              <w:tab w:val="right" w:pos="9637" w:leader="dot"/>
            </w:tabs>
            <w:rPr/>
          </w:pPr>
          <w:hyperlink w:anchor="__RefHeading___Toc2489_AgriContract">
            <w:r>
              <w:rPr>
                <w:rStyle w:val="IndexLink"/>
              </w:rPr>
              <w:t>2. Phân rã lớp và trust boundary</w:t>
              <w:tab/>
              <w:t>3</w:t>
            </w:r>
          </w:hyperlink>
        </w:p>
        <w:p>
          <w:pPr>
            <w:pStyle w:val="TOC1"/>
            <w:tabs>
              <w:tab w:val="clear" w:pos="9638"/>
              <w:tab w:val="right" w:pos="9637" w:leader="dot"/>
            </w:tabs>
            <w:rPr/>
          </w:pPr>
          <w:hyperlink w:anchor="__RefHeading___Toc2491_AgriContract">
            <w:r>
              <w:rPr>
                <w:rStyle w:val="IndexLink"/>
              </w:rPr>
              <w:t>3. Service ownership</w:t>
              <w:tab/>
              <w:t>4</w:t>
            </w:r>
          </w:hyperlink>
        </w:p>
        <w:p>
          <w:pPr>
            <w:pStyle w:val="TOC2"/>
            <w:tabs>
              <w:tab w:val="clear" w:pos="9355"/>
              <w:tab w:val="right" w:pos="9637" w:leader="dot"/>
            </w:tabs>
            <w:rPr/>
          </w:pPr>
          <w:hyperlink w:anchor="__RefHeading___Toc2493_AgriContract">
            <w:r>
              <w:rPr>
                <w:rStyle w:val="IndexLink"/>
              </w:rPr>
              <w:t>3.1 Ownership của decision và lifecycle</w:t>
              <w:tab/>
              <w:t>5</w:t>
            </w:r>
          </w:hyperlink>
        </w:p>
        <w:p>
          <w:pPr>
            <w:pStyle w:val="TOC2"/>
            <w:tabs>
              <w:tab w:val="clear" w:pos="9355"/>
              <w:tab w:val="right" w:pos="9637" w:leader="dot"/>
            </w:tabs>
            <w:rPr/>
          </w:pPr>
          <w:hyperlink w:anchor="__RefHeading___Toc2495_AgriContract">
            <w:r>
              <w:rPr>
                <w:rStyle w:val="IndexLink"/>
              </w:rPr>
              <w:t>3.2 Ownership của signature và evidence</w:t>
              <w:tab/>
              <w:t>5</w:t>
            </w:r>
          </w:hyperlink>
        </w:p>
        <w:p>
          <w:pPr>
            <w:pStyle w:val="TOC1"/>
            <w:tabs>
              <w:tab w:val="clear" w:pos="9638"/>
              <w:tab w:val="right" w:pos="9637" w:leader="dot"/>
            </w:tabs>
            <w:rPr/>
          </w:pPr>
          <w:hyperlink w:anchor="__RefHeading___Toc2497_AgriContract">
            <w:r>
              <w:rPr>
                <w:rStyle w:val="IndexLink"/>
              </w:rPr>
              <w:t>4. Integration model và consistency</w:t>
              <w:tab/>
              <w:t>5</w:t>
            </w:r>
          </w:hyperlink>
        </w:p>
        <w:p>
          <w:pPr>
            <w:pStyle w:val="TOC2"/>
            <w:tabs>
              <w:tab w:val="clear" w:pos="9355"/>
              <w:tab w:val="right" w:pos="9637" w:leader="dot"/>
            </w:tabs>
            <w:rPr/>
          </w:pPr>
          <w:hyperlink w:anchor="__RefHeading___Toc2499_AgriContract">
            <w:r>
              <w:rPr>
                <w:rStyle w:val="IndexLink"/>
              </w:rPr>
              <w:t>4.1 Đồng bộ</w:t>
              <w:tab/>
              <w:t>5</w:t>
            </w:r>
          </w:hyperlink>
        </w:p>
        <w:p>
          <w:pPr>
            <w:pStyle w:val="TOC2"/>
            <w:tabs>
              <w:tab w:val="clear" w:pos="9355"/>
              <w:tab w:val="right" w:pos="9637" w:leader="dot"/>
            </w:tabs>
            <w:rPr/>
          </w:pPr>
          <w:hyperlink w:anchor="__RefHeading___Toc2501_AgriContract">
            <w:r>
              <w:rPr>
                <w:rStyle w:val="IndexLink"/>
              </w:rPr>
              <w:t>4.2 Bất đồng bộ</w:t>
              <w:tab/>
              <w:t>5</w:t>
            </w:r>
          </w:hyperlink>
        </w:p>
        <w:p>
          <w:pPr>
            <w:pStyle w:val="TOC2"/>
            <w:tabs>
              <w:tab w:val="clear" w:pos="9355"/>
              <w:tab w:val="right" w:pos="9637" w:leader="dot"/>
            </w:tabs>
            <w:rPr/>
          </w:pPr>
          <w:hyperlink w:anchor="__RefHeading___Toc2503_AgriContract">
            <w:r>
              <w:rPr>
                <w:rStyle w:val="IndexLink"/>
              </w:rPr>
              <w:t>4.3 Idempotency theo boundary</w:t>
              <w:tab/>
              <w:t>6</w:t>
            </w:r>
          </w:hyperlink>
        </w:p>
        <w:p>
          <w:pPr>
            <w:pStyle w:val="TOC2"/>
            <w:tabs>
              <w:tab w:val="clear" w:pos="9355"/>
              <w:tab w:val="right" w:pos="9637" w:leader="dot"/>
            </w:tabs>
            <w:rPr/>
          </w:pPr>
          <w:hyperlink w:anchor="__RefHeading___Toc2505_AgriContract">
            <w:r>
              <w:rPr>
                <w:rStyle w:val="IndexLink"/>
              </w:rPr>
              <w:t>4.4 Completion reconciler</w:t>
              <w:tab/>
              <w:t>6</w:t>
            </w:r>
          </w:hyperlink>
        </w:p>
        <w:p>
          <w:pPr>
            <w:pStyle w:val="TOC1"/>
            <w:tabs>
              <w:tab w:val="clear" w:pos="9638"/>
              <w:tab w:val="right" w:pos="9637" w:leader="dot"/>
            </w:tabs>
            <w:rPr/>
          </w:pPr>
          <w:hyperlink w:anchor="__RefHeading___Toc2507_AgriContract">
            <w:r>
              <w:rPr>
                <w:rStyle w:val="IndexLink"/>
              </w:rPr>
              <w:t>5. Event và command architecture</w:t>
              <w:tab/>
              <w:t>6</w:t>
            </w:r>
          </w:hyperlink>
        </w:p>
        <w:p>
          <w:pPr>
            <w:pStyle w:val="TOC2"/>
            <w:tabs>
              <w:tab w:val="clear" w:pos="9355"/>
              <w:tab w:val="right" w:pos="9637" w:leader="dot"/>
            </w:tabs>
            <w:rPr/>
          </w:pPr>
          <w:hyperlink w:anchor="__RefHeading___Toc2509_AgriContract">
            <w:r>
              <w:rPr>
                <w:rStyle w:val="IndexLink"/>
              </w:rPr>
              <w:t>5.1 Canonical consequence boundary</w:t>
              <w:tab/>
              <w:t>6</w:t>
            </w:r>
          </w:hyperlink>
        </w:p>
        <w:p>
          <w:pPr>
            <w:pStyle w:val="TOC2"/>
            <w:tabs>
              <w:tab w:val="clear" w:pos="9355"/>
              <w:tab w:val="right" w:pos="9637" w:leader="dot"/>
            </w:tabs>
            <w:rPr/>
          </w:pPr>
          <w:hyperlink w:anchor="__RefHeading___Toc2511_AgriContract">
            <w:r>
              <w:rPr>
                <w:rStyle w:val="IndexLink"/>
              </w:rPr>
              <w:t>5.2 Domain/bank event catalog</w:t>
              <w:tab/>
              <w:t>6</w:t>
            </w:r>
          </w:hyperlink>
        </w:p>
        <w:p>
          <w:pPr>
            <w:pStyle w:val="TOC2"/>
            <w:tabs>
              <w:tab w:val="clear" w:pos="9355"/>
              <w:tab w:val="right" w:pos="9637" w:leader="dot"/>
            </w:tabs>
            <w:rPr/>
          </w:pPr>
          <w:hyperlink w:anchor="__RefHeading___Toc2513_AgriContract">
            <w:r>
              <w:rPr>
                <w:rStyle w:val="IndexLink"/>
              </w:rPr>
              <w:t>5.3 Notification command catalog</w:t>
              <w:tab/>
              <w:t>10</w:t>
            </w:r>
          </w:hyperlink>
        </w:p>
        <w:p>
          <w:pPr>
            <w:pStyle w:val="TOC1"/>
            <w:tabs>
              <w:tab w:val="clear" w:pos="9638"/>
              <w:tab w:val="right" w:pos="9637" w:leader="dot"/>
            </w:tabs>
            <w:rPr/>
          </w:pPr>
          <w:hyperlink w:anchor="__RefHeading___Toc2515_AgriContract">
            <w:r>
              <w:rPr>
                <w:rStyle w:val="IndexLink"/>
              </w:rPr>
              <w:t>6. Data architecture và invariant storage</w:t>
              <w:tab/>
              <w:t>11</w:t>
            </w:r>
          </w:hyperlink>
        </w:p>
        <w:p>
          <w:pPr>
            <w:pStyle w:val="TOC2"/>
            <w:tabs>
              <w:tab w:val="clear" w:pos="9355"/>
              <w:tab w:val="right" w:pos="9637" w:leader="dot"/>
            </w:tabs>
            <w:rPr/>
          </w:pPr>
          <w:hyperlink w:anchor="__RefHeading___Toc2517_AgriContract">
            <w:r>
              <w:rPr>
                <w:rStyle w:val="IndexLink"/>
              </w:rPr>
              <w:t>6.1 Database-per-service</w:t>
              <w:tab/>
              <w:t>11</w:t>
            </w:r>
          </w:hyperlink>
        </w:p>
        <w:p>
          <w:pPr>
            <w:pStyle w:val="TOC2"/>
            <w:tabs>
              <w:tab w:val="clear" w:pos="9355"/>
              <w:tab w:val="right" w:pos="9637" w:leader="dot"/>
            </w:tabs>
            <w:rPr/>
          </w:pPr>
          <w:hyperlink w:anchor="__RefHeading___Toc2519_AgriContract">
            <w:r>
              <w:rPr>
                <w:rStyle w:val="IndexLink"/>
              </w:rPr>
              <w:t>6.2 Core persistence constraints</w:t>
              <w:tab/>
              <w:t>11</w:t>
            </w:r>
          </w:hyperlink>
        </w:p>
        <w:p>
          <w:pPr>
            <w:pStyle w:val="TOC1"/>
            <w:tabs>
              <w:tab w:val="clear" w:pos="9638"/>
              <w:tab w:val="right" w:pos="9637" w:leader="dot"/>
            </w:tabs>
            <w:rPr/>
          </w:pPr>
          <w:hyperlink w:anchor="__RefHeading___Toc2521_AgriContract">
            <w:r>
              <w:rPr>
                <w:rStyle w:val="IndexLink"/>
              </w:rPr>
              <w:t>7. State machines và choreography</w:t>
              <w:tab/>
              <w:t>11</w:t>
            </w:r>
          </w:hyperlink>
        </w:p>
        <w:p>
          <w:pPr>
            <w:pStyle w:val="TOC2"/>
            <w:tabs>
              <w:tab w:val="clear" w:pos="9355"/>
              <w:tab w:val="right" w:pos="9637" w:leader="dot"/>
            </w:tabs>
            <w:rPr/>
          </w:pPr>
          <w:hyperlink w:anchor="__RefHeading___Toc2523_AgriContract">
            <w:r>
              <w:rPr>
                <w:rStyle w:val="IndexLink"/>
              </w:rPr>
              <w:t>7.1 Contract lifecycle</w:t>
              <w:tab/>
              <w:t>11</w:t>
            </w:r>
          </w:hyperlink>
        </w:p>
        <w:p>
          <w:pPr>
            <w:pStyle w:val="TOC2"/>
            <w:tabs>
              <w:tab w:val="clear" w:pos="9355"/>
              <w:tab w:val="right" w:pos="9637" w:leader="dot"/>
            </w:tabs>
            <w:rPr/>
          </w:pPr>
          <w:hyperlink w:anchor="__RefHeading___Toc2525_AgriContract">
            <w:r>
              <w:rPr>
                <w:rStyle w:val="IndexLink"/>
              </w:rPr>
              <w:t>7.2 Attribution/remedy</w:t>
              <w:tab/>
              <w:t>12</w:t>
            </w:r>
          </w:hyperlink>
        </w:p>
        <w:p>
          <w:pPr>
            <w:pStyle w:val="TOC2"/>
            <w:tabs>
              <w:tab w:val="clear" w:pos="9355"/>
              <w:tab w:val="right" w:pos="9637" w:leader="dot"/>
            </w:tabs>
            <w:rPr/>
          </w:pPr>
          <w:hyperlink w:anchor="__RefHeading___Toc2527_AgriContract">
            <w:r>
              <w:rPr>
                <w:rStyle w:val="IndexLink"/>
              </w:rPr>
              <w:t>7.3 Milestone/funding</w:t>
              <w:tab/>
              <w:t>12</w:t>
            </w:r>
          </w:hyperlink>
        </w:p>
        <w:p>
          <w:pPr>
            <w:pStyle w:val="TOC2"/>
            <w:tabs>
              <w:tab w:val="clear" w:pos="9355"/>
              <w:tab w:val="right" w:pos="9637" w:leader="dot"/>
            </w:tabs>
            <w:rPr/>
          </w:pPr>
          <w:hyperlink w:anchor="__RefHeading___Toc2529_AgriContract">
            <w:r>
              <w:rPr>
                <w:rStyle w:val="IndexLink"/>
              </w:rPr>
              <w:t>7.4 Mutual replacement saga</w:t>
              <w:tab/>
              <w:t>12</w:t>
            </w:r>
          </w:hyperlink>
        </w:p>
        <w:p>
          <w:pPr>
            <w:pStyle w:val="TOC1"/>
            <w:tabs>
              <w:tab w:val="clear" w:pos="9638"/>
              <w:tab w:val="right" w:pos="9637" w:leader="dot"/>
            </w:tabs>
            <w:rPr/>
          </w:pPr>
          <w:hyperlink w:anchor="__RefHeading___Toc2531_AgriContract">
            <w:r>
              <w:rPr>
                <w:rStyle w:val="IndexLink"/>
              </w:rPr>
              <w:t>8. Security, governance và evidence</w:t>
              <w:tab/>
              <w:t>12</w:t>
            </w:r>
          </w:hyperlink>
        </w:p>
        <w:p>
          <w:pPr>
            <w:pStyle w:val="TOC2"/>
            <w:tabs>
              <w:tab w:val="clear" w:pos="9355"/>
              <w:tab w:val="right" w:pos="9637" w:leader="dot"/>
            </w:tabs>
            <w:rPr/>
          </w:pPr>
          <w:hyperlink w:anchor="__RefHeading___Toc2533_AgriContract">
            <w:r>
              <w:rPr>
                <w:rStyle w:val="IndexLink"/>
              </w:rPr>
              <w:t>8.1 Authentication/authorization</w:t>
              <w:tab/>
              <w:t>12</w:t>
            </w:r>
          </w:hyperlink>
        </w:p>
        <w:p>
          <w:pPr>
            <w:pStyle w:val="TOC2"/>
            <w:tabs>
              <w:tab w:val="clear" w:pos="9355"/>
              <w:tab w:val="right" w:pos="9637" w:leader="dot"/>
            </w:tabs>
            <w:rPr/>
          </w:pPr>
          <w:hyperlink w:anchor="__RefHeading___Toc2535_AgriContract">
            <w:r>
              <w:rPr>
                <w:rStyle w:val="IndexLink"/>
              </w:rPr>
              <w:t>8.2 External Verifier emergency control</w:t>
              <w:tab/>
              <w:t>12</w:t>
            </w:r>
          </w:hyperlink>
        </w:p>
        <w:p>
          <w:pPr>
            <w:pStyle w:val="TOC2"/>
            <w:tabs>
              <w:tab w:val="clear" w:pos="9355"/>
              <w:tab w:val="right" w:pos="9637" w:leader="dot"/>
            </w:tabs>
            <w:rPr/>
          </w:pPr>
          <w:hyperlink w:anchor="__RefHeading___Toc2537_AgriContract">
            <w:r>
              <w:rPr>
                <w:rStyle w:val="IndexLink"/>
              </w:rPr>
              <w:t>8.3 Evidence scope</w:t>
              <w:tab/>
              <w:t>12</w:t>
            </w:r>
          </w:hyperlink>
        </w:p>
        <w:p>
          <w:pPr>
            <w:pStyle w:val="TOC2"/>
            <w:tabs>
              <w:tab w:val="clear" w:pos="9355"/>
              <w:tab w:val="right" w:pos="9637" w:leader="dot"/>
            </w:tabs>
            <w:rPr/>
          </w:pPr>
          <w:hyperlink w:anchor="__RefHeading___Toc2539_AgriContract">
            <w:r>
              <w:rPr>
                <w:rStyle w:val="IndexLink"/>
              </w:rPr>
              <w:t>8.4 Retention/DR</w:t>
              <w:tab/>
              <w:t>12</w:t>
            </w:r>
          </w:hyperlink>
        </w:p>
        <w:p>
          <w:pPr>
            <w:pStyle w:val="TOC1"/>
            <w:tabs>
              <w:tab w:val="clear" w:pos="9638"/>
              <w:tab w:val="right" w:pos="9637" w:leader="dot"/>
            </w:tabs>
            <w:rPr/>
          </w:pPr>
          <w:hyperlink w:anchor="__RefHeading___Toc2541_AgriContract">
            <w:r>
              <w:rPr>
                <w:rStyle w:val="IndexLink"/>
              </w:rPr>
              <w:t>9. Deployment và quality attributes</w:t>
              <w:tab/>
              <w:t>12</w:t>
            </w:r>
          </w:hyperlink>
        </w:p>
        <w:p>
          <w:pPr>
            <w:pStyle w:val="TOC1"/>
            <w:tabs>
              <w:tab w:val="clear" w:pos="9638"/>
              <w:tab w:val="right" w:pos="9637" w:leader="dot"/>
            </w:tabs>
            <w:rPr/>
          </w:pPr>
          <w:hyperlink w:anchor="__RefHeading___Toc2543_AgriContract">
            <w:r>
              <w:rPr>
                <w:rStyle w:val="IndexLink"/>
              </w:rPr>
              <w:t>10. API surface overview</w:t>
              <w:tab/>
              <w:t>13</w:t>
            </w:r>
          </w:hyperlink>
        </w:p>
        <w:p>
          <w:pPr>
            <w:pStyle w:val="TOC1"/>
            <w:tabs>
              <w:tab w:val="clear" w:pos="9638"/>
              <w:tab w:val="right" w:pos="9637" w:leader="dot"/>
            </w:tabs>
            <w:rPr/>
          </w:pPr>
          <w:hyperlink w:anchor="__RefHeading___Toc2545_AgriContract">
            <w:r>
              <w:rPr>
                <w:rStyle w:val="IndexLink"/>
              </w:rPr>
              <w:t>11. Current Scope</w:t>
              <w:tab/>
              <w:t>15</w:t>
            </w:r>
          </w:hyperlink>
        </w:p>
        <w:p>
          <w:pPr>
            <w:pStyle w:val="TOC1"/>
            <w:tabs>
              <w:tab w:val="clear" w:pos="9638"/>
              <w:tab w:val="right" w:pos="9637" w:leader="dot"/>
            </w:tabs>
            <w:rPr/>
          </w:pPr>
          <w:hyperlink w:anchor="__RefHeading___Toc2547_AgriContract">
            <w:r>
              <w:rPr>
                <w:rStyle w:val="IndexLink"/>
              </w:rPr>
              <w:t>12. Known Limitations</w:t>
              <w:tab/>
              <w:t>15</w:t>
            </w:r>
          </w:hyperlink>
        </w:p>
        <w:p>
          <w:pPr>
            <w:pStyle w:val="TOC1"/>
            <w:tabs>
              <w:tab w:val="clear" w:pos="9638"/>
              <w:tab w:val="right" w:pos="9637" w:leader="dot"/>
            </w:tabs>
            <w:rPr/>
          </w:pPr>
          <w:hyperlink w:anchor="__RefHeading___Toc2549_AgriContract">
            <w:r>
              <w:rPr>
                <w:rStyle w:val="IndexLink"/>
              </w:rPr>
              <w:t>13. Future Work</w:t>
              <w:tab/>
              <w:t>16</w:t>
            </w:r>
          </w:hyperlink>
        </w:p>
        <w:p>
          <w:pPr>
            <w:pStyle w:val="TOC1"/>
            <w:tabs>
              <w:tab w:val="clear" w:pos="9638"/>
              <w:tab w:val="right" w:pos="9637" w:leader="dot"/>
            </w:tabs>
            <w:rPr/>
          </w:pPr>
          <w:hyperlink w:anchor="__RefHeading___Toc2551_AgriContract">
            <w:r>
              <w:rPr>
                <w:rStyle w:val="IndexLink"/>
              </w:rPr>
              <w:t>14. Danh mục nguồn tham khảo</w:t>
              <w:tab/>
              <w:t>16</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2481_AgriContract"/>
      <w:bookmarkEnd w:id="0"/>
      <w:r>
        <w:rPr>
          <w:rFonts w:eastAsia="Calibri" w:cs="Calibri" w:ascii="Calibri" w:hAnsi="Calibri"/>
          <w:b/>
          <w:bCs/>
          <w:color w:val="1F2A37"/>
          <w:sz w:val="30"/>
          <w:szCs w:val="30"/>
        </w:rPr>
        <w:t>Tóm tắt điều hành</w:t>
      </w:r>
    </w:p>
    <w:p>
      <w:pPr>
        <w:pStyle w:val="Normal"/>
        <w:spacing w:lineRule="exact" w:line="276" w:before="0" w:after="120"/>
        <w:jc w:val="both"/>
        <w:rPr/>
      </w:pPr>
      <w:r>
        <w:rPr>
          <w:rFonts w:eastAsia="Calibri" w:cs="Calibri"/>
          <w:b w:val="false"/>
          <w:bCs w:val="false"/>
          <w:i w:val="false"/>
          <w:iCs w:val="false"/>
          <w:color w:val="111827"/>
          <w:sz w:val="21"/>
          <w:szCs w:val="21"/>
        </w:rPr>
        <w:t xml:space="preserve">Kiến trúc mục tiêu gồm </w:t>
      </w:r>
      <w:r>
        <w:rPr>
          <w:rFonts w:eastAsia="Calibri" w:cs="Calibri"/>
          <w:b/>
          <w:bCs/>
          <w:i w:val="false"/>
          <w:iCs w:val="false"/>
          <w:color w:val="111827"/>
          <w:sz w:val="21"/>
          <w:szCs w:val="21"/>
        </w:rPr>
        <w:t>12 business services</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api-gateway</w:t>
      </w:r>
      <w:r>
        <w:rPr>
          <w:rFonts w:eastAsia="Calibri" w:cs="Calibri"/>
          <w:b w:val="false"/>
          <w:bCs w:val="false"/>
          <w:i w:val="false"/>
          <w:iCs w:val="false"/>
          <w:color w:val="111827"/>
          <w:sz w:val="21"/>
          <w:szCs w:val="21"/>
        </w:rPr>
        <w:t xml:space="preserve"> ở lớp biên. Signature/OTP thuộc </w:t>
      </w:r>
      <w:r>
        <w:rPr>
          <w:rFonts w:eastAsia="Consolas" w:cs="Consolas" w:ascii="Consolas" w:hAnsi="Consolas"/>
          <w:b w:val="false"/>
          <w:bCs w:val="false"/>
          <w:i w:val="false"/>
          <w:iCs w:val="false"/>
          <w:color w:val="111827"/>
          <w:sz w:val="19"/>
          <w:szCs w:val="19"/>
        </w:rPr>
        <w:t>contract-service</w:t>
      </w:r>
      <w:r>
        <w:rPr>
          <w:rFonts w:eastAsia="Calibri" w:cs="Calibri"/>
          <w:b w:val="false"/>
          <w:bCs w:val="false"/>
          <w:i w:val="false"/>
          <w:iCs w:val="false"/>
          <w:color w:val="111827"/>
          <w:sz w:val="21"/>
          <w:szCs w:val="21"/>
        </w:rPr>
        <w:t xml:space="preserve">; hash chain/anchor thuộc </w:t>
      </w:r>
      <w:r>
        <w:rPr>
          <w:rFonts w:eastAsia="Consolas" w:cs="Consolas" w:ascii="Consolas" w:hAnsi="Consolas"/>
          <w:b w:val="false"/>
          <w:bCs w:val="false"/>
          <w:i w:val="false"/>
          <w:iCs w:val="false"/>
          <w:color w:val="111827"/>
          <w:sz w:val="19"/>
          <w:szCs w:val="19"/>
        </w:rPr>
        <w:t>audit-service</w:t>
      </w:r>
      <w:r>
        <w:rPr>
          <w:rFonts w:eastAsia="Calibri" w:cs="Calibri"/>
          <w:b w:val="false"/>
          <w:bCs w:val="false"/>
          <w:i w:val="false"/>
          <w:iCs w:val="false"/>
          <w:color w:val="111827"/>
          <w:sz w:val="21"/>
          <w:szCs w:val="21"/>
        </w:rPr>
        <w:t>; gateway không được tính như business service. Hệ thống dùng database-per-service, transactional outbox và at-least-once messaging, nhưng đặt guard mạnh hơn trên đường tiền: bank ledger là sổ tiền authoritative, mỗi money leg có idempotency key riêng, và lifecycle terminal chỉ được commit sau ledger reconciliation + zero remaining lock.</w:t>
      </w:r>
    </w:p>
    <w:p>
      <w:pPr>
        <w:pStyle w:val="Normal"/>
        <w:spacing w:lineRule="exact" w:line="276" w:before="0" w:after="120"/>
        <w:jc w:val="both"/>
        <w:rPr/>
      </w:pPr>
      <w:r>
        <w:rPr>
          <w:rFonts w:eastAsia="Calibri" w:cs="Calibri"/>
          <w:b w:val="false"/>
          <w:bCs w:val="false"/>
          <w:i w:val="false"/>
          <w:iCs w:val="false"/>
          <w:color w:val="111827"/>
          <w:sz w:val="21"/>
          <w:szCs w:val="21"/>
        </w:rPr>
        <w:t xml:space="preserve">Ranh giới quan trọng nhất là </w:t>
      </w:r>
      <w:r>
        <w:rPr>
          <w:rFonts w:eastAsia="Calibri" w:cs="Calibri"/>
          <w:b/>
          <w:bCs/>
          <w:i w:val="false"/>
          <w:iCs w:val="false"/>
          <w:color w:val="111827"/>
          <w:sz w:val="21"/>
          <w:szCs w:val="21"/>
        </w:rPr>
        <w:t>decision trước consequence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allegation và final attribution được tách.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là authority duy nhất cho hậu quả chế tài (phạt, tịch thu cọc, bồi thường) và negative reputation; thanh toán/hoàn tiền milestone thông thường dùng authority của milestone events. </w:t>
      </w:r>
      <w:r>
        <w:rPr>
          <w:rFonts w:eastAsia="Consolas" w:cs="Consolas" w:ascii="Consolas" w:hAnsi="Consolas"/>
          <w:b w:val="false"/>
          <w:bCs w:val="false"/>
          <w:i w:val="false"/>
          <w:iCs w:val="false"/>
          <w:color w:val="111827"/>
          <w:sz w:val="19"/>
          <w:szCs w:val="19"/>
        </w:rPr>
        <w:t>contract.settled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contract.terminated</w:t>
      </w:r>
      <w:r>
        <w:rPr>
          <w:rFonts w:eastAsia="Calibri" w:cs="Calibri"/>
          <w:b w:val="false"/>
          <w:bCs w:val="false"/>
          <w:i w:val="false"/>
          <w:iCs w:val="false"/>
          <w:color w:val="111827"/>
          <w:sz w:val="21"/>
          <w:szCs w:val="21"/>
        </w:rPr>
        <w:t xml:space="preserve"> chỉ phản ánh lifecycle/audit/analytics; bank và reputation không được consume chúng để release/seize/lock.</w:t>
      </w:r>
    </w:p>
    <w:p>
      <w:pPr>
        <w:pStyle w:val="Normal"/>
        <w:spacing w:lineRule="exact" w:line="276" w:before="0" w:after="120"/>
        <w:jc w:val="both"/>
        <w:rPr/>
      </w:pPr>
      <w:r>
        <w:rPr>
          <w:rFonts w:eastAsia="Calibri" w:cs="Calibri"/>
          <w:b w:val="false"/>
          <w:bCs w:val="false"/>
          <w:i w:val="false"/>
          <w:iCs w:val="false"/>
          <w:color w:val="111827"/>
          <w:sz w:val="21"/>
          <w:szCs w:val="21"/>
        </w:rPr>
        <w:t>Kiến trúc áp dụng các control zero-trust-oriented tại edge, internal route và External Verifier, nhưng không claim mô hình Zero Trust toàn diện. Bank thật, CA signature, external inspection production và một số DR/data integration vẫn ngoài phạm vi Phase 2 implementation.</w:t>
      </w:r>
    </w:p>
    <w:p>
      <w:pPr>
        <w:pStyle w:val="Heading1"/>
        <w:pBdr>
          <w:bottom w:val="single" w:sz="6" w:space="6" w:color="D1D5DB"/>
        </w:pBdr>
        <w:spacing w:before="320" w:after="120"/>
        <w:rPr/>
      </w:pPr>
      <w:bookmarkStart w:id="1" w:name="__RefHeading___Toc2483_AgriContract"/>
      <w:bookmarkEnd w:id="1"/>
      <w:r>
        <w:rPr>
          <w:rFonts w:eastAsia="Calibri" w:cs="Calibri" w:ascii="Calibri" w:hAnsi="Calibri"/>
          <w:b/>
          <w:bCs/>
          <w:color w:val="1F2A37"/>
          <w:sz w:val="30"/>
          <w:szCs w:val="30"/>
        </w:rPr>
        <w:t>1. Context, phạm vi và nguyên tắc</w:t>
      </w:r>
    </w:p>
    <w:p>
      <w:pPr>
        <w:pStyle w:val="Heading2"/>
        <w:spacing w:before="240" w:after="80"/>
        <w:rPr/>
      </w:pPr>
      <w:bookmarkStart w:id="2" w:name="__RefHeading___Toc2485_AgriContract"/>
      <w:bookmarkEnd w:id="2"/>
      <w:r>
        <w:rPr>
          <w:rFonts w:eastAsia="Calibri" w:cs="Calibri" w:ascii="Calibri" w:hAnsi="Calibri"/>
          <w:b/>
          <w:bCs/>
          <w:color w:val="1F2A37"/>
          <w:sz w:val="25"/>
          <w:szCs w:val="25"/>
        </w:rPr>
        <w:t>1.1 Context hệ thống</w:t>
      </w:r>
    </w:p>
    <w:p>
      <w:pPr>
        <w:pStyle w:val="Normal"/>
        <w:spacing w:lineRule="exact" w:line="276" w:before="0" w:after="120"/>
        <w:jc w:val="both"/>
        <w:rPr/>
      </w:pPr>
      <w:r>
        <w:rPr>
          <w:rFonts w:eastAsia="Calibri" w:cs="Calibri"/>
          <w:b w:val="false"/>
          <w:bCs w:val="false"/>
          <w:i w:val="false"/>
          <w:iCs w:val="false"/>
          <w:color w:val="111827"/>
          <w:sz w:val="21"/>
          <w:szCs w:val="21"/>
        </w:rPr>
        <w:t xml:space="preserve">External actors gồm Buyer, Seller, Inspector, Admin, Operator, External Verifier, tổ chức giám định Level 2, nhà cung cấp email/OTP, nguồn giá và custodian/ngân hàng. Tất cả request người dùng đi qua Nginx/API Gateway; </w:t>
      </w:r>
      <w:r>
        <w:rPr>
          <w:rFonts w:eastAsia="Consolas" w:cs="Consolas" w:ascii="Consolas" w:hAnsi="Consolas"/>
          <w:b w:val="false"/>
          <w:bCs w:val="false"/>
          <w:i w:val="false"/>
          <w:iCs w:val="false"/>
          <w:color w:val="111827"/>
          <w:sz w:val="19"/>
          <w:szCs w:val="19"/>
        </w:rPr>
        <w:t>/internal/**</w:t>
      </w:r>
      <w:r>
        <w:rPr>
          <w:rFonts w:eastAsia="Calibri" w:cs="Calibri"/>
          <w:b w:val="false"/>
          <w:bCs w:val="false"/>
          <w:i w:val="false"/>
          <w:iCs w:val="false"/>
          <w:color w:val="111827"/>
          <w:sz w:val="21"/>
          <w:szCs w:val="21"/>
        </w:rPr>
        <w:t xml:space="preserve"> chỉ cho service-to-service. External Verifier là ngoại lệ có endpoint ký ES256 trực tiếp tới bank-service qua route chuyên biệt, không JWT và không retry.</w:t>
      </w:r>
    </w:p>
    <w:p>
      <w:pPr>
        <w:pStyle w:val="Heading2"/>
        <w:spacing w:before="240" w:after="80"/>
        <w:rPr/>
      </w:pPr>
      <w:bookmarkStart w:id="3" w:name="__RefHeading___Toc2487_AgriContract"/>
      <w:bookmarkEnd w:id="3"/>
      <w:r>
        <w:rPr>
          <w:rFonts w:eastAsia="Calibri" w:cs="Calibri" w:ascii="Calibri" w:hAnsi="Calibri"/>
          <w:b/>
          <w:bCs/>
          <w:color w:val="1F2A37"/>
          <w:sz w:val="25"/>
          <w:szCs w:val="25"/>
        </w:rPr>
        <w:t>1.2 Nguyên tắc kiến trúc</w:t>
      </w:r>
    </w:p>
    <w:p>
      <w:pPr>
        <w:pStyle w:val="ListParagraph"/>
        <w:numPr>
          <w:ilvl w:val="0"/>
          <w:numId w:val="3"/>
        </w:numPr>
        <w:spacing w:lineRule="exact" w:line="276" w:before="0" w:after="60"/>
        <w:rPr/>
      </w:pPr>
      <w:r>
        <w:rPr>
          <w:rFonts w:eastAsia="Calibri" w:cs="Calibri"/>
          <w:b w:val="false"/>
          <w:bCs w:val="false"/>
          <w:i w:val="false"/>
          <w:iCs w:val="false"/>
          <w:color w:val="111827"/>
          <w:sz w:val="21"/>
          <w:szCs w:val="21"/>
        </w:rPr>
        <w:t>Business capability ownership rõ và database-per-service; không cross-service DB access.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Rich aggregate/state transition; không để controller hoặc tầng truy cập dữ liệu tự sửa state.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Outbox cùng local transaction; consumer idempotent; DLQ replay giữ event ID gốc.</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Số tiền chỉ authoritative ở bank ledger. escrow/contract giữ projection, expected legs và state, không tạo balance thứ hai.</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Decision side effect có canonical boundary; lifecycle/notification/analytics không được trở thành đường phạt song song.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Immutability áp cho ledger/audit/lock facts; quyền xoá áp qua retention/legal hold/tombstone ở dữ liệu phù hợp.</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Fail-closed cho identity/eligibility/signing/listing/offer; analytics/notification không được chặn đường giao dịch cốt lõi trừ OTP synchronous.</w:t>
      </w:r>
    </w:p>
    <w:p>
      <w:pPr>
        <w:pStyle w:val="Heading1"/>
        <w:pBdr>
          <w:bottom w:val="single" w:sz="6" w:space="6" w:color="D1D5DB"/>
        </w:pBdr>
        <w:spacing w:before="320" w:after="120"/>
        <w:rPr/>
      </w:pPr>
      <w:bookmarkStart w:id="4" w:name="__RefHeading___Toc2489_AgriContract"/>
      <w:bookmarkEnd w:id="4"/>
      <w:r>
        <w:rPr>
          <w:rFonts w:eastAsia="Calibri" w:cs="Calibri" w:ascii="Calibri" w:hAnsi="Calibri"/>
          <w:b/>
          <w:bCs/>
          <w:color w:val="1F2A37"/>
          <w:sz w:val="30"/>
          <w:szCs w:val="30"/>
        </w:rPr>
        <w:t>2. Phân rã lớp và trust boundary</w:t>
      </w:r>
    </w:p>
    <w:tbl>
      <w:tblPr>
        <w:tblW w:w="9638" w:type="dxa"/>
        <w:jc w:val="start"/>
        <w:tblInd w:w="0" w:type="dxa"/>
        <w:tblLayout w:type="fixed"/>
        <w:tblCellMar>
          <w:top w:w="60" w:type="dxa"/>
          <w:start w:w="90" w:type="dxa"/>
          <w:bottom w:w="60" w:type="dxa"/>
          <w:end w:w="90" w:type="dxa"/>
        </w:tblCellMar>
      </w:tblPr>
      <w:tblGrid>
        <w:gridCol w:w="2531"/>
        <w:gridCol w:w="3476"/>
        <w:gridCol w:w="3631"/>
      </w:tblGrid>
      <w:tr>
        <w:trPr>
          <w:tblHeader w:val="true"/>
          <w:cantSplit w:val="true"/>
        </w:trPr>
        <w:tc>
          <w:tcPr>
            <w:tcW w:w="253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Lớp</w:t>
            </w:r>
          </w:p>
        </w:tc>
        <w:tc>
          <w:tcPr>
            <w:tcW w:w="347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Thành phần</w:t>
            </w:r>
          </w:p>
        </w:tc>
        <w:tc>
          <w:tcPr>
            <w:tcW w:w="363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Ranh giới</w:t>
            </w:r>
          </w:p>
        </w:tc>
      </w:tr>
      <w:tr>
        <w:trPr>
          <w:cantSplit w:val="true"/>
        </w:trPr>
        <w:tc>
          <w:tcPr>
            <w:tcW w:w="25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Edge</w:t>
            </w:r>
          </w:p>
        </w:tc>
        <w:tc>
          <w:tcPr>
            <w:tcW w:w="34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Nginx, api-gateway</w:t>
            </w:r>
          </w:p>
        </w:tc>
        <w:tc>
          <w:tcPr>
            <w:tcW w:w="36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TLS termination, size/rate/CORS, JWT, strip/overwrite identity header, coarse role; không fine-grained ownership</w:t>
            </w:r>
          </w:p>
        </w:tc>
      </w:tr>
      <w:tr>
        <w:trPr>
          <w:cantSplit w:val="true"/>
        </w:trPr>
        <w:tc>
          <w:tcPr>
            <w:tcW w:w="25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Business core</w:t>
            </w:r>
          </w:p>
        </w:tc>
        <w:tc>
          <w:tcPr>
            <w:tcW w:w="34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 escrow, bank, inspection, reputation</w:t>
            </w:r>
          </w:p>
        </w:tc>
        <w:tc>
          <w:tcPr>
            <w:tcW w:w="36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State/decision/money/trust facts; transaction và invariant quan trọng</w:t>
            </w:r>
          </w:p>
        </w:tc>
      </w:tr>
      <w:tr>
        <w:trPr>
          <w:cantSplit w:val="true"/>
        </w:trPr>
        <w:tc>
          <w:tcPr>
            <w:tcW w:w="25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Data/support</w:t>
            </w:r>
          </w:p>
        </w:tc>
        <w:tc>
          <w:tcPr>
            <w:tcW w:w="34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user, product, file, pricing, analytics, notification, audit</w:t>
            </w:r>
          </w:p>
        </w:tc>
        <w:tc>
          <w:tcPr>
            <w:tcW w:w="36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Eligibility, evidence, reference data, projection, delivery, verification</w:t>
            </w:r>
          </w:p>
        </w:tc>
      </w:tr>
      <w:tr>
        <w:trPr>
          <w:cantSplit w:val="true"/>
        </w:trPr>
        <w:tc>
          <w:tcPr>
            <w:tcW w:w="25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Infrastructure</w:t>
            </w:r>
          </w:p>
        </w:tc>
        <w:tc>
          <w:tcPr>
            <w:tcW w:w="34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RabbitMQ, MySQL schemas, MinIO, email/OTP, scheduler</w:t>
            </w:r>
          </w:p>
        </w:tc>
        <w:tc>
          <w:tcPr>
            <w:tcW w:w="36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At-least-once, persistence, blob lifecycle, external adapters</w:t>
            </w:r>
          </w:p>
        </w:tc>
      </w:tr>
    </w:tbl>
    <w:p>
      <w:pPr>
        <w:pStyle w:val="Normal"/>
        <w:spacing w:lineRule="exact" w:line="276" w:before="0" w:after="120"/>
        <w:jc w:val="both"/>
        <w:rPr/>
      </w:pPr>
      <w:r>
        <w:rPr>
          <w:rFonts w:eastAsia="Calibri" w:cs="Calibri"/>
          <w:b w:val="false"/>
          <w:bCs w:val="false"/>
          <w:i w:val="false"/>
          <w:iCs w:val="false"/>
          <w:color w:val="111827"/>
          <w:sz w:val="21"/>
          <w:szCs w:val="21"/>
        </w:rPr>
        <w:t xml:space="preserve">Gateway không route </w:t>
      </w:r>
      <w:r>
        <w:rPr>
          <w:rFonts w:eastAsia="Consolas" w:cs="Consolas" w:ascii="Consolas" w:hAnsi="Consolas"/>
          <w:b w:val="false"/>
          <w:bCs w:val="false"/>
          <w:i w:val="false"/>
          <w:iCs w:val="false"/>
          <w:color w:val="111827"/>
          <w:sz w:val="19"/>
          <w:szCs w:val="19"/>
        </w:rPr>
        <w:t>/internal/**</w:t>
      </w:r>
      <w:r>
        <w:rPr>
          <w:rFonts w:eastAsia="Calibri" w:cs="Calibri"/>
          <w:b w:val="false"/>
          <w:bCs w:val="false"/>
          <w:i w:val="false"/>
          <w:iCs w:val="false"/>
          <w:color w:val="111827"/>
          <w:sz w:val="21"/>
          <w:szCs w:val="21"/>
        </w:rPr>
        <w:t xml:space="preserve">; downstream không tin </w:t>
      </w:r>
      <w:r>
        <w:rPr>
          <w:rFonts w:eastAsia="Consolas" w:cs="Consolas" w:ascii="Consolas" w:hAnsi="Consolas"/>
          <w:b w:val="false"/>
          <w:bCs w:val="false"/>
          <w:i w:val="false"/>
          <w:iCs w:val="false"/>
          <w:color w:val="111827"/>
          <w:sz w:val="19"/>
          <w:szCs w:val="19"/>
        </w:rPr>
        <w:t>X-User-*</w:t>
      </w:r>
      <w:r>
        <w:rPr>
          <w:rFonts w:eastAsia="Calibri" w:cs="Calibri"/>
          <w:b w:val="false"/>
          <w:bCs w:val="false"/>
          <w:i w:val="false"/>
          <w:iCs w:val="false"/>
          <w:color w:val="111827"/>
          <w:sz w:val="21"/>
          <w:szCs w:val="21"/>
        </w:rPr>
        <w:t xml:space="preserve"> do client cung cấp. Owner service luôn kiểm tra participant/ownership. External Verifier request bị cap 64 KB, canonicalized, verify key/timestamp/nonce/action và không có Admin bypass.</w:t>
      </w:r>
    </w:p>
    <w:p>
      <w:pPr>
        <w:pStyle w:val="Heading1"/>
        <w:pBdr>
          <w:bottom w:val="single" w:sz="6" w:space="6" w:color="D1D5DB"/>
        </w:pBdr>
        <w:spacing w:before="320" w:after="120"/>
        <w:rPr/>
      </w:pPr>
      <w:bookmarkStart w:id="5" w:name="__RefHeading___Toc2491_AgriContract"/>
      <w:bookmarkEnd w:id="5"/>
      <w:r>
        <w:rPr>
          <w:rFonts w:eastAsia="Calibri" w:cs="Calibri" w:ascii="Calibri" w:hAnsi="Calibri"/>
          <w:b/>
          <w:bCs/>
          <w:color w:val="1F2A37"/>
          <w:sz w:val="30"/>
          <w:szCs w:val="30"/>
        </w:rPr>
        <w:t>3. Service ownership</w:t>
      </w:r>
    </w:p>
    <w:tbl>
      <w:tblPr>
        <w:tblW w:w="9638" w:type="dxa"/>
        <w:jc w:val="start"/>
        <w:tblInd w:w="0" w:type="dxa"/>
        <w:tblLayout w:type="fixed"/>
        <w:tblCellMar>
          <w:top w:w="60" w:type="dxa"/>
          <w:start w:w="90" w:type="dxa"/>
          <w:bottom w:w="60" w:type="dxa"/>
          <w:end w:w="90" w:type="dxa"/>
        </w:tblCellMar>
      </w:tblPr>
      <w:tblGrid>
        <w:gridCol w:w="1663"/>
        <w:gridCol w:w="2204"/>
        <w:gridCol w:w="1583"/>
        <w:gridCol w:w="2173"/>
        <w:gridCol w:w="2015"/>
      </w:tblGrid>
      <w:tr>
        <w:trPr>
          <w:tblHeader w:val="true"/>
          <w:cantSplit w:val="true"/>
        </w:trPr>
        <w:tc>
          <w:tcPr>
            <w:tcW w:w="166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Service</w:t>
            </w:r>
          </w:p>
        </w:tc>
        <w:tc>
          <w:tcPr>
            <w:tcW w:w="220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Năng lực sở hữu</w:t>
            </w:r>
          </w:p>
        </w:tc>
        <w:tc>
          <w:tcPr>
            <w:tcW w:w="158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Storage</w:t>
            </w:r>
          </w:p>
        </w:tc>
        <w:tc>
          <w:tcPr>
            <w:tcW w:w="217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Tương tác chính</w:t>
            </w:r>
          </w:p>
        </w:tc>
        <w:tc>
          <w:tcPr>
            <w:tcW w:w="201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Boundary quan trọng</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user-service</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Identity, KYC, role, eligibility và lock projection</w:t>
            </w:r>
          </w:p>
        </w:tc>
        <w:tc>
          <w:tcPr>
            <w:tcW w:w="15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user_db</w:t>
            </w:r>
          </w:p>
        </w:tc>
        <w:tc>
          <w:tcPr>
            <w:tcW w:w="21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 KYC/lock commands; internal eligibility API</w:t>
            </w:r>
          </w:p>
        </w:tc>
        <w:tc>
          <w:tcPr>
            <w:tcW w:w="20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sở hữu reputation ledger</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product-service</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Plot registry, product/listing, commodity gate, geo/yield risk</w:t>
            </w:r>
          </w:p>
        </w:tc>
        <w:tc>
          <w:tcPr>
            <w:tcW w:w="15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product_db</w:t>
            </w:r>
          </w:p>
        </w:tc>
        <w:tc>
          <w:tcPr>
            <w:tcW w:w="21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 eligibility; file.ready</w:t>
            </w:r>
          </w:p>
        </w:tc>
        <w:tc>
          <w:tcPr>
            <w:tcW w:w="20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Plot là seller-owned; overlap là signal</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 milestone, signature/OTP, attribution, remedy, termination</w:t>
            </w:r>
          </w:p>
        </w:tc>
        <w:tc>
          <w:tcPr>
            <w:tcW w:w="15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contract_db</w:t>
            </w:r>
          </w:p>
        </w:tc>
        <w:tc>
          <w:tcPr>
            <w:tcW w:w="21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REST commands; domain events; internal user/OTP</w:t>
            </w:r>
          </w:p>
        </w:tc>
        <w:tc>
          <w:tcPr>
            <w:tcW w:w="20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 duy nhất của business decision và lifecycle</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Projection escrow và chuyển remedy legs thành bank commands</w:t>
            </w:r>
          </w:p>
        </w:tc>
        <w:tc>
          <w:tcPr>
            <w:tcW w:w="15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escrow_db</w:t>
            </w:r>
          </w:p>
        </w:tc>
        <w:tc>
          <w:tcPr>
            <w:tcW w:w="21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contract.signed, remedy.finalized, milestone outcomes, bank results</w:t>
            </w:r>
          </w:p>
        </w:tc>
        <w:tc>
          <w:tcPr>
            <w:tcW w:w="20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sở hữu sổ tiền authoritative</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Append-only monetary ledger, lock/release/refund/seize, security lock</w:t>
            </w:r>
          </w:p>
        </w:tc>
        <w:tc>
          <w:tcPr>
            <w:tcW w:w="15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bank_db</w:t>
            </w:r>
          </w:p>
        </w:tc>
        <w:tc>
          <w:tcPr>
            <w:tcW w:w="21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w:t>
            </w:r>
            <w:r>
              <w:rPr>
                <w:rFonts w:eastAsia="Calibri" w:cs="Calibri"/>
                <w:b w:val="false"/>
                <w:bCs w:val="false"/>
                <w:i/>
                <w:iCs/>
                <w:color w:val="111827"/>
                <w:sz w:val="17"/>
                <w:szCs w:val="17"/>
              </w:rPr>
              <w:t>_requested; structuring signal; external verifier</w:t>
            </w:r>
          </w:p>
        </w:tc>
        <w:tc>
          <w:tcPr>
            <w:tcW w:w="20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Sở hữu sổ tiền authoritative</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inspection-service</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Level 1.5/2 commission, result/report hash, confirmation</w:t>
            </w:r>
          </w:p>
        </w:tc>
        <w:tc>
          <w:tcPr>
            <w:tcW w:w="15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inspection_db</w:t>
            </w:r>
          </w:p>
        </w:tc>
        <w:tc>
          <w:tcPr>
            <w:tcW w:w="21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contract/milestone commands, file.ready</w:t>
            </w:r>
          </w:p>
        </w:tc>
        <w:tc>
          <w:tcPr>
            <w:tcW w:w="20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ra phán quyết pháp lý</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Completion/dispute/lock facts append-only (bất biến theo invariant thiết kế); derived score</w:t>
            </w:r>
          </w:p>
        </w:tc>
        <w:tc>
          <w:tcPr>
            <w:tcW w:w="15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reputation_db</w:t>
            </w:r>
          </w:p>
        </w:tc>
        <w:tc>
          <w:tcPr>
            <w:tcW w:w="21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remedy.finalized, settled facts, risk signals</w:t>
            </w:r>
          </w:p>
        </w:tc>
        <w:tc>
          <w:tcPr>
            <w:tcW w:w="20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Negative consequence chỉ từ remedy.finalized</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Append-only dual hash chain, anchor, verify, evidence query</w:t>
            </w:r>
          </w:p>
        </w:tc>
        <w:tc>
          <w:tcPr>
            <w:tcW w:w="15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audit_db</w:t>
            </w:r>
          </w:p>
        </w:tc>
        <w:tc>
          <w:tcPr>
            <w:tcW w:w="21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evidence/security/domain events</w:t>
            </w:r>
          </w:p>
        </w:tc>
        <w:tc>
          <w:tcPr>
            <w:tcW w:w="20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sửa source facts; dedup source_event_id</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file-service</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Three trust-boundary ingests, malware scan, retention/legal hold</w:t>
            </w:r>
          </w:p>
        </w:tc>
        <w:tc>
          <w:tcPr>
            <w:tcW w:w="15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file_db + MinIO</w:t>
            </w:r>
          </w:p>
        </w:tc>
        <w:tc>
          <w:tcPr>
            <w:tcW w:w="21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upload/email/system-generated; file events</w:t>
            </w:r>
          </w:p>
        </w:tc>
        <w:tc>
          <w:tcPr>
            <w:tcW w:w="20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READY gate trước khi thành evidence</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pricing-service</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PriceQuote, VNSAT/manual ingestion và read API</w:t>
            </w:r>
          </w:p>
        </w:tc>
        <w:tc>
          <w:tcPr>
            <w:tcW w:w="15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pricing_db</w:t>
            </w:r>
          </w:p>
        </w:tc>
        <w:tc>
          <w:tcPr>
            <w:tcW w:w="21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scheduled/admin ingestion</w:t>
            </w:r>
          </w:p>
        </w:tc>
        <w:tc>
          <w:tcPr>
            <w:tcW w:w="20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là settlement engine</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analytics-service</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CQRS read models, monthly recompute, AML structuring signals</w:t>
            </w:r>
          </w:p>
        </w:tc>
        <w:tc>
          <w:tcPr>
            <w:tcW w:w="15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analytics_db</w:t>
            </w:r>
          </w:p>
        </w:tc>
        <w:tc>
          <w:tcPr>
            <w:tcW w:w="21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domain/ledger facts</w:t>
            </w:r>
          </w:p>
        </w:tc>
        <w:tc>
          <w:tcPr>
            <w:tcW w:w="20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Non-critical; catch-up queue backlog only</w:t>
            </w:r>
          </w:p>
        </w:tc>
      </w:tr>
      <w:tr>
        <w:trPr>
          <w:cantSplit w:val="true"/>
        </w:trPr>
        <w:tc>
          <w:tcPr>
            <w:tcW w:w="166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notification-service</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Template delivery, evidence attachment, OTP sync</w:t>
            </w:r>
          </w:p>
        </w:tc>
        <w:tc>
          <w:tcPr>
            <w:tcW w:w="15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notification_db</w:t>
            </w:r>
          </w:p>
        </w:tc>
        <w:tc>
          <w:tcPr>
            <w:tcW w:w="21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notification commands; internal OTP API</w:t>
            </w:r>
          </w:p>
        </w:tc>
        <w:tc>
          <w:tcPr>
            <w:tcW w:w="20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consume business event để tạo sanction</w:t>
            </w:r>
          </w:p>
        </w:tc>
      </w:tr>
    </w:tbl>
    <w:p>
      <w:pPr>
        <w:pStyle w:val="Heading2"/>
        <w:spacing w:before="240" w:after="80"/>
        <w:rPr/>
      </w:pPr>
      <w:bookmarkStart w:id="6" w:name="__RefHeading___Toc2493_AgriContract"/>
      <w:bookmarkEnd w:id="6"/>
      <w:r>
        <w:rPr>
          <w:rFonts w:eastAsia="Calibri" w:cs="Calibri" w:ascii="Calibri" w:hAnsi="Calibri"/>
          <w:b/>
          <w:bCs/>
          <w:color w:val="1F2A37"/>
          <w:sz w:val="25"/>
          <w:szCs w:val="25"/>
        </w:rPr>
        <w:t>3.1 Ownership của decision và lifecycle</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contract-service</w:t>
      </w:r>
      <w:r>
        <w:rPr>
          <w:rFonts w:eastAsia="Calibri" w:cs="Calibri"/>
          <w:b w:val="false"/>
          <w:bCs w:val="false"/>
          <w:i w:val="false"/>
          <w:iCs w:val="false"/>
          <w:color w:val="111827"/>
          <w:sz w:val="21"/>
          <w:szCs w:val="21"/>
        </w:rPr>
        <w:t xml:space="preserve"> sở hữu </w:t>
      </w:r>
      <w:r>
        <w:rPr>
          <w:rFonts w:eastAsia="Consolas" w:cs="Consolas" w:ascii="Consolas" w:hAnsi="Consolas"/>
          <w:b w:val="false"/>
          <w:bCs w:val="false"/>
          <w:i w:val="false"/>
          <w:iCs w:val="false"/>
          <w:color w:val="111827"/>
          <w:sz w:val="19"/>
          <w:szCs w:val="19"/>
        </w:rPr>
        <w:t>BreachCase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AttributionDecision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RemedyDecision</w:t>
      </w:r>
      <w:r>
        <w:rPr>
          <w:rFonts w:eastAsia="Calibri" w:cs="Calibri"/>
          <w:b w:val="false"/>
          <w:bCs w:val="false"/>
          <w:i w:val="false"/>
          <w:iCs w:val="false"/>
          <w:color w:val="111827"/>
          <w:sz w:val="21"/>
          <w:szCs w:val="21"/>
        </w:rPr>
        <w:t xml:space="preserve">, contract/milestone state và phát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escrow-service chỉ dịch từng remedy leg thành bank command; bank-service chỉ thực hiện ledger effect. reputation-service chỉ tạo lock khi payload final cho phép. Cách phân rã này ngăn việc allegation, request initiator hoặc lifecycle event bị biến thành money/reputation consequence.</w:t>
      </w:r>
    </w:p>
    <w:p>
      <w:pPr>
        <w:pStyle w:val="Heading2"/>
        <w:spacing w:before="240" w:after="80"/>
        <w:rPr/>
      </w:pPr>
      <w:bookmarkStart w:id="7" w:name="__RefHeading___Toc2495_AgriContract"/>
      <w:bookmarkEnd w:id="7"/>
      <w:r>
        <w:rPr>
          <w:rFonts w:eastAsia="Calibri" w:cs="Calibri" w:ascii="Calibri" w:hAnsi="Calibri"/>
          <w:b/>
          <w:bCs/>
          <w:color w:val="1F2A37"/>
          <w:sz w:val="25"/>
          <w:szCs w:val="25"/>
        </w:rPr>
        <w:t>3.2 Ownership của signature và evidence</w:t>
      </w:r>
    </w:p>
    <w:p>
      <w:pPr>
        <w:pStyle w:val="Normal"/>
        <w:spacing w:lineRule="exact" w:line="276" w:before="0" w:after="120"/>
        <w:jc w:val="both"/>
        <w:rPr/>
      </w:pPr>
      <w:r>
        <w:rPr>
          <w:rFonts w:eastAsia="Calibri" w:cs="Calibri"/>
          <w:b w:val="false"/>
          <w:bCs w:val="false"/>
          <w:i w:val="false"/>
          <w:iCs w:val="false"/>
          <w:color w:val="111827"/>
          <w:sz w:val="21"/>
          <w:szCs w:val="21"/>
        </w:rPr>
        <w:t>Signature/OTP challenge là domain con của contract-service vì phải binding với exact terms hash và state. audit-service sở hữu audit record/hash/anchor; file-service sở hữu blob lifecycle; inspection-service sở hữu result/report commitment. Các hash khác nhau có mục tiêu khác nhau và không được trộn thành một “hash chung”.</w:t>
      </w:r>
    </w:p>
    <w:p>
      <w:pPr>
        <w:pStyle w:val="Heading1"/>
        <w:pBdr>
          <w:bottom w:val="single" w:sz="6" w:space="6" w:color="D1D5DB"/>
        </w:pBdr>
        <w:spacing w:before="320" w:after="120"/>
        <w:rPr/>
      </w:pPr>
      <w:bookmarkStart w:id="8" w:name="__RefHeading___Toc2497_AgriContract"/>
      <w:bookmarkEnd w:id="8"/>
      <w:r>
        <w:rPr>
          <w:rFonts w:eastAsia="Calibri" w:cs="Calibri" w:ascii="Calibri" w:hAnsi="Calibri"/>
          <w:b/>
          <w:bCs/>
          <w:color w:val="1F2A37"/>
          <w:sz w:val="30"/>
          <w:szCs w:val="30"/>
        </w:rPr>
        <w:t>4. Integration model và consistency</w:t>
      </w:r>
    </w:p>
    <w:p>
      <w:pPr>
        <w:pStyle w:val="Heading2"/>
        <w:spacing w:before="240" w:after="80"/>
        <w:rPr/>
      </w:pPr>
      <w:bookmarkStart w:id="9" w:name="__RefHeading___Toc2499_AgriContract"/>
      <w:bookmarkEnd w:id="9"/>
      <w:r>
        <w:rPr>
          <w:rFonts w:eastAsia="Calibri" w:cs="Calibri" w:ascii="Calibri" w:hAnsi="Calibri"/>
          <w:b/>
          <w:bCs/>
          <w:color w:val="1F2A37"/>
          <w:sz w:val="25"/>
          <w:szCs w:val="25"/>
        </w:rPr>
        <w:t>4.1 Đồng bộ</w:t>
      </w:r>
    </w:p>
    <w:p>
      <w:pPr>
        <w:pStyle w:val="Normal"/>
        <w:spacing w:lineRule="exact" w:line="276" w:before="0" w:after="120"/>
        <w:jc w:val="both"/>
        <w:rPr/>
      </w:pPr>
      <w:r>
        <w:rPr>
          <w:rFonts w:eastAsia="Calibri" w:cs="Calibri"/>
          <w:b w:val="false"/>
          <w:bCs w:val="false"/>
          <w:i w:val="false"/>
          <w:iCs w:val="false"/>
          <w:color w:val="111827"/>
          <w:sz w:val="21"/>
          <w:szCs w:val="21"/>
        </w:rPr>
        <w:t xml:space="preserve">REST chỉ dùng khi caller cần kết quả ngay: command từ UI, internal eligibility, OTP delivery, audit/ledger query phục vụ reconciliation. Mọi write endpoint yêu cầu </w:t>
      </w:r>
      <w:r>
        <w:rPr>
          <w:rFonts w:eastAsia="Consolas" w:cs="Consolas" w:ascii="Consolas" w:hAnsi="Consolas"/>
          <w:b w:val="false"/>
          <w:bCs w:val="false"/>
          <w:i w:val="false"/>
          <w:iCs w:val="false"/>
          <w:color w:val="111827"/>
          <w:sz w:val="19"/>
          <w:szCs w:val="19"/>
        </w:rPr>
        <w:t>Idempotency-Key</w:t>
      </w:r>
      <w:r>
        <w:rPr>
          <w:rFonts w:eastAsia="Calibri" w:cs="Calibri"/>
          <w:b w:val="false"/>
          <w:bCs w:val="false"/>
          <w:i w:val="false"/>
          <w:iCs w:val="false"/>
          <w:color w:val="111827"/>
          <w:sz w:val="21"/>
          <w:szCs w:val="21"/>
        </w:rPr>
        <w:t xml:space="preserve"> theo OpenAPI; identity từ JWT/service auth, không từ body/header client.</w:t>
      </w:r>
    </w:p>
    <w:p>
      <w:pPr>
        <w:pStyle w:val="Heading2"/>
        <w:spacing w:before="240" w:after="80"/>
        <w:rPr/>
      </w:pPr>
      <w:bookmarkStart w:id="10" w:name="__RefHeading___Toc2501_AgriContract"/>
      <w:bookmarkEnd w:id="10"/>
      <w:r>
        <w:rPr>
          <w:rFonts w:eastAsia="Calibri" w:cs="Calibri" w:ascii="Calibri" w:hAnsi="Calibri"/>
          <w:b/>
          <w:bCs/>
          <w:color w:val="1F2A37"/>
          <w:sz w:val="25"/>
          <w:szCs w:val="25"/>
        </w:rPr>
        <w:t>4.2 Bất đồng bộ</w:t>
      </w:r>
    </w:p>
    <w:p>
      <w:pPr>
        <w:pStyle w:val="Normal"/>
        <w:spacing w:lineRule="exact" w:line="276" w:before="0" w:after="120"/>
        <w:jc w:val="both"/>
        <w:rPr/>
      </w:pPr>
      <w:r>
        <w:rPr>
          <w:rFonts w:eastAsia="Calibri" w:cs="Calibri"/>
          <w:b w:val="false"/>
          <w:bCs w:val="false"/>
          <w:i w:val="false"/>
          <w:iCs w:val="false"/>
          <w:color w:val="111827"/>
          <w:sz w:val="21"/>
          <w:szCs w:val="21"/>
        </w:rPr>
        <w:t>RabbitMQ mang domain event, bank command/result và notification command. Event envelope chuẩn có event identity, version, producer, aggregate, timestamp, correlation/causation và payload. Publisher ghi business state + outbox cùng transaction. Consumer lưu processed event/source event trước hoặc cùng side effect.</w:t>
      </w:r>
    </w:p>
    <w:tbl>
      <w:tblPr>
        <w:tblW w:w="9638" w:type="dxa"/>
        <w:jc w:val="start"/>
        <w:tblInd w:w="0" w:type="dxa"/>
        <w:tblLayout w:type="fixed"/>
        <w:tblCellMar>
          <w:top w:w="60" w:type="dxa"/>
          <w:start w:w="90" w:type="dxa"/>
          <w:bottom w:w="60" w:type="dxa"/>
          <w:end w:w="90" w:type="dxa"/>
        </w:tblCellMar>
      </w:tblPr>
      <w:tblGrid>
        <w:gridCol w:w="2098"/>
        <w:gridCol w:w="2309"/>
        <w:gridCol w:w="2197"/>
        <w:gridCol w:w="3033"/>
      </w:tblGrid>
      <w:tr>
        <w:trPr>
          <w:tblHeader w:val="true"/>
          <w:cantSplit w:val="true"/>
        </w:trPr>
        <w:tc>
          <w:tcPr>
            <w:tcW w:w="209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Envelope field</w:t>
            </w:r>
          </w:p>
        </w:tc>
        <w:tc>
          <w:tcPr>
            <w:tcW w:w="230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Yêu cầu</w:t>
            </w:r>
          </w:p>
        </w:tc>
        <w:tc>
          <w:tcPr>
            <w:tcW w:w="219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Kiểu</w:t>
            </w:r>
          </w:p>
        </w:tc>
        <w:tc>
          <w:tcPr>
            <w:tcW w:w="303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Ý nghĩa</w:t>
            </w:r>
          </w:p>
        </w:tc>
      </w:tr>
      <w:tr>
        <w:trPr>
          <w:cantSplit w:val="true"/>
        </w:trPr>
        <w:tc>
          <w:tcPr>
            <w:tcW w:w="20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eventId</w:t>
            </w:r>
          </w:p>
        </w:tc>
        <w:tc>
          <w:tcPr>
            <w:tcW w:w="230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20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eventType</w:t>
            </w:r>
          </w:p>
        </w:tc>
        <w:tc>
          <w:tcPr>
            <w:tcW w:w="230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20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eventVersion</w:t>
            </w:r>
          </w:p>
        </w:tc>
        <w:tc>
          <w:tcPr>
            <w:tcW w:w="230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integer</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20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occurredAt</w:t>
            </w:r>
          </w:p>
        </w:tc>
        <w:tc>
          <w:tcPr>
            <w:tcW w:w="230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20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producer</w:t>
            </w:r>
          </w:p>
        </w:tc>
        <w:tc>
          <w:tcPr>
            <w:tcW w:w="230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20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aggregateId</w:t>
            </w:r>
          </w:p>
        </w:tc>
        <w:tc>
          <w:tcPr>
            <w:tcW w:w="230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identifier of the source aggregate that produced the event.</w:t>
            </w:r>
          </w:p>
        </w:tc>
      </w:tr>
      <w:tr>
        <w:trPr>
          <w:cantSplit w:val="true"/>
        </w:trPr>
        <w:tc>
          <w:tcPr>
            <w:tcW w:w="20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correlationId</w:t>
            </w:r>
          </w:p>
        </w:tc>
        <w:tc>
          <w:tcPr>
            <w:tcW w:w="230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Nullable/tuỳ trường hợp</w:t>
            </w:r>
          </w:p>
        </w:tc>
        <w:tc>
          <w:tcPr>
            <w:tcW w:w="219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 'null']</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Required by contract when the event belongs to a request, saga, or scheduled workflow. The producer must generate it when possible. A standalone event that does not belong to such a workflow may omit it.</w:t>
            </w:r>
          </w:p>
        </w:tc>
      </w:tr>
      <w:tr>
        <w:trPr>
          <w:cantSplit w:val="true"/>
        </w:trPr>
        <w:tc>
          <w:tcPr>
            <w:tcW w:w="20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causationId</w:t>
            </w:r>
          </w:p>
        </w:tc>
        <w:tc>
          <w:tcPr>
            <w:tcW w:w="230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Nullable/tuỳ trường hợp</w:t>
            </w:r>
          </w:p>
        </w:tc>
        <w:tc>
          <w:tcPr>
            <w:tcW w:w="219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 'null']</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Absent or null for a root event. For a derived event, the eventId or commandId that directly caused it. Producers must not fabricate a value for validation.</w:t>
            </w:r>
          </w:p>
        </w:tc>
      </w:tr>
      <w:tr>
        <w:trPr>
          <w:cantSplit w:val="true"/>
        </w:trPr>
        <w:tc>
          <w:tcPr>
            <w:tcW w:w="20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subject</w:t>
            </w:r>
          </w:p>
        </w:tc>
        <w:tc>
          <w:tcPr>
            <w:tcW w:w="230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Nullable/tuỳ trường hợp</w:t>
            </w:r>
          </w:p>
        </w:tc>
        <w:tc>
          <w:tcPr>
            <w:tcW w:w="219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subject</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Optional audit/business subject. Include only when authoritative design defines a subject such as CONTRACT, USER_PAIR, or SYSTEM. It is semantically independent from aggregateId.</w:t>
            </w:r>
          </w:p>
        </w:tc>
      </w:tr>
      <w:tr>
        <w:trPr>
          <w:cantSplit w:val="true"/>
        </w:trPr>
        <w:tc>
          <w:tcPr>
            <w:tcW w:w="20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payload</w:t>
            </w:r>
          </w:p>
        </w:tc>
        <w:tc>
          <w:tcPr>
            <w:tcW w:w="230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19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object</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bl>
    <w:p>
      <w:pPr>
        <w:pStyle w:val="Heading2"/>
        <w:spacing w:before="240" w:after="80"/>
        <w:rPr/>
      </w:pPr>
      <w:bookmarkStart w:id="11" w:name="__RefHeading___Toc2503_AgriContract"/>
      <w:bookmarkEnd w:id="11"/>
      <w:r>
        <w:rPr>
          <w:rFonts w:eastAsia="Calibri" w:cs="Calibri" w:ascii="Calibri" w:hAnsi="Calibri"/>
          <w:b/>
          <w:bCs/>
          <w:color w:val="1F2A37"/>
          <w:sz w:val="25"/>
          <w:szCs w:val="25"/>
        </w:rPr>
        <w:t>4.3 Idempotency theo boundary</w:t>
      </w:r>
    </w:p>
    <w:tbl>
      <w:tblPr>
        <w:tblW w:w="9638" w:type="dxa"/>
        <w:jc w:val="start"/>
        <w:tblInd w:w="0" w:type="dxa"/>
        <w:tblLayout w:type="fixed"/>
        <w:tblCellMar>
          <w:top w:w="60" w:type="dxa"/>
          <w:start w:w="90" w:type="dxa"/>
          <w:bottom w:w="60" w:type="dxa"/>
          <w:end w:w="90" w:type="dxa"/>
        </w:tblCellMar>
      </w:tblPr>
      <w:tblGrid>
        <w:gridCol w:w="2555"/>
        <w:gridCol w:w="3547"/>
        <w:gridCol w:w="3536"/>
      </w:tblGrid>
      <w:tr>
        <w:trPr>
          <w:tblHeader w:val="true"/>
          <w:cantSplit w:val="true"/>
        </w:trPr>
        <w:tc>
          <w:tcPr>
            <w:tcW w:w="255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Boundary</w:t>
            </w:r>
          </w:p>
        </w:tc>
        <w:tc>
          <w:tcPr>
            <w:tcW w:w="354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Dedup key/constraint</w:t>
            </w:r>
          </w:p>
        </w:tc>
        <w:tc>
          <w:tcPr>
            <w:tcW w:w="353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Lý do</w:t>
            </w:r>
          </w:p>
        </w:tc>
      </w:tr>
      <w:tr>
        <w:trPr>
          <w:cantSplit w:val="true"/>
        </w:trPr>
        <w:tc>
          <w:tcPr>
            <w:tcW w:w="255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Bank request</w:t>
            </w:r>
          </w:p>
        </w:tc>
        <w:tc>
          <w:tcPr>
            <w:tcW w:w="354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payload.sourceEventId == envelope.eventId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UNIQUE(source_event_id)</w:t>
            </w:r>
          </w:p>
        </w:tc>
        <w:tc>
          <w:tcPr>
            <w:tcW w:w="353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Duplicate request không tạo bộ ledger thứ hai</w:t>
            </w:r>
          </w:p>
        </w:tc>
      </w:tr>
      <w:tr>
        <w:trPr>
          <w:cantSplit w:val="true"/>
        </w:trPr>
        <w:tc>
          <w:tcPr>
            <w:tcW w:w="25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Remedy leg</w:t>
            </w:r>
          </w:p>
        </w:tc>
        <w:tc>
          <w:tcPr>
            <w:tcW w:w="3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UNIQUE(remedy_leg_id)</w:t>
            </w:r>
            <w:r>
              <w:rPr>
                <w:rFonts w:eastAsia="Calibri" w:cs="Calibri"/>
                <w:b w:val="false"/>
                <w:bCs w:val="false"/>
                <w:i w:val="false"/>
                <w:iCs w:val="false"/>
                <w:color w:val="111827"/>
                <w:sz w:val="19"/>
                <w:szCs w:val="19"/>
              </w:rPr>
              <w:t xml:space="preserve"> khi có</w:t>
            </w:r>
          </w:p>
        </w:tc>
        <w:tc>
          <w:tcPr>
            <w:tcW w:w="353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 xml:space="preserve">Một decision có nhiều leg; không unique </w:t>
            </w:r>
            <w:r>
              <w:rPr>
                <w:rFonts w:eastAsia="Consolas" w:cs="Consolas" w:ascii="Consolas" w:hAnsi="Consolas"/>
                <w:b w:val="false"/>
                <w:bCs w:val="false"/>
                <w:i w:val="false"/>
                <w:iCs w:val="false"/>
                <w:color w:val="111827"/>
                <w:sz w:val="17"/>
                <w:szCs w:val="17"/>
              </w:rPr>
              <w:t>remedyDecisionId</w:t>
            </w:r>
            <w:r>
              <w:rPr>
                <w:rFonts w:eastAsia="Calibri" w:cs="Calibri"/>
                <w:b w:val="false"/>
                <w:bCs w:val="false"/>
                <w:i w:val="false"/>
                <w:iCs w:val="false"/>
                <w:color w:val="111827"/>
                <w:sz w:val="19"/>
                <w:szCs w:val="19"/>
              </w:rPr>
              <w:t xml:space="preserve"> ở ledger</w:t>
            </w:r>
          </w:p>
        </w:tc>
      </w:tr>
      <w:tr>
        <w:trPr>
          <w:cantSplit w:val="true"/>
        </w:trPr>
        <w:tc>
          <w:tcPr>
            <w:tcW w:w="255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Reputation lock</w:t>
            </w:r>
          </w:p>
        </w:tc>
        <w:tc>
          <w:tcPr>
            <w:tcW w:w="354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UNIQUE(remedy_decision_id)</w:t>
            </w:r>
          </w:p>
        </w:tc>
        <w:tc>
          <w:tcPr>
            <w:tcW w:w="353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Một final decision tạo tối đa một negative lock</w:t>
            </w:r>
          </w:p>
        </w:tc>
      </w:tr>
      <w:tr>
        <w:trPr>
          <w:cantSplit w:val="true"/>
        </w:trPr>
        <w:tc>
          <w:tcPr>
            <w:tcW w:w="25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w:t>
            </w:r>
          </w:p>
        </w:tc>
        <w:tc>
          <w:tcPr>
            <w:tcW w:w="3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UNIQUE(audit_record.source_event_id)</w:t>
            </w:r>
          </w:p>
        </w:tc>
        <w:tc>
          <w:tcPr>
            <w:tcW w:w="353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Replay không tạo record/anchor/email thứ hai</w:t>
            </w:r>
          </w:p>
        </w:tc>
      </w:tr>
      <w:tr>
        <w:trPr>
          <w:cantSplit w:val="true"/>
        </w:trPr>
        <w:tc>
          <w:tcPr>
            <w:tcW w:w="255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Notification</w:t>
            </w:r>
          </w:p>
        </w:tc>
        <w:tc>
          <w:tcPr>
            <w:tcW w:w="354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(event_id, recipient_email, notification_type)</w:t>
            </w:r>
          </w:p>
        </w:tc>
        <w:tc>
          <w:tcPr>
            <w:tcW w:w="353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Một command có thể có nhiều recipient/type</w:t>
            </w:r>
          </w:p>
        </w:tc>
      </w:tr>
      <w:tr>
        <w:trPr>
          <w:cantSplit w:val="true"/>
        </w:trPr>
        <w:tc>
          <w:tcPr>
            <w:tcW w:w="25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API command</w:t>
            </w:r>
          </w:p>
        </w:tc>
        <w:tc>
          <w:tcPr>
            <w:tcW w:w="354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Idempotency-Key</w:t>
            </w:r>
            <w:r>
              <w:rPr>
                <w:rFonts w:eastAsia="Calibri" w:cs="Calibri"/>
                <w:b w:val="false"/>
                <w:bCs w:val="false"/>
                <w:i w:val="false"/>
                <w:iCs w:val="false"/>
                <w:color w:val="111827"/>
                <w:sz w:val="19"/>
                <w:szCs w:val="19"/>
              </w:rPr>
              <w:t xml:space="preserve"> + actor/resource/operation scope</w:t>
            </w:r>
          </w:p>
        </w:tc>
        <w:tc>
          <w:tcPr>
            <w:tcW w:w="353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Retry HTTP không lặp business transition</w:t>
            </w:r>
          </w:p>
        </w:tc>
      </w:tr>
    </w:tbl>
    <w:p>
      <w:pPr>
        <w:pStyle w:val="Heading2"/>
        <w:spacing w:before="240" w:after="80"/>
        <w:rPr/>
      </w:pPr>
      <w:bookmarkStart w:id="12" w:name="__RefHeading___Toc2505_AgriContract"/>
      <w:bookmarkEnd w:id="12"/>
      <w:r>
        <w:rPr>
          <w:rFonts w:eastAsia="Calibri" w:cs="Calibri" w:ascii="Calibri" w:hAnsi="Calibri"/>
          <w:b/>
          <w:bCs/>
          <w:color w:val="1F2A37"/>
          <w:sz w:val="25"/>
          <w:szCs w:val="25"/>
        </w:rPr>
        <w:t>4.4 Completion reconciler</w:t>
      </w:r>
    </w:p>
    <w:p>
      <w:pPr>
        <w:pStyle w:val="Normal"/>
        <w:spacing w:lineRule="exact" w:line="276" w:before="0" w:after="120"/>
        <w:jc w:val="both"/>
        <w:rPr/>
      </w:pPr>
      <w:r>
        <w:rPr>
          <w:rFonts w:eastAsia="Calibri" w:cs="Calibri"/>
          <w:b w:val="false"/>
          <w:bCs w:val="false"/>
          <w:i w:val="false"/>
          <w:iCs w:val="false"/>
          <w:color w:val="111827"/>
          <w:sz w:val="21"/>
          <w:szCs w:val="21"/>
        </w:rPr>
        <w:t xml:space="preserve">Contract-service không consume bank result trực tiếp để quyết định terminal. Reconciler đọc internal bank ledger theo </w:t>
      </w:r>
      <w:r>
        <w:rPr>
          <w:rFonts w:eastAsia="Consolas" w:cs="Consolas" w:ascii="Consolas" w:hAnsi="Consolas"/>
          <w:b w:val="false"/>
          <w:bCs w:val="false"/>
          <w:i w:val="false"/>
          <w:iCs w:val="false"/>
          <w:color w:val="111827"/>
          <w:sz w:val="19"/>
          <w:szCs w:val="19"/>
        </w:rPr>
        <w:t>contractId</w:t>
      </w:r>
      <w:r>
        <w:rPr>
          <w:rFonts w:eastAsia="Calibri" w:cs="Calibri"/>
          <w:b w:val="false"/>
          <w:bCs w:val="false"/>
          <w:i w:val="false"/>
          <w:iCs w:val="false"/>
          <w:color w:val="111827"/>
          <w:sz w:val="21"/>
          <w:szCs w:val="21"/>
        </w:rPr>
        <w:t xml:space="preserve">, so expected </w:t>
      </w:r>
      <w:r>
        <w:rPr>
          <w:rFonts w:eastAsia="Consolas" w:cs="Consolas" w:ascii="Consolas" w:hAnsi="Consolas"/>
          <w:b w:val="false"/>
          <w:bCs w:val="false"/>
          <w:i w:val="false"/>
          <w:iCs w:val="false"/>
          <w:color w:val="111827"/>
          <w:sz w:val="19"/>
          <w:szCs w:val="19"/>
        </w:rPr>
        <w:t>remedyDecisionId/remedyLegId</w:t>
      </w:r>
      <w:r>
        <w:rPr>
          <w:rFonts w:eastAsia="Calibri" w:cs="Calibri"/>
          <w:b w:val="false"/>
          <w:bCs w:val="false"/>
          <w:i w:val="false"/>
          <w:iCs w:val="false"/>
          <w:color w:val="111827"/>
          <w:sz w:val="21"/>
          <w:szCs w:val="21"/>
        </w:rPr>
        <w:t xml:space="preserve">, trạng thái leg và remaining lock. Chỉ khi bộ leg đầy đủ và lock bằng 0 mới commit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TERMINATED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SUPERSEDED</w:t>
      </w:r>
      <w:r>
        <w:rPr>
          <w:rFonts w:eastAsia="Calibri" w:cs="Calibri"/>
          <w:b w:val="false"/>
          <w:bCs w:val="false"/>
          <w:i w:val="false"/>
          <w:iCs w:val="false"/>
          <w:color w:val="111827"/>
          <w:sz w:val="21"/>
          <w:szCs w:val="21"/>
        </w:rPr>
        <w:t xml:space="preserve"> hoặc </w:t>
      </w:r>
      <w:r>
        <w:rPr>
          <w:rFonts w:eastAsia="Consolas" w:cs="Consolas" w:ascii="Consolas" w:hAnsi="Consolas"/>
          <w:b w:val="false"/>
          <w:bCs w:val="false"/>
          <w:i w:val="false"/>
          <w:iCs w:val="false"/>
          <w:color w:val="111827"/>
          <w:sz w:val="19"/>
          <w:szCs w:val="19"/>
        </w:rPr>
        <w:t>ACTIVATION_FAILED</w:t>
      </w:r>
      <w:r>
        <w:rPr>
          <w:rFonts w:eastAsia="Calibri" w:cs="Calibri"/>
          <w:b w:val="false"/>
          <w:bCs w:val="false"/>
          <w:i w:val="false"/>
          <w:iCs w:val="false"/>
          <w:color w:val="111827"/>
          <w:sz w:val="21"/>
          <w:szCs w:val="21"/>
        </w:rPr>
        <w:t xml:space="preserve"> và publish lifecycle event.</w:t>
      </w:r>
    </w:p>
    <w:p>
      <w:pPr>
        <w:pStyle w:val="Heading1"/>
        <w:pBdr>
          <w:bottom w:val="single" w:sz="6" w:space="6" w:color="D1D5DB"/>
        </w:pBdr>
        <w:spacing w:before="320" w:after="120"/>
        <w:rPr/>
      </w:pPr>
      <w:bookmarkStart w:id="13" w:name="__RefHeading___Toc2507_AgriContract"/>
      <w:bookmarkEnd w:id="13"/>
      <w:r>
        <w:rPr>
          <w:rFonts w:eastAsia="Calibri" w:cs="Calibri" w:ascii="Calibri" w:hAnsi="Calibri"/>
          <w:b/>
          <w:bCs/>
          <w:color w:val="1F2A37"/>
          <w:sz w:val="30"/>
          <w:szCs w:val="30"/>
        </w:rPr>
        <w:t>5. Event và command architecture</w:t>
      </w:r>
    </w:p>
    <w:p>
      <w:pPr>
        <w:pStyle w:val="Heading2"/>
        <w:spacing w:before="240" w:after="80"/>
        <w:rPr/>
      </w:pPr>
      <w:bookmarkStart w:id="14" w:name="__RefHeading___Toc2509_AgriContract"/>
      <w:bookmarkEnd w:id="14"/>
      <w:r>
        <w:rPr>
          <w:rFonts w:eastAsia="Calibri" w:cs="Calibri" w:ascii="Calibri" w:hAnsi="Calibri"/>
          <w:b/>
          <w:bCs/>
          <w:color w:val="1F2A37"/>
          <w:sz w:val="25"/>
          <w:szCs w:val="25"/>
        </w:rPr>
        <w:t>5.1 Canonical consequence boundary</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producer </w:t>
      </w:r>
      <w:r>
        <w:rPr>
          <w:rFonts w:eastAsia="Consolas" w:cs="Consolas" w:ascii="Consolas" w:hAnsi="Consolas"/>
          <w:b w:val="false"/>
          <w:bCs w:val="false"/>
          <w:i w:val="false"/>
          <w:iCs w:val="false"/>
          <w:color w:val="111827"/>
          <w:sz w:val="19"/>
          <w:szCs w:val="19"/>
        </w:rPr>
        <w:t>contract-service</w:t>
      </w:r>
      <w:r>
        <w:rPr>
          <w:rFonts w:eastAsia="Calibri" w:cs="Calibri"/>
          <w:b w:val="false"/>
          <w:bCs w:val="false"/>
          <w:i w:val="false"/>
          <w:iCs w:val="false"/>
          <w:color w:val="111827"/>
          <w:sz w:val="21"/>
          <w:szCs w:val="21"/>
        </w:rPr>
        <w:t xml:space="preserve">; consumers </w:t>
      </w:r>
      <w:r>
        <w:rPr>
          <w:rFonts w:eastAsia="Consolas" w:cs="Consolas" w:ascii="Consolas" w:hAnsi="Consolas"/>
          <w:b w:val="false"/>
          <w:bCs w:val="false"/>
          <w:i w:val="false"/>
          <w:iCs w:val="false"/>
          <w:color w:val="111827"/>
          <w:sz w:val="19"/>
          <w:szCs w:val="19"/>
        </w:rPr>
        <w:t>escrow-service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reputation-service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audit-service</w:t>
      </w:r>
      <w:r>
        <w:rPr>
          <w:rFonts w:eastAsia="Calibri" w:cs="Calibri"/>
          <w:b w:val="false"/>
          <w:bCs w:val="false"/>
          <w:i w:val="false"/>
          <w:iCs w:val="false"/>
          <w:color w:val="111827"/>
          <w:sz w:val="21"/>
          <w:szCs w:val="21"/>
        </w:rPr>
        <w:t>; sole trigger cho money/reputation consequences.</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contract.terminated</w:t>
      </w:r>
      <w:r>
        <w:rPr>
          <w:rFonts w:eastAsia="Calibri" w:cs="Calibri"/>
          <w:b w:val="false"/>
          <w:bCs w:val="false"/>
          <w:i w:val="false"/>
          <w:iCs w:val="false"/>
          <w:color w:val="111827"/>
          <w:sz w:val="21"/>
          <w:szCs w:val="21"/>
        </w:rPr>
        <w:t xml:space="preserve">: consumers </w:t>
      </w:r>
      <w:r>
        <w:rPr>
          <w:rFonts w:eastAsia="Consolas" w:cs="Consolas" w:ascii="Consolas" w:hAnsi="Consolas"/>
          <w:b w:val="false"/>
          <w:bCs w:val="false"/>
          <w:i w:val="false"/>
          <w:iCs w:val="false"/>
          <w:color w:val="111827"/>
          <w:sz w:val="19"/>
          <w:szCs w:val="19"/>
        </w:rPr>
        <w:t>audit-service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analytics-service</w:t>
      </w:r>
      <w:r>
        <w:rPr>
          <w:rFonts w:eastAsia="Calibri" w:cs="Calibri"/>
          <w:b w:val="false"/>
          <w:bCs w:val="false"/>
          <w:i w:val="false"/>
          <w:iCs w:val="false"/>
          <w:color w:val="111827"/>
          <w:sz w:val="21"/>
          <w:szCs w:val="21"/>
        </w:rPr>
        <w:t xml:space="preserve">; lifecycle facts only. Notification đi qua </w:t>
      </w:r>
      <w:r>
        <w:rPr>
          <w:rFonts w:eastAsia="Consolas" w:cs="Consolas" w:ascii="Consolas" w:hAnsi="Consolas"/>
          <w:b w:val="false"/>
          <w:bCs w:val="false"/>
          <w:i w:val="false"/>
          <w:iCs w:val="false"/>
          <w:color w:val="111827"/>
          <w:sz w:val="19"/>
          <w:szCs w:val="19"/>
        </w:rPr>
        <w:t>notification.contract_terminated_requested</w:t>
      </w:r>
      <w:r>
        <w:rPr>
          <w:rFonts w:eastAsia="Calibri" w:cs="Calibri"/>
          <w:b w:val="false"/>
          <w:bCs w:val="false"/>
          <w:i w:val="false"/>
          <w:iCs w:val="false"/>
          <w:color w:val="111827"/>
          <w:sz w:val="21"/>
          <w:szCs w:val="21"/>
        </w:rPr>
        <w:t>.</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contract.settled</w:t>
      </w:r>
      <w:r>
        <w:rPr>
          <w:rFonts w:eastAsia="Calibri" w:cs="Calibri"/>
          <w:b w:val="false"/>
          <w:bCs w:val="false"/>
          <w:i w:val="false"/>
          <w:iCs w:val="false"/>
          <w:color w:val="111827"/>
          <w:sz w:val="21"/>
          <w:szCs w:val="21"/>
        </w:rPr>
        <w:t>: positive completion/audit/analytics/reputation facts; bank không release deposit từ event này.</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milestone.cancelled_with_penalty</w:t>
      </w:r>
      <w:r>
        <w:rPr>
          <w:rFonts w:eastAsia="Calibri" w:cs="Calibri"/>
          <w:b w:val="false"/>
          <w:bCs w:val="false"/>
          <w:i w:val="false"/>
          <w:iCs w:val="false"/>
          <w:color w:val="111827"/>
          <w:sz w:val="21"/>
          <w:szCs w:val="21"/>
        </w:rPr>
        <w:t>: observational outcome cho analytics/audit; money đã được biểu diễn bằng remedy legs.</w:t>
      </w:r>
    </w:p>
    <w:p>
      <w:pPr>
        <w:pStyle w:val="Heading2"/>
        <w:spacing w:before="240" w:after="80"/>
        <w:rPr/>
      </w:pPr>
      <w:bookmarkStart w:id="15" w:name="__RefHeading___Toc2511_AgriContract"/>
      <w:bookmarkEnd w:id="15"/>
      <w:r>
        <w:rPr>
          <w:rFonts w:eastAsia="Calibri" w:cs="Calibri" w:ascii="Calibri" w:hAnsi="Calibri"/>
          <w:b/>
          <w:bCs/>
          <w:color w:val="1F2A37"/>
          <w:sz w:val="25"/>
          <w:szCs w:val="25"/>
        </w:rPr>
        <w:t>5.2 Domain/bank event catalog</w:t>
      </w:r>
    </w:p>
    <w:tbl>
      <w:tblPr>
        <w:tblW w:w="9638" w:type="dxa"/>
        <w:jc w:val="start"/>
        <w:tblInd w:w="0" w:type="dxa"/>
        <w:tblLayout w:type="fixed"/>
        <w:tblCellMar>
          <w:top w:w="60" w:type="dxa"/>
          <w:start w:w="90" w:type="dxa"/>
          <w:bottom w:w="60" w:type="dxa"/>
          <w:end w:w="90" w:type="dxa"/>
        </w:tblCellMar>
      </w:tblPr>
      <w:tblGrid>
        <w:gridCol w:w="2362"/>
        <w:gridCol w:w="2046"/>
        <w:gridCol w:w="2498"/>
        <w:gridCol w:w="2731"/>
      </w:tblGrid>
      <w:tr>
        <w:trPr>
          <w:tblHeader w:val="true"/>
          <w:cantSplit w:val="true"/>
        </w:trPr>
        <w:tc>
          <w:tcPr>
            <w:tcW w:w="236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Event</w:t>
            </w:r>
          </w:p>
        </w:tc>
        <w:tc>
          <w:tcPr>
            <w:tcW w:w="204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Producer</w:t>
            </w:r>
          </w:p>
        </w:tc>
        <w:tc>
          <w:tcPr>
            <w:tcW w:w="249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Consumers</w:t>
            </w:r>
          </w:p>
        </w:tc>
        <w:tc>
          <w:tcPr>
            <w:tcW w:w="273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Side-effect boundary</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contract.signed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 analytics-service, 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escrow.deposit_locked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 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escrow.deposit_lock_failed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bank.lock_requested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bank.lock_completed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bank.lock_failed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bank.release_requested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bank.release_completed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bank.release_failed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bank.seize_requested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bank.seize_completed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bank.seize_failed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bank.refund_requested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bank.refund_completed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bank.refund_failed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contract.settled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 analytics-service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Lifecycle/positive-history event only. Normal completion first emits the existing SYSTEM/no-fault remedy.finalized owner-return legs; this event is published only after all expected legs reconcile and remaining lock is zero, and must not be consumed by escrow-service for money.</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contract.terminated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 analytics-service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Lifecycle/audit/analytics/notification only. Escrow and reputation MUST NOT consume this event for consequences.</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breach.reported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Allegation only; no bank or reputation consumer is permitted.</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remedy.finalized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 reputation-service, 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Sole canonical trigger for termination/remedy money legs and reputation lock, including normal-completion return of contract-level deposits.</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milestone.settled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 analytics-service, 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milestone.dispute_resolved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milestone.level2_provisional_settled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milestone.level2_buffer_reconciled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milestone.level2_terminal_settled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inspection.report_confirmed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 contract-service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milestone.seller_weighed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file-service, 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milestone.buyer_confirmed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milestone.flagged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milestone.force_majeure_claimed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milestone.force_majeure_resolved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 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milestone.cancelled_with_penalty</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analytics-service, 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Observational milestone outcome only. Money and reputation are already triggered by remedy.finalized and must not be consumed here.</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escrow.milestone_funding_failed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escrow-service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reputation.locked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reputation.unlocked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file.ready</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 inspection-service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file.failed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 inspection-service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bank.security_lock_changed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bank.verifier_key_registered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bank.large_transaction_flagged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 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bank.suspicious_report_created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analytics.structuring_pattern_detected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analytics-service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 bank-service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reputation.elevated_risk_cleared</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inspection.level2_commissioned</w:t>
            </w:r>
          </w:p>
        </w:tc>
        <w:tc>
          <w:tcPr>
            <w:tcW w:w="20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inspection-service</w:t>
            </w:r>
          </w:p>
        </w:tc>
        <w:tc>
          <w:tcPr>
            <w:tcW w:w="24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7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r>
        <w:trPr>
          <w:cantSplit w:val="true"/>
        </w:trPr>
        <w:tc>
          <w:tcPr>
            <w:tcW w:w="23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file.email_notice</w:t>
            </w:r>
          </w:p>
        </w:tc>
        <w:tc>
          <w:tcPr>
            <w:tcW w:w="20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file-service</w:t>
            </w:r>
          </w:p>
        </w:tc>
        <w:tc>
          <w:tcPr>
            <w:tcW w:w="24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inspection-service</w:t>
            </w:r>
          </w:p>
        </w:tc>
        <w:tc>
          <w:tcPr>
            <w:tcW w:w="27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contract; consumer follows the side-effect boundary described in this document</w:t>
            </w:r>
          </w:p>
        </w:tc>
      </w:tr>
    </w:tbl>
    <w:p>
      <w:pPr>
        <w:pStyle w:val="Heading2"/>
        <w:spacing w:before="240" w:after="80"/>
        <w:rPr/>
      </w:pPr>
      <w:bookmarkStart w:id="16" w:name="__RefHeading___Toc2513_AgriContract"/>
      <w:bookmarkEnd w:id="16"/>
      <w:r>
        <w:rPr>
          <w:rFonts w:eastAsia="Calibri" w:cs="Calibri" w:ascii="Calibri" w:hAnsi="Calibri"/>
          <w:b/>
          <w:bCs/>
          <w:color w:val="1F2A37"/>
          <w:sz w:val="25"/>
          <w:szCs w:val="25"/>
        </w:rPr>
        <w:t>5.3 Notification command catalog</w:t>
      </w:r>
    </w:p>
    <w:tbl>
      <w:tblPr>
        <w:tblW w:w="9638" w:type="dxa"/>
        <w:jc w:val="start"/>
        <w:tblInd w:w="0" w:type="dxa"/>
        <w:tblLayout w:type="fixed"/>
        <w:tblCellMar>
          <w:top w:w="60" w:type="dxa"/>
          <w:start w:w="90" w:type="dxa"/>
          <w:bottom w:w="60" w:type="dxa"/>
          <w:end w:w="90" w:type="dxa"/>
        </w:tblCellMar>
      </w:tblPr>
      <w:tblGrid>
        <w:gridCol w:w="2580"/>
        <w:gridCol w:w="2095"/>
        <w:gridCol w:w="2135"/>
        <w:gridCol w:w="2827"/>
      </w:tblGrid>
      <w:tr>
        <w:trPr>
          <w:tblHeader w:val="true"/>
          <w:cantSplit w:val="true"/>
        </w:trPr>
        <w:tc>
          <w:tcPr>
            <w:tcW w:w="258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Command</w:t>
            </w:r>
          </w:p>
        </w:tc>
        <w:tc>
          <w:tcPr>
            <w:tcW w:w="209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Producer</w:t>
            </w:r>
          </w:p>
        </w:tc>
        <w:tc>
          <w:tcPr>
            <w:tcW w:w="213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Consumer</w:t>
            </w:r>
          </w:p>
        </w:tc>
        <w:tc>
          <w:tcPr>
            <w:tcW w:w="282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Payload required</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notification.contract_anchor_requested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contractTermsSnapshot</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signedContentHash</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signedAt</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notification.contract_activation_failed_requested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failedLeg</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buyerDepositState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sellerDepositState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nextActions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notification.contract_terminated_requested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terminationType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affectedMilestoneIds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supersededByContractId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replacesContractId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remedyLegs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notification.breach_notice_requested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severity</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evidenceRefs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notification.remedy_finalized_requested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attributionDecisionId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affectedMilestoneIds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decisionSource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penaltyEligible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reputationEligible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remedyLegs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notification.milestone_funding_status_requested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statusType</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notification.milestone_status_requested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statusType</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notification.milestone_anchor_requested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recordHash</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otsProof</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settlementSummary</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notification.level2_commission_requested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commissionId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org</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intakeAddress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notification.audit_digest_requested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recordHash</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notification.audit_failure_requested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failureSummary</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notification.security_lock_changed_requested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action</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reason</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timestamp</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notification.reconciliation_mismatch_requested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mismatchSummary</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notification.user_kyc_result_requested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recipientEmail</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organizationName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result</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decidedAt</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notification.user_lock_changed_requested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recipientEmail</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action</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reasonCode</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notification.verifier_key_anchor_requested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recipientEmail</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publicKeyFingerprint</w:t>
            </w:r>
          </w:p>
        </w:tc>
      </w:tr>
    </w:tbl>
    <w:p>
      <w:pPr>
        <w:pStyle w:val="Heading1"/>
        <w:pBdr>
          <w:bottom w:val="single" w:sz="6" w:space="6" w:color="D1D5DB"/>
        </w:pBdr>
        <w:spacing w:before="320" w:after="120"/>
        <w:rPr/>
      </w:pPr>
      <w:bookmarkStart w:id="17" w:name="__RefHeading___Toc2515_AgriContract"/>
      <w:bookmarkEnd w:id="17"/>
      <w:r>
        <w:rPr>
          <w:rFonts w:eastAsia="Calibri" w:cs="Calibri" w:ascii="Calibri" w:hAnsi="Calibri"/>
          <w:b/>
          <w:bCs/>
          <w:color w:val="1F2A37"/>
          <w:sz w:val="30"/>
          <w:szCs w:val="30"/>
        </w:rPr>
        <w:t>6. Data architecture và invariant storage</w:t>
      </w:r>
    </w:p>
    <w:p>
      <w:pPr>
        <w:pStyle w:val="Heading2"/>
        <w:spacing w:before="240" w:after="80"/>
        <w:rPr/>
      </w:pPr>
      <w:bookmarkStart w:id="18" w:name="__RefHeading___Toc2517_AgriContract"/>
      <w:bookmarkEnd w:id="18"/>
      <w:r>
        <w:rPr>
          <w:rFonts w:eastAsia="Calibri" w:cs="Calibri" w:ascii="Calibri" w:hAnsi="Calibri"/>
          <w:b/>
          <w:bCs/>
          <w:color w:val="1F2A37"/>
          <w:sz w:val="25"/>
          <w:szCs w:val="25"/>
        </w:rPr>
        <w:t>6.1 Database-per-service</w:t>
      </w:r>
    </w:p>
    <w:p>
      <w:pPr>
        <w:pStyle w:val="Normal"/>
        <w:spacing w:lineRule="exact" w:line="276" w:before="0" w:after="120"/>
        <w:jc w:val="both"/>
        <w:rPr/>
      </w:pPr>
      <w:r>
        <w:rPr>
          <w:rFonts w:eastAsia="Calibri" w:cs="Calibri"/>
          <w:b w:val="false"/>
          <w:bCs w:val="false"/>
          <w:i w:val="false"/>
          <w:iCs w:val="false"/>
          <w:color w:val="111827"/>
          <w:sz w:val="21"/>
          <w:szCs w:val="21"/>
        </w:rPr>
        <w:t>Mỗi service có schema và DB user riêng. FK chỉ tồn tại trong schema owner; cross-service ID là UUID snapshot/reference. Migration deployment theo producer/consumer compatibility và outbox; không dùng distributed transaction.</w:t>
      </w:r>
    </w:p>
    <w:p>
      <w:pPr>
        <w:pStyle w:val="Heading2"/>
        <w:spacing w:before="240" w:after="80"/>
        <w:rPr/>
      </w:pPr>
      <w:bookmarkStart w:id="19" w:name="__RefHeading___Toc2519_AgriContract"/>
      <w:bookmarkEnd w:id="19"/>
      <w:r>
        <w:rPr>
          <w:rFonts w:eastAsia="Calibri" w:cs="Calibri" w:ascii="Calibri" w:hAnsi="Calibri"/>
          <w:b/>
          <w:bCs/>
          <w:color w:val="1F2A37"/>
          <w:sz w:val="25"/>
          <w:szCs w:val="25"/>
        </w:rPr>
        <w:t>6.2 Core persistence constraints</w:t>
      </w:r>
    </w:p>
    <w:tbl>
      <w:tblPr>
        <w:tblW w:w="9638" w:type="dxa"/>
        <w:jc w:val="start"/>
        <w:tblInd w:w="0" w:type="dxa"/>
        <w:tblLayout w:type="fixed"/>
        <w:tblCellMar>
          <w:top w:w="60" w:type="dxa"/>
          <w:start w:w="90" w:type="dxa"/>
          <w:bottom w:w="60" w:type="dxa"/>
          <w:end w:w="90" w:type="dxa"/>
        </w:tblCellMar>
      </w:tblPr>
      <w:tblGrid>
        <w:gridCol w:w="2683"/>
        <w:gridCol w:w="3543"/>
        <w:gridCol w:w="3412"/>
      </w:tblGrid>
      <w:tr>
        <w:trPr>
          <w:tblHeader w:val="true"/>
          <w:cantSplit w:val="true"/>
        </w:trPr>
        <w:tc>
          <w:tcPr>
            <w:tcW w:w="268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Schema/table</w:t>
            </w:r>
          </w:p>
        </w:tc>
        <w:tc>
          <w:tcPr>
            <w:tcW w:w="354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Ràng buộc chính</w:t>
            </w:r>
          </w:p>
        </w:tc>
        <w:tc>
          <w:tcPr>
            <w:tcW w:w="341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Invariant</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contract/remedy</w:t>
            </w:r>
          </w:p>
        </w:tc>
        <w:tc>
          <w:tcPr>
            <w:tcW w:w="354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immutable signed terms hash; unique decision IDs; state/version</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Hai chữ ký cùng terms; allegation không sửa decision đã final</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bank.ledger_entry</w:t>
            </w:r>
          </w:p>
        </w:tc>
        <w:tc>
          <w:tcPr>
            <w:tcW w:w="354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append-only; source_event_id unique; remedy_leg_id partial unique; amount positive</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No double money; one decision may have many legs</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reputation.lock_entry</w:t>
            </w:r>
          </w:p>
        </w:tc>
        <w:tc>
          <w:tcPr>
            <w:tcW w:w="354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insert-only; remedy_decision_id unique; source_event_id unique</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w:t>
            </w:r>
            <w:r>
              <w:rPr>
                <w:rFonts w:eastAsia="Calibri" w:cs="Calibri"/>
                <w:b w:val="false"/>
                <w:bCs w:val="false"/>
                <w:i w:val="false"/>
                <w:iCs w:val="false"/>
                <w:color w:val="111827"/>
                <w:sz w:val="19"/>
                <w:szCs w:val="19"/>
              </w:rPr>
              <w:t>1 lock/decision; history không UPDATE</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audit.audit_record</w:t>
            </w:r>
          </w:p>
        </w:tc>
        <w:tc>
          <w:tcPr>
            <w:tcW w:w="354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source_event_id unique; chain sequence/hash unique; append-only grants</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Replay/tamper detected</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file</w:t>
            </w:r>
          </w:p>
        </w:tc>
        <w:tc>
          <w:tcPr>
            <w:tcW w:w="354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ingest channel server-derived; state; legal_hold; tombstone/version</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File infected không READY; hold chặn xoá</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user projection</w:t>
            </w:r>
          </w:p>
        </w:tc>
        <w:tc>
          <w:tcPr>
            <w:tcW w:w="354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last_lock_revision persisted</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Old event không ghi đè sau restart</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analytics</w:t>
            </w:r>
          </w:p>
        </w:tc>
        <w:tc>
          <w:tcPr>
            <w:tcW w:w="354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processed_event + month bucket key</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At-least-once safe; recompute touched months</w:t>
            </w:r>
          </w:p>
        </w:tc>
      </w:tr>
      <w:tr>
        <w:trPr>
          <w:cantSplit w:val="true"/>
        </w:trPr>
        <w:tc>
          <w:tcPr>
            <w:tcW w:w="268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notification_log</w:t>
            </w:r>
          </w:p>
        </w:tc>
        <w:tc>
          <w:tcPr>
            <w:tcW w:w="354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event/recipient/type unique</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Retry không gửi trùng</w:t>
            </w:r>
          </w:p>
        </w:tc>
      </w:tr>
    </w:tbl>
    <w:p>
      <w:pPr>
        <w:pStyle w:val="Heading1"/>
        <w:pBdr>
          <w:bottom w:val="single" w:sz="6" w:space="6" w:color="D1D5DB"/>
        </w:pBdr>
        <w:spacing w:before="320" w:after="120"/>
        <w:rPr/>
      </w:pPr>
      <w:bookmarkStart w:id="20" w:name="__RefHeading___Toc2521_AgriContract"/>
      <w:bookmarkEnd w:id="20"/>
      <w:r>
        <w:rPr>
          <w:rFonts w:eastAsia="Calibri" w:cs="Calibri" w:ascii="Calibri" w:hAnsi="Calibri"/>
          <w:b/>
          <w:bCs/>
          <w:color w:val="1F2A37"/>
          <w:sz w:val="30"/>
          <w:szCs w:val="30"/>
        </w:rPr>
        <w:t>7. State machines và choreography</w:t>
      </w:r>
    </w:p>
    <w:p>
      <w:pPr>
        <w:pStyle w:val="Heading2"/>
        <w:spacing w:before="240" w:after="80"/>
        <w:rPr/>
      </w:pPr>
      <w:bookmarkStart w:id="21" w:name="__RefHeading___Toc2523_AgriContract"/>
      <w:bookmarkEnd w:id="21"/>
      <w:r>
        <w:rPr>
          <w:rFonts w:eastAsia="Calibri" w:cs="Calibri" w:ascii="Calibri" w:hAnsi="Calibri"/>
          <w:b/>
          <w:bCs/>
          <w:color w:val="1F2A37"/>
          <w:sz w:val="25"/>
          <w:szCs w:val="25"/>
        </w:rPr>
        <w:t>7.1 Contract lifecycle</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OFFERED → NEGOTIATING → SIGNED → ACTIVE</w:t>
      </w:r>
      <w:r>
        <w:rPr>
          <w:rFonts w:eastAsia="Calibri" w:cs="Calibri"/>
          <w:b w:val="false"/>
          <w:bCs w:val="false"/>
          <w:i w:val="false"/>
          <w:iCs w:val="false"/>
          <w:color w:val="111827"/>
          <w:sz w:val="21"/>
          <w:szCs w:val="21"/>
        </w:rPr>
        <w:t xml:space="preserve">. Từ pre-sign có thể </w:t>
      </w:r>
      <w:r>
        <w:rPr>
          <w:rFonts w:eastAsia="Consolas" w:cs="Consolas" w:ascii="Consolas" w:hAnsi="Consolas"/>
          <w:b w:val="false"/>
          <w:bCs w:val="false"/>
          <w:i w:val="false"/>
          <w:iCs w:val="false"/>
          <w:color w:val="111827"/>
          <w:sz w:val="19"/>
          <w:szCs w:val="19"/>
        </w:rPr>
        <w:t>WITHDRAWN</w:t>
      </w:r>
      <w:r>
        <w:rPr>
          <w:rFonts w:eastAsia="Calibri" w:cs="Calibri"/>
          <w:b w:val="false"/>
          <w:bCs w:val="false"/>
          <w:i w:val="false"/>
          <w:iCs w:val="false"/>
          <w:color w:val="111827"/>
          <w:sz w:val="21"/>
          <w:szCs w:val="21"/>
        </w:rPr>
        <w:t xml:space="preserve">; activation failure đi </w:t>
      </w:r>
      <w:r>
        <w:rPr>
          <w:rFonts w:eastAsia="Consolas" w:cs="Consolas" w:ascii="Consolas" w:hAnsi="Consolas"/>
          <w:b w:val="false"/>
          <w:bCs w:val="false"/>
          <w:i w:val="false"/>
          <w:iCs w:val="false"/>
          <w:color w:val="111827"/>
          <w:sz w:val="19"/>
          <w:szCs w:val="19"/>
        </w:rPr>
        <w:t>ACTIVATION_REFUND_PENDING → ACTIVATION_FAILED</w:t>
      </w:r>
      <w:r>
        <w:rPr>
          <w:rFonts w:eastAsia="Calibri" w:cs="Calibri"/>
          <w:b w:val="false"/>
          <w:bCs w:val="false"/>
          <w:i w:val="false"/>
          <w:iCs w:val="false"/>
          <w:color w:val="111827"/>
          <w:sz w:val="21"/>
          <w:szCs w:val="21"/>
        </w:rPr>
        <w:t xml:space="preserve">; replacement đi </w:t>
      </w:r>
      <w:r>
        <w:rPr>
          <w:rFonts w:eastAsia="Consolas" w:cs="Consolas" w:ascii="Consolas" w:hAnsi="Consolas"/>
          <w:b w:val="false"/>
          <w:bCs w:val="false"/>
          <w:i w:val="false"/>
          <w:iCs w:val="false"/>
          <w:color w:val="111827"/>
          <w:sz w:val="19"/>
          <w:szCs w:val="19"/>
        </w:rPr>
        <w:t>REPLACEMENT_PENDING → SUPERSEDE_REFUND_PENDING → SUPERSEDED</w:t>
      </w:r>
      <w:r>
        <w:rPr>
          <w:rFonts w:eastAsia="Calibri" w:cs="Calibri"/>
          <w:b w:val="false"/>
          <w:bCs w:val="false"/>
          <w:i w:val="false"/>
          <w:iCs w:val="false"/>
          <w:color w:val="111827"/>
          <w:sz w:val="21"/>
          <w:szCs w:val="21"/>
        </w:rPr>
        <w:t xml:space="preserve">; completion đi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các nhánh chấm dứt khác đi </w:t>
      </w:r>
      <w:r>
        <w:rPr>
          <w:rFonts w:eastAsia="Consolas" w:cs="Consolas" w:ascii="Consolas" w:hAnsi="Consolas"/>
          <w:b w:val="false"/>
          <w:bCs w:val="false"/>
          <w:i w:val="false"/>
          <w:iCs w:val="false"/>
          <w:color w:val="111827"/>
          <w:sz w:val="19"/>
          <w:szCs w:val="19"/>
        </w:rPr>
        <w:t>TERMINATED</w:t>
      </w:r>
      <w:r>
        <w:rPr>
          <w:rFonts w:eastAsia="Calibri" w:cs="Calibri"/>
          <w:b w:val="false"/>
          <w:bCs w:val="false"/>
          <w:i w:val="false"/>
          <w:iCs w:val="false"/>
          <w:color w:val="111827"/>
          <w:sz w:val="21"/>
          <w:szCs w:val="21"/>
        </w:rPr>
        <w:t xml:space="preserve"> sau reconciliation.</w:t>
      </w:r>
    </w:p>
    <w:p>
      <w:pPr>
        <w:pStyle w:val="Normal"/>
        <w:spacing w:lineRule="exact" w:line="276" w:before="0" w:after="120"/>
        <w:jc w:val="both"/>
        <w:rPr/>
      </w:pPr>
      <w:r>
        <w:rPr>
          <w:rFonts w:eastAsia="Calibri" w:cs="Calibri"/>
          <w:b w:val="false"/>
          <w:bCs w:val="false"/>
          <w:i w:val="false"/>
          <w:iCs w:val="false"/>
          <w:color w:val="111827"/>
          <w:sz w:val="21"/>
          <w:szCs w:val="21"/>
        </w:rPr>
        <w:t xml:space="preserve">Không có current state </w:t>
      </w:r>
      <w:r>
        <w:rPr>
          <w:rFonts w:eastAsia="Consolas" w:cs="Consolas" w:ascii="Consolas" w:hAnsi="Consolas"/>
          <w:b w:val="false"/>
          <w:bCs w:val="false"/>
          <w:i w:val="false"/>
          <w:iCs w:val="false"/>
          <w:color w:val="111827"/>
          <w:sz w:val="19"/>
          <w:szCs w:val="19"/>
        </w:rPr>
        <w:t>CANCELLED</w:t>
      </w:r>
      <w:r>
        <w:rPr>
          <w:rFonts w:eastAsia="Calibri" w:cs="Calibri"/>
          <w:b w:val="false"/>
          <w:bCs w:val="false"/>
          <w:i w:val="false"/>
          <w:iCs w:val="false"/>
          <w:color w:val="111827"/>
          <w:sz w:val="21"/>
          <w:szCs w:val="21"/>
        </w:rPr>
        <w:t xml:space="preserve"> hoặc </w:t>
      </w:r>
      <w:r>
        <w:rPr>
          <w:rFonts w:eastAsia="Consolas" w:cs="Consolas" w:ascii="Consolas" w:hAnsi="Consolas"/>
          <w:b w:val="false"/>
          <w:bCs w:val="false"/>
          <w:i w:val="false"/>
          <w:iCs w:val="false"/>
          <w:color w:val="111827"/>
          <w:sz w:val="19"/>
          <w:szCs w:val="19"/>
        </w:rPr>
        <w:t>DELIVERED</w:t>
      </w:r>
      <w:r>
        <w:rPr>
          <w:rFonts w:eastAsia="Calibri" w:cs="Calibri"/>
          <w:b w:val="false"/>
          <w:bCs w:val="false"/>
          <w:i w:val="false"/>
          <w:iCs w:val="false"/>
          <w:color w:val="111827"/>
          <w:sz w:val="21"/>
          <w:szCs w:val="21"/>
        </w:rPr>
        <w:t xml:space="preserve">. Terminal state luôn zero-lock; </w:t>
      </w:r>
      <w:r>
        <w:rPr>
          <w:rFonts w:eastAsia="Consolas" w:cs="Consolas" w:ascii="Consolas" w:hAnsi="Consolas"/>
          <w:b w:val="false"/>
          <w:bCs w:val="false"/>
          <w:i w:val="false"/>
          <w:iCs w:val="false"/>
          <w:color w:val="111827"/>
          <w:sz w:val="19"/>
          <w:szCs w:val="19"/>
        </w:rPr>
        <w:t>WITHDRAWN</w:t>
      </w:r>
      <w:r>
        <w:rPr>
          <w:rFonts w:eastAsia="Calibri" w:cs="Calibri"/>
          <w:b w:val="false"/>
          <w:bCs w:val="false"/>
          <w:i w:val="false"/>
          <w:iCs w:val="false"/>
          <w:color w:val="111827"/>
          <w:sz w:val="21"/>
          <w:szCs w:val="21"/>
        </w:rPr>
        <w:t xml:space="preserve"> là ngoại lệ đơn giản vì chưa phát sinh lock.</w:t>
      </w:r>
    </w:p>
    <w:p>
      <w:pPr>
        <w:pStyle w:val="Heading2"/>
        <w:spacing w:before="240" w:after="80"/>
        <w:rPr/>
      </w:pPr>
      <w:bookmarkStart w:id="22" w:name="__RefHeading___Toc2525_AgriContract"/>
      <w:bookmarkEnd w:id="22"/>
      <w:r>
        <w:rPr>
          <w:rFonts w:eastAsia="Calibri" w:cs="Calibri" w:ascii="Calibri" w:hAnsi="Calibri"/>
          <w:b/>
          <w:bCs/>
          <w:color w:val="1F2A37"/>
          <w:sz w:val="25"/>
          <w:szCs w:val="25"/>
        </w:rPr>
        <w:t>7.2 Attribution/remedy</w:t>
      </w:r>
    </w:p>
    <w:p>
      <w:pPr>
        <w:pStyle w:val="Normal"/>
        <w:spacing w:lineRule="exact" w:line="276" w:before="0" w:after="120"/>
        <w:jc w:val="both"/>
        <w:rPr/>
      </w:pPr>
      <w:r>
        <w:rPr>
          <w:rFonts w:eastAsia="Calibri" w:cs="Calibri"/>
          <w:b w:val="false"/>
          <w:bCs w:val="false"/>
          <w:i w:val="false"/>
          <w:iCs w:val="false"/>
          <w:color w:val="111827"/>
          <w:sz w:val="21"/>
          <w:szCs w:val="21"/>
        </w:rPr>
        <w:t xml:space="preserve">Rổ A: objective guard → </w:t>
      </w:r>
      <w:r>
        <w:rPr>
          <w:rFonts w:eastAsia="Consolas" w:cs="Consolas" w:ascii="Consolas" w:hAnsi="Consolas"/>
          <w:b w:val="false"/>
          <w:bCs w:val="false"/>
          <w:i w:val="false"/>
          <w:iCs w:val="false"/>
          <w:color w:val="111827"/>
          <w:sz w:val="19"/>
          <w:szCs w:val="19"/>
        </w:rPr>
        <w:t>AttributionDecision(SYSTEM)</w:t>
      </w:r>
      <w:r>
        <w:rPr>
          <w:rFonts w:eastAsia="Calibri" w:cs="Calibri"/>
          <w:b w:val="false"/>
          <w:bCs w:val="false"/>
          <w:i w:val="false"/>
          <w:iCs w:val="false"/>
          <w:color w:val="111827"/>
          <w:sz w:val="21"/>
          <w:szCs w:val="21"/>
        </w:rPr>
        <w:t xml:space="preserve"> → </w:t>
      </w:r>
      <w:r>
        <w:rPr>
          <w:rFonts w:eastAsia="Consolas" w:cs="Consolas" w:ascii="Consolas" w:hAnsi="Consolas"/>
          <w:b w:val="false"/>
          <w:bCs w:val="false"/>
          <w:i w:val="false"/>
          <w:iCs w:val="false"/>
          <w:color w:val="111827"/>
          <w:sz w:val="19"/>
          <w:szCs w:val="19"/>
        </w:rPr>
        <w:t>RemedyDecision</w:t>
      </w:r>
      <w:r>
        <w:rPr>
          <w:rFonts w:eastAsia="Calibri" w:cs="Calibri"/>
          <w:b w:val="false"/>
          <w:bCs w:val="false"/>
          <w:i w:val="false"/>
          <w:iCs w:val="false"/>
          <w:color w:val="111827"/>
          <w:sz w:val="21"/>
          <w:szCs w:val="21"/>
        </w:rPr>
        <w:t xml:space="preserve">. Rổ B: </w:t>
      </w:r>
      <w:r>
        <w:rPr>
          <w:rFonts w:eastAsia="Consolas" w:cs="Consolas" w:ascii="Consolas" w:hAnsi="Consolas"/>
          <w:b w:val="false"/>
          <w:bCs w:val="false"/>
          <w:i w:val="false"/>
          <w:iCs w:val="false"/>
          <w:color w:val="111827"/>
          <w:sz w:val="19"/>
          <w:szCs w:val="19"/>
        </w:rPr>
        <w:t>BreachCase REPORTED → UNDER_REVIEW → RESOLVED</w:t>
      </w:r>
      <w:r>
        <w:rPr>
          <w:rFonts w:eastAsia="Calibri" w:cs="Calibri"/>
          <w:b w:val="false"/>
          <w:bCs w:val="false"/>
          <w:i w:val="false"/>
          <w:iCs w:val="false"/>
          <w:color w:val="111827"/>
          <w:sz w:val="21"/>
          <w:szCs w:val="21"/>
        </w:rPr>
        <w:t xml:space="preserve"> → decision. </w:t>
      </w:r>
      <w:r>
        <w:rPr>
          <w:rFonts w:eastAsia="Consolas" w:cs="Consolas" w:ascii="Consolas" w:hAnsi="Consolas"/>
          <w:b w:val="false"/>
          <w:bCs w:val="false"/>
          <w:i w:val="false"/>
          <w:iCs w:val="false"/>
          <w:color w:val="111827"/>
          <w:sz w:val="19"/>
          <w:szCs w:val="19"/>
        </w:rPr>
        <w:t>finalBreachingRole = null</w:t>
      </w:r>
      <w:r>
        <w:rPr>
          <w:rFonts w:eastAsia="Calibri" w:cs="Calibri"/>
          <w:b w:val="false"/>
          <w:bCs w:val="false"/>
          <w:i w:val="false"/>
          <w:iCs w:val="false"/>
          <w:color w:val="111827"/>
          <w:sz w:val="21"/>
          <w:szCs w:val="21"/>
        </w:rPr>
        <w:t xml:space="preserve"> bắt buộc penalty/reputation false và chỉ có settlement/refund legs.</w:t>
      </w:r>
    </w:p>
    <w:p>
      <w:pPr>
        <w:pStyle w:val="Heading2"/>
        <w:spacing w:before="240" w:after="80"/>
        <w:rPr/>
      </w:pPr>
      <w:bookmarkStart w:id="23" w:name="__RefHeading___Toc2527_AgriContract"/>
      <w:bookmarkEnd w:id="23"/>
      <w:r>
        <w:rPr>
          <w:rFonts w:eastAsia="Calibri" w:cs="Calibri" w:ascii="Calibri" w:hAnsi="Calibri"/>
          <w:b/>
          <w:bCs/>
          <w:color w:val="1F2A37"/>
          <w:sz w:val="25"/>
          <w:szCs w:val="25"/>
        </w:rPr>
        <w:t>7.3 Milestone/funding</w:t>
      </w:r>
    </w:p>
    <w:p>
      <w:pPr>
        <w:pStyle w:val="Normal"/>
        <w:spacing w:lineRule="exact" w:line="276" w:before="0" w:after="120"/>
        <w:jc w:val="both"/>
        <w:rPr/>
      </w:pPr>
      <w:r>
        <w:rPr>
          <w:rFonts w:eastAsia="Calibri" w:cs="Calibri"/>
          <w:b w:val="false"/>
          <w:bCs w:val="false"/>
          <w:i w:val="false"/>
          <w:iCs w:val="false"/>
          <w:color w:val="111827"/>
          <w:sz w:val="21"/>
          <w:szCs w:val="21"/>
        </w:rPr>
        <w:t xml:space="preserve">Funding: </w:t>
      </w:r>
      <w:r>
        <w:rPr>
          <w:rFonts w:eastAsia="Consolas" w:cs="Consolas" w:ascii="Consolas" w:hAnsi="Consolas"/>
          <w:b w:val="false"/>
          <w:bCs w:val="false"/>
          <w:i w:val="false"/>
          <w:iCs w:val="false"/>
          <w:color w:val="111827"/>
          <w:sz w:val="19"/>
          <w:szCs w:val="19"/>
        </w:rPr>
        <w:t>FUNDING_PENDING → LOCKED | FUNDING_FAILED</w:t>
      </w:r>
      <w:r>
        <w:rPr>
          <w:rFonts w:eastAsia="Calibri" w:cs="Calibri"/>
          <w:b w:val="false"/>
          <w:bCs w:val="false"/>
          <w:i w:val="false"/>
          <w:iCs w:val="false"/>
          <w:color w:val="111827"/>
          <w:sz w:val="21"/>
          <w:szCs w:val="21"/>
        </w:rPr>
        <w:t xml:space="preserve">; retry/cure có timer riêng. Delivery: </w:t>
      </w:r>
      <w:r>
        <w:rPr>
          <w:rFonts w:eastAsia="Consolas" w:cs="Consolas" w:ascii="Consolas" w:hAnsi="Consolas"/>
          <w:b w:val="false"/>
          <w:bCs w:val="false"/>
          <w:i w:val="false"/>
          <w:iCs w:val="false"/>
          <w:color w:val="111827"/>
          <w:sz w:val="19"/>
          <w:szCs w:val="19"/>
        </w:rPr>
        <w:t>CREATED → IN_PROGRESS → SELLER_WEIGHED → BUYER_RECEIVED → AWAITING_SELLER_RESPONSE/CONTESTED/FORCE_MAJEURE_PENDING_REVIEW → SETTLED</w:t>
      </w:r>
      <w:r>
        <w:rPr>
          <w:rFonts w:eastAsia="Calibri" w:cs="Calibri"/>
          <w:b w:val="false"/>
          <w:bCs w:val="false"/>
          <w:i w:val="false"/>
          <w:iCs w:val="false"/>
          <w:color w:val="111827"/>
          <w:sz w:val="21"/>
          <w:szCs w:val="21"/>
        </w:rPr>
        <w:t>. Inspection pending chặn auto-confirm.</w:t>
      </w:r>
    </w:p>
    <w:p>
      <w:pPr>
        <w:pStyle w:val="Heading2"/>
        <w:spacing w:before="240" w:after="80"/>
        <w:rPr/>
      </w:pPr>
      <w:bookmarkStart w:id="24" w:name="__RefHeading___Toc2529_AgriContract"/>
      <w:bookmarkEnd w:id="24"/>
      <w:r>
        <w:rPr>
          <w:rFonts w:eastAsia="Calibri" w:cs="Calibri" w:ascii="Calibri" w:hAnsi="Calibri"/>
          <w:b/>
          <w:bCs/>
          <w:color w:val="1F2A37"/>
          <w:sz w:val="25"/>
          <w:szCs w:val="25"/>
        </w:rPr>
        <w:t>7.4 Mutual replacement saga</w:t>
      </w:r>
    </w:p>
    <w:p>
      <w:pPr>
        <w:pStyle w:val="Normal"/>
        <w:spacing w:lineRule="exact" w:line="276" w:before="0" w:after="120"/>
        <w:jc w:val="both"/>
        <w:rPr/>
      </w:pPr>
      <w:r>
        <w:rPr>
          <w:rFonts w:eastAsia="Calibri" w:cs="Calibri"/>
          <w:b w:val="false"/>
          <w:bCs w:val="false"/>
          <w:i w:val="false"/>
          <w:iCs w:val="false"/>
          <w:color w:val="111827"/>
          <w:sz w:val="21"/>
          <w:szCs w:val="21"/>
        </w:rPr>
        <w:t xml:space="preserve">Draft/replacement phải đủ hai chữ ký trước khi đụng contract cũ. Khi replacement signed, cũ vào pending, refund toàn bộ lock còn lại, rồi mới </w:t>
      </w:r>
      <w:r>
        <w:rPr>
          <w:rFonts w:eastAsia="Consolas" w:cs="Consolas" w:ascii="Consolas" w:hAnsi="Consolas"/>
          <w:b w:val="false"/>
          <w:bCs w:val="false"/>
          <w:i w:val="false"/>
          <w:iCs w:val="false"/>
          <w:color w:val="111827"/>
          <w:sz w:val="19"/>
          <w:szCs w:val="19"/>
        </w:rPr>
        <w:t>SUPERSEDED</w:t>
      </w:r>
      <w:r>
        <w:rPr>
          <w:rFonts w:eastAsia="Calibri" w:cs="Calibri"/>
          <w:b w:val="false"/>
          <w:bCs w:val="false"/>
          <w:i w:val="false"/>
          <w:iCs w:val="false"/>
          <w:color w:val="111827"/>
          <w:sz w:val="21"/>
          <w:szCs w:val="21"/>
        </w:rPr>
        <w:t>; contract mới tự activation từ zero. Crash ở bất kỳ cửa sổ nào phải để state retryable và không rollback settled history.</w:t>
      </w:r>
    </w:p>
    <w:p>
      <w:pPr>
        <w:pStyle w:val="Heading1"/>
        <w:pBdr>
          <w:bottom w:val="single" w:sz="6" w:space="6" w:color="D1D5DB"/>
        </w:pBdr>
        <w:spacing w:before="320" w:after="120"/>
        <w:rPr/>
      </w:pPr>
      <w:bookmarkStart w:id="25" w:name="__RefHeading___Toc2531_AgriContract"/>
      <w:bookmarkEnd w:id="25"/>
      <w:r>
        <w:rPr>
          <w:rFonts w:eastAsia="Calibri" w:cs="Calibri" w:ascii="Calibri" w:hAnsi="Calibri"/>
          <w:b/>
          <w:bCs/>
          <w:color w:val="1F2A37"/>
          <w:sz w:val="30"/>
          <w:szCs w:val="30"/>
        </w:rPr>
        <w:t>8. Security, governance và evidence</w:t>
      </w:r>
    </w:p>
    <w:p>
      <w:pPr>
        <w:pStyle w:val="Heading2"/>
        <w:spacing w:before="240" w:after="80"/>
        <w:rPr/>
      </w:pPr>
      <w:bookmarkStart w:id="26" w:name="__RefHeading___Toc2533_AgriContract"/>
      <w:bookmarkEnd w:id="26"/>
      <w:r>
        <w:rPr>
          <w:rFonts w:eastAsia="Calibri" w:cs="Calibri" w:ascii="Calibri" w:hAnsi="Calibri"/>
          <w:b/>
          <w:bCs/>
          <w:color w:val="1F2A37"/>
          <w:sz w:val="25"/>
          <w:szCs w:val="25"/>
        </w:rPr>
        <w:t>8.1 Authentication/authorization</w:t>
      </w:r>
    </w:p>
    <w:p>
      <w:pPr>
        <w:pStyle w:val="Normal"/>
        <w:spacing w:lineRule="exact" w:line="276" w:before="0" w:after="120"/>
        <w:jc w:val="both"/>
        <w:rPr/>
      </w:pPr>
      <w:r>
        <w:rPr>
          <w:rFonts w:eastAsia="Calibri" w:cs="Calibri"/>
          <w:b w:val="false"/>
          <w:bCs w:val="false"/>
          <w:i w:val="false"/>
          <w:iCs w:val="false"/>
          <w:color w:val="111827"/>
          <w:sz w:val="21"/>
          <w:szCs w:val="21"/>
        </w:rPr>
        <w:t>JWT cho user; service auth cho internal. Gateway coarse role; service owner fine-grained. Public user DTO không lộ PII; public reputation summary vẫn cần JWT. OPERATOR không truy cập đường ADMIN high-risk; maker-checker chặn self-approval.</w:t>
      </w:r>
    </w:p>
    <w:p>
      <w:pPr>
        <w:pStyle w:val="Heading2"/>
        <w:spacing w:before="240" w:after="80"/>
        <w:rPr/>
      </w:pPr>
      <w:bookmarkStart w:id="27" w:name="__RefHeading___Toc2535_AgriContract"/>
      <w:bookmarkEnd w:id="27"/>
      <w:r>
        <w:rPr>
          <w:rFonts w:eastAsia="Calibri" w:cs="Calibri" w:ascii="Calibri" w:hAnsi="Calibri"/>
          <w:b/>
          <w:bCs/>
          <w:color w:val="1F2A37"/>
          <w:sz w:val="25"/>
          <w:szCs w:val="25"/>
        </w:rPr>
        <w:t>8.2 External Verifier emergency control</w:t>
      </w:r>
    </w:p>
    <w:p>
      <w:pPr>
        <w:pStyle w:val="Normal"/>
        <w:spacing w:lineRule="exact" w:line="276" w:before="0" w:after="120"/>
        <w:jc w:val="both"/>
        <w:rPr/>
      </w:pPr>
      <w:r>
        <w:rPr>
          <w:rFonts w:eastAsia="Calibri" w:cs="Calibri"/>
          <w:b w:val="false"/>
          <w:bCs w:val="false"/>
          <w:i w:val="false"/>
          <w:iCs w:val="false"/>
          <w:color w:val="111827"/>
          <w:sz w:val="21"/>
          <w:szCs w:val="21"/>
        </w:rPr>
        <w:t xml:space="preserve">ES256 public key baked/deploy-time, RFC 8785 canonicalization, timestamp ±300s, nonce persist, action binding. Lock active làm mọi </w:t>
      </w:r>
      <w:r>
        <w:rPr>
          <w:rFonts w:eastAsia="Consolas" w:cs="Consolas" w:ascii="Consolas" w:hAnsi="Consolas"/>
          <w:b w:val="false"/>
          <w:bCs w:val="false"/>
          <w:i w:val="false"/>
          <w:iCs w:val="false"/>
          <w:color w:val="111827"/>
          <w:sz w:val="19"/>
          <w:szCs w:val="19"/>
        </w:rPr>
        <w:t>bank.*_requested</w:t>
      </w:r>
      <w:r>
        <w:rPr>
          <w:rFonts w:eastAsia="Calibri" w:cs="Calibri"/>
          <w:b w:val="false"/>
          <w:bCs w:val="false"/>
          <w:i w:val="false"/>
          <w:iCs w:val="false"/>
          <w:color w:val="111827"/>
          <w:sz w:val="21"/>
          <w:szCs w:val="21"/>
        </w:rPr>
        <w:t xml:space="preserve"> fail. Unlock mirror lock; không Admin bypass. Đây là một control khẩn cấp hẹp, không phải mô hình Zero Trust toàn diện.</w:t>
      </w:r>
    </w:p>
    <w:p>
      <w:pPr>
        <w:pStyle w:val="Heading2"/>
        <w:spacing w:before="240" w:after="80"/>
        <w:rPr/>
      </w:pPr>
      <w:bookmarkStart w:id="28" w:name="__RefHeading___Toc2537_AgriContract"/>
      <w:bookmarkEnd w:id="28"/>
      <w:r>
        <w:rPr>
          <w:rFonts w:eastAsia="Calibri" w:cs="Calibri" w:ascii="Calibri" w:hAnsi="Calibri"/>
          <w:b/>
          <w:bCs/>
          <w:color w:val="1F2A37"/>
          <w:sz w:val="25"/>
          <w:szCs w:val="25"/>
        </w:rPr>
        <w:t>8.3 Evidence scope</w:t>
      </w:r>
    </w:p>
    <w:p>
      <w:pPr>
        <w:pStyle w:val="Normal"/>
        <w:spacing w:lineRule="exact" w:line="276" w:before="0" w:after="120"/>
        <w:jc w:val="both"/>
        <w:rPr/>
      </w:pPr>
      <w:r>
        <w:rPr>
          <w:rFonts w:eastAsia="Calibri" w:cs="Calibri"/>
          <w:b w:val="false"/>
          <w:bCs w:val="false"/>
          <w:i w:val="false"/>
          <w:iCs w:val="false"/>
          <w:color w:val="111827"/>
          <w:sz w:val="21"/>
          <w:szCs w:val="21"/>
        </w:rPr>
        <w:t>Audit hash hỗ trợ kiểm tra record có bị sửa sau commit hay không; content/report hash hỗ trợ kiểm tra artefact bytes/normalized result; OTP ghi nhận challenge holder đã hoàn tất thao tác. Không lớp nào tự chứng minh dữ liệu đầu vào đúng, người thao tác có thẩm quyền pháp lý hoặc điều khoản hợp pháp; giá trị chứng cứ phụ thuộc độ tin cậy, tính toàn vẹn và khả năng xác định chủ thể trong bối cảnh giao dịch. [27]</w:t>
      </w:r>
    </w:p>
    <w:p>
      <w:pPr>
        <w:pStyle w:val="Heading2"/>
        <w:spacing w:before="240" w:after="80"/>
        <w:rPr/>
      </w:pPr>
      <w:bookmarkStart w:id="29" w:name="__RefHeading___Toc2539_AgriContract"/>
      <w:bookmarkEnd w:id="29"/>
      <w:r>
        <w:rPr>
          <w:rFonts w:eastAsia="Calibri" w:cs="Calibri" w:ascii="Calibri" w:hAnsi="Calibri"/>
          <w:b/>
          <w:bCs/>
          <w:color w:val="1F2A37"/>
          <w:sz w:val="25"/>
          <w:szCs w:val="25"/>
        </w:rPr>
        <w:t>8.4 Retention/DR</w:t>
      </w:r>
    </w:p>
    <w:p>
      <w:pPr>
        <w:pStyle w:val="Normal"/>
        <w:spacing w:lineRule="exact" w:line="276" w:before="0" w:after="120"/>
        <w:jc w:val="both"/>
        <w:rPr/>
      </w:pPr>
      <w:r>
        <w:rPr>
          <w:rFonts w:eastAsia="Calibri" w:cs="Calibri"/>
          <w:b w:val="false"/>
          <w:bCs w:val="false"/>
          <w:i w:val="false"/>
          <w:iCs w:val="false"/>
          <w:color w:val="111827"/>
          <w:sz w:val="21"/>
          <w:szCs w:val="21"/>
        </w:rPr>
        <w:t>PII/evidence/ledger/audit có retention khác nhau; legal hold override deletion. File xoá hai bước tự lành. DLQ replay giữ original event ID. Restore bank/audit phải qua hai verification pass trước mở money traffic. Cross-border/ND13 là deployment constraint chưa được “giải quyết tự động”.</w:t>
      </w:r>
    </w:p>
    <w:p>
      <w:pPr>
        <w:pStyle w:val="Heading1"/>
        <w:pBdr>
          <w:bottom w:val="single" w:sz="6" w:space="6" w:color="D1D5DB"/>
        </w:pBdr>
        <w:spacing w:before="320" w:after="120"/>
        <w:rPr/>
      </w:pPr>
      <w:bookmarkStart w:id="30" w:name="__RefHeading___Toc2541_AgriContract"/>
      <w:bookmarkEnd w:id="30"/>
      <w:r>
        <w:rPr>
          <w:rFonts w:eastAsia="Calibri" w:cs="Calibri" w:ascii="Calibri" w:hAnsi="Calibri"/>
          <w:b/>
          <w:bCs/>
          <w:color w:val="1F2A37"/>
          <w:sz w:val="30"/>
          <w:szCs w:val="30"/>
        </w:rPr>
        <w:t>9. Deployment và quality attributes</w:t>
      </w:r>
    </w:p>
    <w:p>
      <w:pPr>
        <w:pStyle w:val="Normal"/>
        <w:spacing w:lineRule="exact" w:line="276" w:before="0" w:after="120"/>
        <w:jc w:val="both"/>
        <w:rPr/>
      </w:pPr>
      <w:r>
        <w:rPr>
          <w:rFonts w:eastAsia="Calibri" w:cs="Calibri"/>
          <w:b w:val="false"/>
          <w:bCs w:val="false"/>
          <w:i w:val="false"/>
          <w:iCs w:val="false"/>
          <w:color w:val="111827"/>
          <w:sz w:val="21"/>
          <w:szCs w:val="21"/>
        </w:rPr>
        <w:t>Môi trường mục tiêu dùng container, MySQL per service/schema, RabbitMQ, MinIO và reverse proxy. CI pin image digest, không nhúng secret, protected branch/approval. Observability dùng correlation/causation/trace ID; alert riêng cho money leg failed, reconciliation mismatch, audit verify fail, security lock và DLQ.</w:t>
      </w:r>
    </w:p>
    <w:tbl>
      <w:tblPr>
        <w:tblW w:w="9638" w:type="dxa"/>
        <w:jc w:val="start"/>
        <w:tblInd w:w="0" w:type="dxa"/>
        <w:tblLayout w:type="fixed"/>
        <w:tblCellMar>
          <w:top w:w="60" w:type="dxa"/>
          <w:start w:w="90" w:type="dxa"/>
          <w:bottom w:w="60" w:type="dxa"/>
          <w:end w:w="90" w:type="dxa"/>
        </w:tblCellMar>
      </w:tblPr>
      <w:tblGrid>
        <w:gridCol w:w="2573"/>
        <w:gridCol w:w="3531"/>
        <w:gridCol w:w="3534"/>
      </w:tblGrid>
      <w:tr>
        <w:trPr>
          <w:tblHeader w:val="true"/>
          <w:cantSplit w:val="true"/>
        </w:trPr>
        <w:tc>
          <w:tcPr>
            <w:tcW w:w="257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Quality attribute</w:t>
            </w:r>
          </w:p>
        </w:tc>
        <w:tc>
          <w:tcPr>
            <w:tcW w:w="353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Cơ chế</w:t>
            </w:r>
          </w:p>
        </w:tc>
        <w:tc>
          <w:tcPr>
            <w:tcW w:w="353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Giới hạn</w:t>
            </w:r>
          </w:p>
        </w:tc>
      </w:tr>
      <w:tr>
        <w:trPr>
          <w:cantSplit w:val="true"/>
        </w:trPr>
        <w:tc>
          <w:tcPr>
            <w:tcW w:w="25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Consistency</w:t>
            </w:r>
          </w:p>
        </w:tc>
        <w:tc>
          <w:tcPr>
            <w:tcW w:w="35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local transaction + outbox + idempotency + reconciliation</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Eventual consistency ngoài terminal money guard</w:t>
            </w:r>
          </w:p>
        </w:tc>
      </w:tr>
      <w:tr>
        <w:trPr>
          <w:cantSplit w:val="true"/>
        </w:trPr>
        <w:tc>
          <w:tcPr>
            <w:tcW w:w="25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Integrity</w:t>
            </w:r>
          </w:p>
        </w:tc>
        <w:tc>
          <w:tcPr>
            <w:tcW w:w="35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append-only ledger/audit, hash chain, source IDs</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Trusted operator/collusion risk vẫn tồn tại</w:t>
            </w:r>
          </w:p>
        </w:tc>
      </w:tr>
      <w:tr>
        <w:trPr>
          <w:cantSplit w:val="true"/>
        </w:trPr>
        <w:tc>
          <w:tcPr>
            <w:tcW w:w="25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Availability</w:t>
            </w:r>
          </w:p>
        </w:tc>
        <w:tc>
          <w:tcPr>
            <w:tcW w:w="35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retry/DLQ/circuit breaker; analytics noncritical</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OTP and eligibility intentionally fail-closed</w:t>
            </w:r>
          </w:p>
        </w:tc>
      </w:tr>
      <w:tr>
        <w:trPr>
          <w:cantSplit w:val="true"/>
        </w:trPr>
        <w:tc>
          <w:tcPr>
            <w:tcW w:w="25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Security</w:t>
            </w:r>
          </w:p>
        </w:tc>
        <w:tc>
          <w:tcPr>
            <w:tcW w:w="35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JWT/service auth, edge policies, maker-checker, verifier signature</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full mTLS/Zero Trust production</w:t>
            </w:r>
          </w:p>
        </w:tc>
      </w:tr>
      <w:tr>
        <w:trPr>
          <w:cantSplit w:val="true"/>
        </w:trPr>
        <w:tc>
          <w:tcPr>
            <w:tcW w:w="25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Recoverability</w:t>
            </w:r>
          </w:p>
        </w:tc>
        <w:tc>
          <w:tcPr>
            <w:tcW w:w="35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backups, replay, two-pass verify</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RTO/RPO production phải benchmark</w:t>
            </w:r>
          </w:p>
        </w:tc>
      </w:tr>
      <w:tr>
        <w:trPr>
          <w:cantSplit w:val="true"/>
        </w:trPr>
        <w:tc>
          <w:tcPr>
            <w:tcW w:w="25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Auditability</w:t>
            </w:r>
          </w:p>
        </w:tc>
        <w:tc>
          <w:tcPr>
            <w:tcW w:w="35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append-only facts (tamper-evident so với checkpoint/anchor), evidence export, read audit</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Chất lượng bằng chứng nguồn vẫn cần con người đánh giá; không chống được privileged full-chain rewrite trong cùng trust domain</w:t>
            </w:r>
          </w:p>
        </w:tc>
      </w:tr>
    </w:tbl>
    <w:p>
      <w:pPr>
        <w:pStyle w:val="Heading1"/>
        <w:pBdr>
          <w:bottom w:val="single" w:sz="6" w:space="6" w:color="D1D5DB"/>
        </w:pBdr>
        <w:spacing w:before="320" w:after="120"/>
        <w:rPr/>
      </w:pPr>
      <w:bookmarkStart w:id="31" w:name="__RefHeading___Toc2543_AgriContract"/>
      <w:bookmarkEnd w:id="31"/>
      <w:r>
        <w:rPr>
          <w:rFonts w:eastAsia="Calibri" w:cs="Calibri" w:ascii="Calibri" w:hAnsi="Calibri"/>
          <w:b/>
          <w:bCs/>
          <w:color w:val="1F2A37"/>
          <w:sz w:val="30"/>
          <w:szCs w:val="30"/>
        </w:rPr>
        <w:t>10. API surface overview</w:t>
      </w:r>
    </w:p>
    <w:p>
      <w:pPr>
        <w:pStyle w:val="Normal"/>
        <w:spacing w:lineRule="exact" w:line="276" w:before="0" w:after="120"/>
        <w:jc w:val="both"/>
        <w:rPr/>
      </w:pPr>
      <w:r>
        <w:rPr>
          <w:rFonts w:eastAsia="Calibri" w:cs="Calibri"/>
          <w:b w:val="false"/>
          <w:bCs w:val="false"/>
          <w:i w:val="false"/>
          <w:iCs w:val="false"/>
          <w:color w:val="111827"/>
          <w:sz w:val="21"/>
          <w:szCs w:val="21"/>
        </w:rPr>
        <w:t xml:space="preserve">OpenAPI frozen có 41 paths và 42 operations. Bảng dưới trình bày ownership-level catalog, request schema và auth/role; JSON error dùng </w:t>
      </w:r>
      <w:r>
        <w:rPr>
          <w:rFonts w:eastAsia="Consolas" w:cs="Consolas" w:ascii="Consolas" w:hAnsi="Consolas"/>
          <w:b w:val="false"/>
          <w:bCs w:val="false"/>
          <w:i w:val="false"/>
          <w:iCs w:val="false"/>
          <w:color w:val="111827"/>
          <w:sz w:val="19"/>
          <w:szCs w:val="19"/>
        </w:rPr>
        <w:t>ErrorEnvelope</w:t>
      </w:r>
      <w:r>
        <w:rPr>
          <w:rFonts w:eastAsia="Calibri" w:cs="Calibri"/>
          <w:b w:val="false"/>
          <w:bCs w:val="false"/>
          <w:i w:val="false"/>
          <w:iCs w:val="false"/>
          <w:color w:val="111827"/>
          <w:sz w:val="21"/>
          <w:szCs w:val="21"/>
        </w:rPr>
        <w:t xml:space="preserve"> gồm </w:t>
      </w:r>
      <w:r>
        <w:rPr>
          <w:rFonts w:eastAsia="Consolas" w:cs="Consolas" w:ascii="Consolas" w:hAnsi="Consolas"/>
          <w:b w:val="false"/>
          <w:bCs w:val="false"/>
          <w:i w:val="false"/>
          <w:iCs w:val="false"/>
          <w:color w:val="111827"/>
          <w:sz w:val="19"/>
          <w:szCs w:val="19"/>
        </w:rPr>
        <w:t>timestamp</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status</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error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code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message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path</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traceId</w:t>
      </w:r>
      <w:r>
        <w:rPr>
          <w:rFonts w:eastAsia="Calibri" w:cs="Calibri"/>
          <w:b w:val="false"/>
          <w:bCs w:val="false"/>
          <w:i w:val="false"/>
          <w:iCs w:val="false"/>
          <w:color w:val="111827"/>
          <w:sz w:val="21"/>
          <w:szCs w:val="21"/>
        </w:rPr>
        <w:t xml:space="preserve">. Endpoint không khai báo security riêng kế thừa bearer JWT; </w:t>
      </w:r>
      <w:r>
        <w:rPr>
          <w:rFonts w:eastAsia="Consolas" w:cs="Consolas" w:ascii="Consolas" w:hAnsi="Consolas"/>
          <w:b w:val="false"/>
          <w:bCs w:val="false"/>
          <w:i w:val="false"/>
          <w:iCs w:val="false"/>
          <w:color w:val="111827"/>
          <w:sz w:val="19"/>
          <w:szCs w:val="19"/>
        </w:rPr>
        <w:t>/internal/**</w:t>
      </w:r>
      <w:r>
        <w:rPr>
          <w:rFonts w:eastAsia="Calibri" w:cs="Calibri"/>
          <w:b w:val="false"/>
          <w:bCs w:val="false"/>
          <w:i w:val="false"/>
          <w:iCs w:val="false"/>
          <w:color w:val="111827"/>
          <w:sz w:val="21"/>
          <w:szCs w:val="21"/>
        </w:rPr>
        <w:t xml:space="preserve"> dùng </w:t>
      </w:r>
      <w:r>
        <w:rPr>
          <w:rFonts w:eastAsia="Consolas" w:cs="Consolas" w:ascii="Consolas" w:hAnsi="Consolas"/>
          <w:b w:val="false"/>
          <w:bCs w:val="false"/>
          <w:i w:val="false"/>
          <w:iCs w:val="false"/>
          <w:color w:val="111827"/>
          <w:sz w:val="19"/>
          <w:szCs w:val="19"/>
        </w:rPr>
        <w:t>serviceAuth</w:t>
      </w:r>
      <w:r>
        <w:rPr>
          <w:rFonts w:eastAsia="Calibri" w:cs="Calibri"/>
          <w:b w:val="false"/>
          <w:bCs w:val="false"/>
          <w:i w:val="false"/>
          <w:iCs w:val="false"/>
          <w:color w:val="111827"/>
          <w:sz w:val="21"/>
          <w:szCs w:val="21"/>
        </w:rPr>
        <w:t xml:space="preserve">, audit hash dùng </w:t>
      </w:r>
      <w:r>
        <w:rPr>
          <w:rFonts w:eastAsia="Consolas" w:cs="Consolas" w:ascii="Consolas" w:hAnsi="Consolas"/>
          <w:b w:val="false"/>
          <w:bCs w:val="false"/>
          <w:i w:val="false"/>
          <w:iCs w:val="false"/>
          <w:color w:val="111827"/>
          <w:sz w:val="19"/>
          <w:szCs w:val="19"/>
        </w:rPr>
        <w:t>X-Api-Key</w:t>
      </w:r>
      <w:r>
        <w:rPr>
          <w:rFonts w:eastAsia="Calibri" w:cs="Calibri"/>
          <w:b w:val="false"/>
          <w:bCs w:val="false"/>
          <w:i w:val="false"/>
          <w:iCs w:val="false"/>
          <w:color w:val="111827"/>
          <w:sz w:val="21"/>
          <w:szCs w:val="21"/>
        </w:rPr>
        <w:t>, emergency lock/unlock chỉ nhận signed request của External Verifier.</w:t>
      </w:r>
    </w:p>
    <w:tbl>
      <w:tblPr>
        <w:tblW w:w="9638" w:type="dxa"/>
        <w:jc w:val="start"/>
        <w:tblInd w:w="0" w:type="dxa"/>
        <w:tblLayout w:type="fixed"/>
        <w:tblCellMar>
          <w:top w:w="60" w:type="dxa"/>
          <w:start w:w="90" w:type="dxa"/>
          <w:bottom w:w="60" w:type="dxa"/>
          <w:end w:w="90" w:type="dxa"/>
        </w:tblCellMar>
      </w:tblPr>
      <w:tblGrid>
        <w:gridCol w:w="1206"/>
        <w:gridCol w:w="2074"/>
        <w:gridCol w:w="1502"/>
        <w:gridCol w:w="1673"/>
        <w:gridCol w:w="1662"/>
        <w:gridCol w:w="1520"/>
      </w:tblGrid>
      <w:tr>
        <w:trPr>
          <w:tblHeader w:val="true"/>
          <w:cantSplit w:val="true"/>
        </w:trPr>
        <w:tc>
          <w:tcPr>
            <w:tcW w:w="120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Method</w:t>
            </w:r>
          </w:p>
        </w:tc>
        <w:tc>
          <w:tcPr>
            <w:tcW w:w="207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Path</w:t>
            </w:r>
          </w:p>
        </w:tc>
        <w:tc>
          <w:tcPr>
            <w:tcW w:w="150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Owner</w:t>
            </w:r>
          </w:p>
        </w:tc>
        <w:tc>
          <w:tcPr>
            <w:tcW w:w="167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Operation</w:t>
            </w:r>
          </w:p>
        </w:tc>
        <w:tc>
          <w:tcPr>
            <w:tcW w:w="166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Request</w:t>
            </w:r>
          </w:p>
        </w:tc>
        <w:tc>
          <w:tcPr>
            <w:tcW w:w="152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Auth/role</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createContract</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CreateContractRequest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listContracts</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getContract</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PATCH</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/api/v1/contracts/{contractId}/terms</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updateContractTerms</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ContractTermsRequest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/api/v1/contracts/{contractId}/sign/initiate</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initiateSign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InitiateSignRequest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/api/v1/contracts/{contractId}/sign/verify</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verifyOtpAndSign</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VerifyOtpAndSignRequest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/api/v1/contracts/{contractId}/withdraw</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withdrawOffer</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/api/v1/contracts/{contractId}/termination/mutual/propose</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proposeMutualTermination</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/api/v1/contracts/{contractId}/termination/mutual/confirm</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confirmMutualTermination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/api/v1/contracts/{contractId}/replacement/propose</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proposeMutualReplacement</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ReplacementProposalRequest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/api/v1/contracts/{contractId}/replacement/confirm</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confirmMutualReplacement</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/api/v1/contracts/{contractId}/breach-cases</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reportBreachCase</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BreachCaseReportRequest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 SYSTEM</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/api/v1/contracts/{contractId}/breach-cases/{breachCaseId}/review</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reviewBreachCase</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 INSPECTOR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/api/v1/contracts/{contractId}/breach-cases/{breachCaseId}/resolve</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resolveBreachCase</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BreachCaseResolutionRequest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 INSPECTOR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/api/v1/contracts/{contractId}/termination/execute</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executeTermination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TerminationExecuteRequest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 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/api/v1/contracts/{contractId}/activation/retry-deposit-lock</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retryDepositLock</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/api/v1/contracts/{contractId}/activation/mark-failed</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markActivationFailed</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/api/v1/contracts/{contractId}/milestones/{milestoneId}/weigh</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recordSellerWeighed</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SellerWeighedRequest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/api/v1/contracts/{contractId}/milestones/{milestoneId}/confirm</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confirmMilestoneClean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BuyerReceivedRequest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/api/v1/contracts/{contractId}/milestones/{milestoneId}/flag</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flagMilestoneIssue</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BuyerReceivedRequest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/api/v1/contracts/{contractId}/milestones/{milestoneId}/respond</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respondToMilestoneFlag</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/api/v1/contracts/{contractId}/milestones/{milestoneId}/force-majeure</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claimForceMajeure</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ForceMajeureClaimRequest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/api/v1/contracts/{contractId}/milestones/{milestoneId}/force-majeure/resolve</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resolveForceMajeure</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ForceMajeureResolveRequest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/api/v1/contracts/{contractId}/milestones/{milestoneId}/funding/retry</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escrow-service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retryMilestoneFunding</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/api/v1/users/register</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registerUser</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/api/v1/users/me</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getMyProfile</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/api/v1/users/{userId}</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getPublicUser</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/api/v1/reputation/{userId}/public-summary</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getPublicReputationSummary</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/api/v1/admin/reputation/actions/propose</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proposeReputationAction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ReputationActionProposalRequest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 OPERATOR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/api/v1/admin/reputation/actions/{actionId}/approve</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approveReputationAction</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/api/v1/admin/reputation/actions/{actionId}/reject</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rejectReputationAction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/api/v1/admin/users</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listPendingUsers</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/api/v1/admin/users/{userId}/verify</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verifyUser</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VerifyUserRequest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/api/v1/admin/users/{userId}/reject</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rejectUser</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RejectUserRequest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/internal/v1/users/{userId}</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getInternalUserInfo</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/internal/v1/notifications/otp-email</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notification-service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sendOtpEmail</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OtpEmailRequest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/internal/v1/audit/records</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audit-service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getAuditRecordsForReconciliation</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/api/v1/security/audit-hash</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audit-service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getAuditHash</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X-Api-Key</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/api/v1/security/emergency-lock</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bank-service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emergencyLock</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ExternalVerifierRequest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External Verifier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/api/v1/security/emergency-unlock</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bank-service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emergencyUnlock</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ExternalVerifierRequest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External Verifier</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/api/v1/escrows/statements</w:t>
            </w:r>
          </w:p>
        </w:tc>
        <w:tc>
          <w:tcPr>
            <w:tcW w:w="150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escrow-service</w:t>
            </w:r>
          </w:p>
        </w:tc>
        <w:tc>
          <w:tcPr>
            <w:tcW w:w="167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exportEscrowStatement</w:t>
            </w:r>
          </w:p>
        </w:tc>
        <w:tc>
          <w:tcPr>
            <w:tcW w:w="166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20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207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/internal/v1/bank/ledger</w:t>
            </w:r>
          </w:p>
        </w:tc>
        <w:tc>
          <w:tcPr>
            <w:tcW w:w="150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bank-service</w:t>
            </w:r>
          </w:p>
        </w:tc>
        <w:tc>
          <w:tcPr>
            <w:tcW w:w="167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getInternalLedgerEntries</w:t>
            </w:r>
          </w:p>
        </w:tc>
        <w:tc>
          <w:tcPr>
            <w:tcW w:w="166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w:t>
            </w:r>
          </w:p>
        </w:tc>
        <w:tc>
          <w:tcPr>
            <w:tcW w:w="15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bl>
    <w:p>
      <w:pPr>
        <w:pStyle w:val="Heading1"/>
        <w:pBdr>
          <w:bottom w:val="single" w:sz="6" w:space="6" w:color="D1D5DB"/>
        </w:pBdr>
        <w:spacing w:before="320" w:after="120"/>
        <w:rPr/>
      </w:pPr>
      <w:bookmarkStart w:id="32" w:name="__RefHeading___Toc2545_AgriContract"/>
      <w:bookmarkEnd w:id="32"/>
      <w:r>
        <w:rPr>
          <w:rFonts w:eastAsia="Calibri" w:cs="Calibri" w:ascii="Calibri" w:hAnsi="Calibri"/>
          <w:b/>
          <w:bCs/>
          <w:color w:val="1F2A37"/>
          <w:sz w:val="30"/>
          <w:szCs w:val="30"/>
        </w:rPr>
        <w:t>11. Current Scope</w:t>
      </w:r>
    </w:p>
    <w:p>
      <w:pPr>
        <w:pStyle w:val="Normal"/>
        <w:spacing w:lineRule="exact" w:line="276" w:before="0" w:after="120"/>
        <w:jc w:val="both"/>
        <w:rPr/>
      </w:pPr>
      <w:r>
        <w:rPr>
          <w:rFonts w:eastAsia="Calibri" w:cs="Calibri"/>
          <w:b w:val="false"/>
          <w:bCs w:val="false"/>
          <w:i w:val="false"/>
          <w:iCs w:val="false"/>
          <w:color w:val="111827"/>
          <w:sz w:val="21"/>
          <w:szCs w:val="21"/>
        </w:rPr>
        <w:t>Phase 2 hiện thực hoá boundary của 12 business services, API Gateway, database-per-service, event envelope, outbox/idempotency, contract–escrow–bank golden flow, inspection, reputation, audit/evidence, product geolocation, file intake, external reference pricing, user governance, notification và analytics projection. Các state, event, endpoint, schema và side-effect boundary trong tài liệu là contract thiết kế để triển khai; chúng không phải bằng chứng rằng toàn bộ capability đã chạy production.</w:t>
      </w:r>
    </w:p>
    <w:p>
      <w:pPr>
        <w:pStyle w:val="Heading1"/>
        <w:pBdr>
          <w:bottom w:val="single" w:sz="6" w:space="6" w:color="D1D5DB"/>
        </w:pBdr>
        <w:spacing w:before="320" w:after="120"/>
        <w:rPr/>
      </w:pPr>
      <w:bookmarkStart w:id="33" w:name="__RefHeading___Toc2547_AgriContract"/>
      <w:bookmarkEnd w:id="33"/>
      <w:r>
        <w:rPr>
          <w:rFonts w:eastAsia="Calibri" w:cs="Calibri" w:ascii="Calibri" w:hAnsi="Calibri"/>
          <w:b/>
          <w:bCs/>
          <w:color w:val="1F2A37"/>
          <w:sz w:val="30"/>
          <w:szCs w:val="30"/>
        </w:rPr>
        <w:t>12. Known Limitations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Bank/custodian thật, CA signature, tổ chức inspection production, provider pricing và OpenTimestamps production chưa được tích hợp trong Phase 2; bank-service là ledger/adapter mô phỏng.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Full mTLS/service mesh, HSM/KMS độc lập, multi-region HA, deployment attestation và cold rebuild analytics chưa thuộc phạm vi implementation.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Geo/yield/AML/overlap chỉ là tín hiệu hỗ trợ review; traceability phụ thuộc chất lượng dữ liệu, chi phí và quy trình due diligence, nên không tự kết luận gian lận, sự thật địa chính, compliance EUDR hay trách nhiệm pháp lý. [21], [22], [30]</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OTP là một phương thức xác nhận điện tử; giá trị chứng cứ và thẩm quyền đại diện vẫn cần đánh giá theo giao dịch, định danh và tài liệu thực tế. [27]</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Phân loại tiền cọc, penalty, damages, licensing boundary và mẫu hợp đồng cần legal validation; việc tách custody khỏi platform không tự chứng minh compliance. [28], [29], [45], [46]</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Hệ thống không bảo vệ tuyệt đối trước collusion của các trust domain hoặc hạ tầng bị compromise đồng thời; zero-trust-oriented controls chỉ giảm implicit trust tại các boundary đã nêu.</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Analytics/notification có eventual consistency; queue backlog chỉ hỗ trợ catch-up outage ngắn, không phải cold rebuild toàn bộ lịch sử.</w:t>
      </w:r>
    </w:p>
    <w:p>
      <w:pPr>
        <w:pStyle w:val="Heading1"/>
        <w:pBdr>
          <w:bottom w:val="single" w:sz="6" w:space="6" w:color="D1D5DB"/>
        </w:pBdr>
        <w:spacing w:before="320" w:after="120"/>
        <w:rPr/>
      </w:pPr>
      <w:bookmarkStart w:id="34" w:name="__RefHeading___Toc2549_AgriContract"/>
      <w:bookmarkEnd w:id="34"/>
      <w:r>
        <w:rPr>
          <w:rFonts w:eastAsia="Calibri" w:cs="Calibri" w:ascii="Calibri" w:hAnsi="Calibri"/>
          <w:b/>
          <w:bCs/>
          <w:color w:val="1F2A37"/>
          <w:sz w:val="30"/>
          <w:szCs w:val="30"/>
        </w:rPr>
        <w:t>13. Future Work</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Tích hợp custodian/ngân hàng thật, đối soát và báo cáo AML theo adapter đã đóng băng.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Tích hợp CA/WebAuthn, production inspection/accreditation và adapter email/provider phù hợp deployment.</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Tách separation-of-duties hạ tầng, mTLS/KMS/HSM, deployment attestation và DR/scale production.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Thiết kế riêng cho ContractVersion amendment sau ký, full notice–cure–remedy state machine, quality-indexed settlement, payment/security package đầy đủ và partial mutual termination.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Tự động hoá nguồn giá cao su quốc tế sau khi có chuẩn hoá đơn vị/tỷ giá; logistics/3PL tracking chỉ khi có đối tác thật.</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Hoàn thiện cross-border/ND13 assessment, DSAR và các chính sách vận hành ngoài prototype.</w:t>
      </w:r>
    </w:p>
    <w:p>
      <w:pPr>
        <w:pStyle w:val="Heading1"/>
        <w:pBdr>
          <w:bottom w:val="single" w:sz="6" w:space="6" w:color="D1D5DB"/>
        </w:pBdr>
        <w:spacing w:before="320" w:after="120"/>
        <w:rPr/>
      </w:pPr>
      <w:bookmarkStart w:id="35" w:name="__RefHeading___Toc2551_AgriContract"/>
      <w:bookmarkEnd w:id="35"/>
      <w:r>
        <w:rPr>
          <w:rFonts w:eastAsia="Calibri" w:cs="Calibri" w:ascii="Calibri" w:hAnsi="Calibri"/>
          <w:b/>
          <w:bCs/>
          <w:color w:val="1F2A37"/>
          <w:sz w:val="30"/>
          <w:szCs w:val="30"/>
        </w:rPr>
        <w:t>14. Danh mục nguồn tham khảo</w:t>
      </w:r>
    </w:p>
    <w:p>
      <w:pPr>
        <w:pStyle w:val="Normal"/>
        <w:spacing w:lineRule="exact" w:line="276" w:before="0" w:after="120"/>
        <w:jc w:val="both"/>
        <w:rPr/>
      </w:pPr>
      <w:r>
        <w:rPr>
          <w:rFonts w:eastAsia="Calibri" w:cs="Calibri"/>
          <w:b w:val="false"/>
          <w:bCs w:val="false"/>
          <w:i w:val="false"/>
          <w:iCs w:val="false"/>
          <w:color w:val="111827"/>
          <w:sz w:val="21"/>
          <w:szCs w:val="21"/>
        </w:rPr>
        <w:t>[21] A. Kashyap et al., “Traceability Adoption Barriers in Digital Food Supply Chain to Achieve Food Security and Sustainability,” Bus. Strategy Environ., vol. 35, no. 1, 2025, doi: 10.1002/bse.70177.</w:t>
      </w:r>
    </w:p>
    <w:p>
      <w:pPr>
        <w:pStyle w:val="Normal"/>
        <w:spacing w:lineRule="exact" w:line="276" w:before="0" w:after="120"/>
        <w:jc w:val="both"/>
        <w:rPr/>
      </w:pPr>
      <w:r>
        <w:rPr>
          <w:rFonts w:eastAsia="Calibri" w:cs="Calibri"/>
          <w:b w:val="false"/>
          <w:bCs w:val="false"/>
          <w:i w:val="false"/>
          <w:iCs w:val="false"/>
          <w:color w:val="111827"/>
          <w:sz w:val="21"/>
          <w:szCs w:val="21"/>
        </w:rPr>
        <w:t>[22] V. Guye, P. Meyfroidt, and E. z. Ermgassen, “The Need for Improved Public Transparency in the Era of Due Diligence Regulations,” Regulation &amp; Governance, 2026, doi: 10.1111/rego.70142.</w:t>
      </w:r>
    </w:p>
    <w:p>
      <w:pPr>
        <w:pStyle w:val="Normal"/>
        <w:spacing w:lineRule="exact" w:line="276" w:before="0" w:after="120"/>
        <w:jc w:val="both"/>
        <w:rPr/>
      </w:pPr>
      <w:r>
        <w:rPr>
          <w:rFonts w:eastAsia="Calibri" w:cs="Calibri"/>
          <w:b w:val="false"/>
          <w:bCs w:val="false"/>
          <w:i w:val="false"/>
          <w:iCs w:val="false"/>
          <w:color w:val="111827"/>
          <w:sz w:val="21"/>
          <w:szCs w:val="21"/>
        </w:rPr>
        <w:t>[27] Quốc hội Việt Nam, Luật Giao dịch điện tử số 20/2023/QH15, 2023.</w:t>
      </w:r>
    </w:p>
    <w:p>
      <w:pPr>
        <w:pStyle w:val="Normal"/>
        <w:spacing w:lineRule="exact" w:line="276" w:before="0" w:after="120"/>
        <w:jc w:val="both"/>
        <w:rPr/>
      </w:pPr>
      <w:r>
        <w:rPr>
          <w:rFonts w:eastAsia="Calibri" w:cs="Calibri"/>
          <w:b w:val="false"/>
          <w:bCs w:val="false"/>
          <w:i w:val="false"/>
          <w:iCs w:val="false"/>
          <w:color w:val="111827"/>
          <w:sz w:val="21"/>
          <w:szCs w:val="21"/>
        </w:rPr>
        <w:t>[28] Chính phủ Việt Nam, Nghị định 52/2024/NĐ-CP, 2024.</w:t>
      </w:r>
    </w:p>
    <w:p>
      <w:pPr>
        <w:pStyle w:val="Normal"/>
        <w:spacing w:lineRule="exact" w:line="276" w:before="0" w:after="120"/>
        <w:jc w:val="both"/>
        <w:rPr/>
      </w:pPr>
      <w:r>
        <w:rPr>
          <w:rFonts w:eastAsia="Calibri" w:cs="Calibri"/>
          <w:b w:val="false"/>
          <w:bCs w:val="false"/>
          <w:i w:val="false"/>
          <w:iCs w:val="false"/>
          <w:color w:val="111827"/>
          <w:sz w:val="21"/>
          <w:szCs w:val="21"/>
        </w:rPr>
        <w:t>[29] Chính phủ Việt Nam, Nghị định 340/2025/NĐ-CP, 2025.</w:t>
      </w:r>
    </w:p>
    <w:p>
      <w:pPr>
        <w:pStyle w:val="Normal"/>
        <w:spacing w:lineRule="exact" w:line="276" w:before="0" w:after="120"/>
        <w:jc w:val="both"/>
        <w:rPr/>
      </w:pPr>
      <w:r>
        <w:rPr>
          <w:rFonts w:eastAsia="Calibri" w:cs="Calibri"/>
          <w:b w:val="false"/>
          <w:bCs w:val="false"/>
          <w:i w:val="false"/>
          <w:iCs w:val="false"/>
          <w:color w:val="111827"/>
          <w:sz w:val="21"/>
          <w:szCs w:val="21"/>
        </w:rPr>
        <w:t>[30] European Parliament and Council, Regulation (EU) 2023/1115, consolidated Dec. 26, 2025.</w:t>
      </w:r>
    </w:p>
    <w:p>
      <w:pPr>
        <w:pStyle w:val="Normal"/>
        <w:spacing w:lineRule="exact" w:line="276" w:before="0" w:after="120"/>
        <w:jc w:val="both"/>
        <w:rPr/>
      </w:pPr>
      <w:r>
        <w:rPr>
          <w:rFonts w:eastAsia="Calibri" w:cs="Calibri"/>
          <w:b w:val="false"/>
          <w:bCs w:val="false"/>
          <w:i w:val="false"/>
          <w:iCs w:val="false"/>
          <w:color w:val="111827"/>
          <w:sz w:val="21"/>
          <w:szCs w:val="21"/>
        </w:rPr>
        <w:t>[45] Quốc hội Việt Nam, Bộ luật Dân sự số 91/2015/QH13, 2015.</w:t>
      </w:r>
    </w:p>
    <w:p>
      <w:pPr>
        <w:pStyle w:val="Normal"/>
        <w:spacing w:lineRule="exact" w:line="276" w:before="0" w:after="120"/>
        <w:jc w:val="both"/>
        <w:rPr/>
      </w:pPr>
      <w:r>
        <w:rPr>
          <w:rFonts w:eastAsia="Calibri" w:cs="Calibri"/>
          <w:b w:val="false"/>
          <w:bCs w:val="false"/>
          <w:i w:val="false"/>
          <w:iCs w:val="false"/>
          <w:color w:val="111827"/>
          <w:sz w:val="21"/>
          <w:szCs w:val="21"/>
        </w:rPr>
        <w:t>[46] Quốc hội Việt Nam, Luật Thương mại số 36/2005/QH11, 2005.</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16</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16</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Architecture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Architecture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2026-07-21T09:59:26Z</dcterms:created>
  <dc:creator>AgriContract</dc:creator>
  <dc:description/>
  <dc:language>en-US</dc:language>
  <cp:lastModifiedBy/>
  <dcterms:modified xsi:type="dcterms:W3CDTF">2026-07-21T09:59:28Z</dcterms:modified>
  <cp:revision>2</cp:revision>
  <dc:subject/>
  <dc:title>AgriContract — Kiến trúc hệ thống Phase 2 — Final</dc:title>
</cp:coreProperties>
</file>