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39F" w:rsidRDefault="0028439F" w:rsidP="0028439F">
      <w:pPr>
        <w:jc w:val="center"/>
        <w:rPr>
          <w:sz w:val="52"/>
          <w:szCs w:val="52"/>
        </w:rPr>
      </w:pPr>
      <w:r>
        <w:rPr>
          <w:sz w:val="52"/>
          <w:szCs w:val="52"/>
        </w:rPr>
        <w:t>GUIA DE APERTURA DE DATOS</w:t>
      </w:r>
    </w:p>
    <w:p w:rsidR="0028439F" w:rsidRPr="00762A48" w:rsidRDefault="0028439F" w:rsidP="0028439F">
      <w:pPr>
        <w:jc w:val="center"/>
        <w:rPr>
          <w:sz w:val="52"/>
          <w:szCs w:val="52"/>
        </w:rPr>
      </w:pPr>
      <w:bookmarkStart w:id="0" w:name="_GoBack"/>
      <w:bookmarkEnd w:id="0"/>
    </w:p>
    <w:p w:rsidR="0028439F" w:rsidRDefault="0028439F" w:rsidP="0028439F">
      <w:pPr>
        <w:spacing w:line="360" w:lineRule="auto"/>
      </w:pPr>
      <w:r>
        <w:rPr>
          <w:sz w:val="36"/>
          <w:szCs w:val="36"/>
        </w:rPr>
        <w:t>Tabla de contenidos</w:t>
      </w:r>
    </w:p>
    <w:sdt>
      <w:sdtPr>
        <w:id w:val="-495498227"/>
        <w:docPartObj>
          <w:docPartGallery w:val="Table of Contents"/>
          <w:docPartUnique/>
        </w:docPartObj>
      </w:sdtPr>
      <w:sdtContent>
        <w:p w:rsidR="0028439F" w:rsidRDefault="0028439F" w:rsidP="0028439F">
          <w:pPr>
            <w:pStyle w:val="TDC1"/>
            <w:tabs>
              <w:tab w:val="left" w:pos="440"/>
              <w:tab w:val="right" w:pos="9019"/>
            </w:tabs>
            <w:rPr>
              <w:rFonts w:eastAsiaTheme="minorEastAsia"/>
              <w:noProof/>
            </w:rPr>
          </w:pPr>
          <w:r>
            <w:fldChar w:fldCharType="begin"/>
          </w:r>
          <w:r>
            <w:instrText xml:space="preserve"> TOC \h \u \z </w:instrText>
          </w:r>
          <w:r>
            <w:fldChar w:fldCharType="separate"/>
          </w:r>
          <w:hyperlink w:anchor="_Toc497384618" w:history="1">
            <w:r w:rsidRPr="00284C68">
              <w:rPr>
                <w:rStyle w:val="Hipervnculo"/>
                <w:noProof/>
              </w:rPr>
              <w:t>I.</w:t>
            </w:r>
            <w:r>
              <w:rPr>
                <w:rFonts w:eastAsiaTheme="minorEastAsia"/>
                <w:noProof/>
              </w:rPr>
              <w:tab/>
            </w:r>
            <w:r w:rsidRPr="00284C68">
              <w:rPr>
                <w:rStyle w:val="Hipervnculo"/>
                <w:noProof/>
              </w:rPr>
              <w:t>Introducción</w:t>
            </w:r>
            <w:r>
              <w:rPr>
                <w:noProof/>
                <w:webHidden/>
              </w:rPr>
              <w:tab/>
            </w:r>
            <w:r>
              <w:rPr>
                <w:noProof/>
                <w:webHidden/>
              </w:rPr>
              <w:fldChar w:fldCharType="begin"/>
            </w:r>
            <w:r>
              <w:rPr>
                <w:noProof/>
                <w:webHidden/>
              </w:rPr>
              <w:instrText xml:space="preserve"> PAGEREF _Toc497384618 \h </w:instrText>
            </w:r>
            <w:r>
              <w:rPr>
                <w:noProof/>
                <w:webHidden/>
              </w:rPr>
            </w:r>
            <w:r>
              <w:rPr>
                <w:noProof/>
                <w:webHidden/>
              </w:rPr>
              <w:fldChar w:fldCharType="separate"/>
            </w:r>
            <w:r>
              <w:rPr>
                <w:noProof/>
                <w:webHidden/>
              </w:rPr>
              <w:t>7</w:t>
            </w:r>
            <w:r>
              <w:rPr>
                <w:noProof/>
                <w:webHidden/>
              </w:rPr>
              <w:fldChar w:fldCharType="end"/>
            </w:r>
          </w:hyperlink>
        </w:p>
        <w:p w:rsidR="0028439F" w:rsidRDefault="0028439F" w:rsidP="0028439F">
          <w:pPr>
            <w:pStyle w:val="TDC1"/>
            <w:tabs>
              <w:tab w:val="right" w:pos="9019"/>
            </w:tabs>
            <w:rPr>
              <w:rFonts w:eastAsiaTheme="minorEastAsia"/>
              <w:noProof/>
            </w:rPr>
          </w:pPr>
          <w:hyperlink w:anchor="_Toc497384619" w:history="1">
            <w:r w:rsidRPr="00284C68">
              <w:rPr>
                <w:rStyle w:val="Hipervnculo"/>
                <w:noProof/>
              </w:rPr>
              <w:t>II. Diagnóstico</w:t>
            </w:r>
            <w:r>
              <w:rPr>
                <w:noProof/>
                <w:webHidden/>
              </w:rPr>
              <w:tab/>
            </w:r>
            <w:r>
              <w:rPr>
                <w:noProof/>
                <w:webHidden/>
              </w:rPr>
              <w:fldChar w:fldCharType="begin"/>
            </w:r>
            <w:r>
              <w:rPr>
                <w:noProof/>
                <w:webHidden/>
              </w:rPr>
              <w:instrText xml:space="preserve"> PAGEREF _Toc497384619 \h </w:instrText>
            </w:r>
            <w:r>
              <w:rPr>
                <w:noProof/>
                <w:webHidden/>
              </w:rPr>
            </w:r>
            <w:r>
              <w:rPr>
                <w:noProof/>
                <w:webHidden/>
              </w:rPr>
              <w:fldChar w:fldCharType="separate"/>
            </w:r>
            <w:r>
              <w:rPr>
                <w:noProof/>
                <w:webHidden/>
              </w:rPr>
              <w:t>9</w:t>
            </w:r>
            <w:r>
              <w:rPr>
                <w:noProof/>
                <w:webHidden/>
              </w:rPr>
              <w:fldChar w:fldCharType="end"/>
            </w:r>
          </w:hyperlink>
        </w:p>
        <w:p w:rsidR="0028439F" w:rsidRDefault="0028439F" w:rsidP="0028439F">
          <w:pPr>
            <w:pStyle w:val="TDC2"/>
            <w:tabs>
              <w:tab w:val="right" w:pos="9019"/>
            </w:tabs>
            <w:rPr>
              <w:rFonts w:eastAsiaTheme="minorEastAsia"/>
              <w:noProof/>
            </w:rPr>
          </w:pPr>
          <w:hyperlink w:anchor="_Toc497384620" w:history="1">
            <w:r w:rsidRPr="00284C68">
              <w:rPr>
                <w:rStyle w:val="Hipervnculo"/>
                <w:noProof/>
              </w:rPr>
              <w:t>Base Legal</w:t>
            </w:r>
            <w:r>
              <w:rPr>
                <w:noProof/>
                <w:webHidden/>
              </w:rPr>
              <w:tab/>
            </w:r>
            <w:r>
              <w:rPr>
                <w:noProof/>
                <w:webHidden/>
              </w:rPr>
              <w:fldChar w:fldCharType="begin"/>
            </w:r>
            <w:r>
              <w:rPr>
                <w:noProof/>
                <w:webHidden/>
              </w:rPr>
              <w:instrText xml:space="preserve"> PAGEREF _Toc497384620 \h </w:instrText>
            </w:r>
            <w:r>
              <w:rPr>
                <w:noProof/>
                <w:webHidden/>
              </w:rPr>
            </w:r>
            <w:r>
              <w:rPr>
                <w:noProof/>
                <w:webHidden/>
              </w:rPr>
              <w:fldChar w:fldCharType="separate"/>
            </w:r>
            <w:r>
              <w:rPr>
                <w:noProof/>
                <w:webHidden/>
              </w:rPr>
              <w:t>9</w:t>
            </w:r>
            <w:r>
              <w:rPr>
                <w:noProof/>
                <w:webHidden/>
              </w:rPr>
              <w:fldChar w:fldCharType="end"/>
            </w:r>
          </w:hyperlink>
        </w:p>
        <w:p w:rsidR="0028439F" w:rsidRDefault="0028439F" w:rsidP="0028439F">
          <w:pPr>
            <w:pStyle w:val="TDC1"/>
            <w:tabs>
              <w:tab w:val="right" w:pos="9019"/>
            </w:tabs>
            <w:rPr>
              <w:rFonts w:eastAsiaTheme="minorEastAsia"/>
              <w:noProof/>
            </w:rPr>
          </w:pPr>
          <w:hyperlink w:anchor="_Toc497384621" w:history="1">
            <w:r w:rsidRPr="00284C68">
              <w:rPr>
                <w:rStyle w:val="Hipervnculo"/>
                <w:noProof/>
              </w:rPr>
              <w:t>III. Política legislativa de datos abiertos</w:t>
            </w:r>
            <w:r>
              <w:rPr>
                <w:noProof/>
                <w:webHidden/>
              </w:rPr>
              <w:tab/>
            </w:r>
            <w:r>
              <w:rPr>
                <w:noProof/>
                <w:webHidden/>
              </w:rPr>
              <w:fldChar w:fldCharType="begin"/>
            </w:r>
            <w:r>
              <w:rPr>
                <w:noProof/>
                <w:webHidden/>
              </w:rPr>
              <w:instrText xml:space="preserve"> PAGEREF _Toc497384621 \h </w:instrText>
            </w:r>
            <w:r>
              <w:rPr>
                <w:noProof/>
                <w:webHidden/>
              </w:rPr>
            </w:r>
            <w:r>
              <w:rPr>
                <w:noProof/>
                <w:webHidden/>
              </w:rPr>
              <w:fldChar w:fldCharType="separate"/>
            </w:r>
            <w:r>
              <w:rPr>
                <w:noProof/>
                <w:webHidden/>
              </w:rPr>
              <w:t>12</w:t>
            </w:r>
            <w:r>
              <w:rPr>
                <w:noProof/>
                <w:webHidden/>
              </w:rPr>
              <w:fldChar w:fldCharType="end"/>
            </w:r>
          </w:hyperlink>
        </w:p>
        <w:p w:rsidR="0028439F" w:rsidRDefault="0028439F" w:rsidP="0028439F">
          <w:pPr>
            <w:pStyle w:val="TDC2"/>
            <w:tabs>
              <w:tab w:val="left" w:pos="660"/>
              <w:tab w:val="right" w:pos="9019"/>
            </w:tabs>
            <w:rPr>
              <w:rFonts w:eastAsiaTheme="minorEastAsia"/>
              <w:noProof/>
            </w:rPr>
          </w:pPr>
          <w:hyperlink w:anchor="_Toc497384622" w:history="1">
            <w:r w:rsidRPr="00284C68">
              <w:rPr>
                <w:rStyle w:val="Hipervnculo"/>
                <w:noProof/>
              </w:rPr>
              <w:t>1.</w:t>
            </w:r>
            <w:r>
              <w:rPr>
                <w:rFonts w:eastAsiaTheme="minorEastAsia"/>
                <w:noProof/>
              </w:rPr>
              <w:tab/>
            </w:r>
            <w:r w:rsidRPr="00284C68">
              <w:rPr>
                <w:rStyle w:val="Hipervnculo"/>
                <w:noProof/>
              </w:rPr>
              <w:t>Misión</w:t>
            </w:r>
            <w:r>
              <w:rPr>
                <w:noProof/>
                <w:webHidden/>
              </w:rPr>
              <w:tab/>
            </w:r>
            <w:r>
              <w:rPr>
                <w:noProof/>
                <w:webHidden/>
              </w:rPr>
              <w:fldChar w:fldCharType="begin"/>
            </w:r>
            <w:r>
              <w:rPr>
                <w:noProof/>
                <w:webHidden/>
              </w:rPr>
              <w:instrText xml:space="preserve"> PAGEREF _Toc497384622 \h </w:instrText>
            </w:r>
            <w:r>
              <w:rPr>
                <w:noProof/>
                <w:webHidden/>
              </w:rPr>
            </w:r>
            <w:r>
              <w:rPr>
                <w:noProof/>
                <w:webHidden/>
              </w:rPr>
              <w:fldChar w:fldCharType="separate"/>
            </w:r>
            <w:r>
              <w:rPr>
                <w:noProof/>
                <w:webHidden/>
              </w:rPr>
              <w:t>12</w:t>
            </w:r>
            <w:r>
              <w:rPr>
                <w:noProof/>
                <w:webHidden/>
              </w:rPr>
              <w:fldChar w:fldCharType="end"/>
            </w:r>
          </w:hyperlink>
        </w:p>
        <w:p w:rsidR="0028439F" w:rsidRDefault="0028439F" w:rsidP="0028439F">
          <w:pPr>
            <w:pStyle w:val="TDC2"/>
            <w:tabs>
              <w:tab w:val="left" w:pos="660"/>
              <w:tab w:val="right" w:pos="9019"/>
            </w:tabs>
            <w:rPr>
              <w:rFonts w:eastAsiaTheme="minorEastAsia"/>
              <w:noProof/>
            </w:rPr>
          </w:pPr>
          <w:hyperlink w:anchor="_Toc497384623" w:history="1">
            <w:r w:rsidRPr="00284C68">
              <w:rPr>
                <w:rStyle w:val="Hipervnculo"/>
                <w:noProof/>
              </w:rPr>
              <w:t>2.</w:t>
            </w:r>
            <w:r>
              <w:rPr>
                <w:rFonts w:eastAsiaTheme="minorEastAsia"/>
                <w:noProof/>
              </w:rPr>
              <w:tab/>
            </w:r>
            <w:r w:rsidRPr="00284C68">
              <w:rPr>
                <w:rStyle w:val="Hipervnculo"/>
                <w:noProof/>
              </w:rPr>
              <w:t>Visión</w:t>
            </w:r>
            <w:r>
              <w:rPr>
                <w:noProof/>
                <w:webHidden/>
              </w:rPr>
              <w:tab/>
            </w:r>
            <w:r>
              <w:rPr>
                <w:noProof/>
                <w:webHidden/>
              </w:rPr>
              <w:fldChar w:fldCharType="begin"/>
            </w:r>
            <w:r>
              <w:rPr>
                <w:noProof/>
                <w:webHidden/>
              </w:rPr>
              <w:instrText xml:space="preserve"> PAGEREF _Toc497384623 \h </w:instrText>
            </w:r>
            <w:r>
              <w:rPr>
                <w:noProof/>
                <w:webHidden/>
              </w:rPr>
            </w:r>
            <w:r>
              <w:rPr>
                <w:noProof/>
                <w:webHidden/>
              </w:rPr>
              <w:fldChar w:fldCharType="separate"/>
            </w:r>
            <w:r>
              <w:rPr>
                <w:noProof/>
                <w:webHidden/>
              </w:rPr>
              <w:t>12</w:t>
            </w:r>
            <w:r>
              <w:rPr>
                <w:noProof/>
                <w:webHidden/>
              </w:rPr>
              <w:fldChar w:fldCharType="end"/>
            </w:r>
          </w:hyperlink>
        </w:p>
        <w:p w:rsidR="0028439F" w:rsidRDefault="0028439F" w:rsidP="0028439F">
          <w:pPr>
            <w:pStyle w:val="TDC2"/>
            <w:tabs>
              <w:tab w:val="left" w:pos="660"/>
              <w:tab w:val="right" w:pos="9019"/>
            </w:tabs>
            <w:rPr>
              <w:rFonts w:eastAsiaTheme="minorEastAsia"/>
              <w:noProof/>
            </w:rPr>
          </w:pPr>
          <w:hyperlink w:anchor="_Toc497384624" w:history="1">
            <w:r w:rsidRPr="00284C68">
              <w:rPr>
                <w:rStyle w:val="Hipervnculo"/>
                <w:noProof/>
              </w:rPr>
              <w:t>3.</w:t>
            </w:r>
            <w:r>
              <w:rPr>
                <w:rFonts w:eastAsiaTheme="minorEastAsia"/>
                <w:noProof/>
              </w:rPr>
              <w:tab/>
            </w:r>
            <w:r w:rsidRPr="00284C68">
              <w:rPr>
                <w:rStyle w:val="Hipervnculo"/>
                <w:noProof/>
              </w:rPr>
              <w:t>Objetivo Institucional</w:t>
            </w:r>
            <w:r>
              <w:rPr>
                <w:noProof/>
                <w:webHidden/>
              </w:rPr>
              <w:tab/>
            </w:r>
            <w:r>
              <w:rPr>
                <w:noProof/>
                <w:webHidden/>
              </w:rPr>
              <w:fldChar w:fldCharType="begin"/>
            </w:r>
            <w:r>
              <w:rPr>
                <w:noProof/>
                <w:webHidden/>
              </w:rPr>
              <w:instrText xml:space="preserve"> PAGEREF _Toc497384624 \h </w:instrText>
            </w:r>
            <w:r>
              <w:rPr>
                <w:noProof/>
                <w:webHidden/>
              </w:rPr>
            </w:r>
            <w:r>
              <w:rPr>
                <w:noProof/>
                <w:webHidden/>
              </w:rPr>
              <w:fldChar w:fldCharType="separate"/>
            </w:r>
            <w:r>
              <w:rPr>
                <w:noProof/>
                <w:webHidden/>
              </w:rPr>
              <w:t>13</w:t>
            </w:r>
            <w:r>
              <w:rPr>
                <w:noProof/>
                <w:webHidden/>
              </w:rPr>
              <w:fldChar w:fldCharType="end"/>
            </w:r>
          </w:hyperlink>
        </w:p>
        <w:p w:rsidR="0028439F" w:rsidRDefault="0028439F" w:rsidP="0028439F">
          <w:pPr>
            <w:pStyle w:val="TDC2"/>
            <w:tabs>
              <w:tab w:val="left" w:pos="660"/>
              <w:tab w:val="right" w:pos="9019"/>
            </w:tabs>
            <w:rPr>
              <w:rFonts w:eastAsiaTheme="minorEastAsia"/>
              <w:noProof/>
            </w:rPr>
          </w:pPr>
          <w:hyperlink w:anchor="_Toc497384625" w:history="1">
            <w:r w:rsidRPr="00284C68">
              <w:rPr>
                <w:rStyle w:val="Hipervnculo"/>
                <w:noProof/>
              </w:rPr>
              <w:t>4.</w:t>
            </w:r>
            <w:r>
              <w:rPr>
                <w:rFonts w:eastAsiaTheme="minorEastAsia"/>
                <w:noProof/>
              </w:rPr>
              <w:tab/>
            </w:r>
            <w:r w:rsidRPr="00284C68">
              <w:rPr>
                <w:rStyle w:val="Hipervnculo"/>
                <w:noProof/>
              </w:rPr>
              <w:t>Funciones Principales</w:t>
            </w:r>
            <w:r>
              <w:rPr>
                <w:noProof/>
                <w:webHidden/>
              </w:rPr>
              <w:tab/>
            </w:r>
            <w:r>
              <w:rPr>
                <w:noProof/>
                <w:webHidden/>
              </w:rPr>
              <w:fldChar w:fldCharType="begin"/>
            </w:r>
            <w:r>
              <w:rPr>
                <w:noProof/>
                <w:webHidden/>
              </w:rPr>
              <w:instrText xml:space="preserve"> PAGEREF _Toc497384625 \h </w:instrText>
            </w:r>
            <w:r>
              <w:rPr>
                <w:noProof/>
                <w:webHidden/>
              </w:rPr>
            </w:r>
            <w:r>
              <w:rPr>
                <w:noProof/>
                <w:webHidden/>
              </w:rPr>
              <w:fldChar w:fldCharType="separate"/>
            </w:r>
            <w:r>
              <w:rPr>
                <w:noProof/>
                <w:webHidden/>
              </w:rPr>
              <w:t>13</w:t>
            </w:r>
            <w:r>
              <w:rPr>
                <w:noProof/>
                <w:webHidden/>
              </w:rPr>
              <w:fldChar w:fldCharType="end"/>
            </w:r>
          </w:hyperlink>
        </w:p>
        <w:p w:rsidR="0028439F" w:rsidRDefault="0028439F" w:rsidP="0028439F">
          <w:pPr>
            <w:pStyle w:val="TDC2"/>
            <w:tabs>
              <w:tab w:val="left" w:pos="660"/>
              <w:tab w:val="right" w:pos="9019"/>
            </w:tabs>
            <w:rPr>
              <w:rFonts w:eastAsiaTheme="minorEastAsia"/>
              <w:noProof/>
            </w:rPr>
          </w:pPr>
          <w:hyperlink w:anchor="_Toc497384626" w:history="1">
            <w:r w:rsidRPr="00284C68">
              <w:rPr>
                <w:rStyle w:val="Hipervnculo"/>
                <w:noProof/>
              </w:rPr>
              <w:t>5.</w:t>
            </w:r>
            <w:r>
              <w:rPr>
                <w:rFonts w:eastAsiaTheme="minorEastAsia"/>
                <w:noProof/>
              </w:rPr>
              <w:tab/>
            </w:r>
            <w:r w:rsidRPr="00284C68">
              <w:rPr>
                <w:rStyle w:val="Hipervnculo"/>
                <w:noProof/>
              </w:rPr>
              <w:t>Estructura Orgánica</w:t>
            </w:r>
            <w:r>
              <w:rPr>
                <w:noProof/>
                <w:webHidden/>
              </w:rPr>
              <w:tab/>
            </w:r>
            <w:r>
              <w:rPr>
                <w:noProof/>
                <w:webHidden/>
              </w:rPr>
              <w:fldChar w:fldCharType="begin"/>
            </w:r>
            <w:r>
              <w:rPr>
                <w:noProof/>
                <w:webHidden/>
              </w:rPr>
              <w:instrText xml:space="preserve"> PAGEREF _Toc497384626 \h </w:instrText>
            </w:r>
            <w:r>
              <w:rPr>
                <w:noProof/>
                <w:webHidden/>
              </w:rPr>
            </w:r>
            <w:r>
              <w:rPr>
                <w:noProof/>
                <w:webHidden/>
              </w:rPr>
              <w:fldChar w:fldCharType="separate"/>
            </w:r>
            <w:r>
              <w:rPr>
                <w:noProof/>
                <w:webHidden/>
              </w:rPr>
              <w:t>14</w:t>
            </w:r>
            <w:r>
              <w:rPr>
                <w:noProof/>
                <w:webHidden/>
              </w:rPr>
              <w:fldChar w:fldCharType="end"/>
            </w:r>
          </w:hyperlink>
        </w:p>
        <w:p w:rsidR="0028439F" w:rsidRDefault="0028439F" w:rsidP="0028439F">
          <w:pPr>
            <w:pStyle w:val="TDC2"/>
            <w:tabs>
              <w:tab w:val="right" w:pos="9019"/>
            </w:tabs>
            <w:rPr>
              <w:rFonts w:eastAsiaTheme="minorEastAsia"/>
              <w:noProof/>
            </w:rPr>
          </w:pPr>
          <w:hyperlink w:anchor="_Toc497384627" w:history="1">
            <w:r w:rsidRPr="00284C68">
              <w:rPr>
                <w:rStyle w:val="Hipervnculo"/>
                <w:noProof/>
              </w:rPr>
              <w:t>7. Aspectos generales de los datos abiertos</w:t>
            </w:r>
            <w:r>
              <w:rPr>
                <w:noProof/>
                <w:webHidden/>
              </w:rPr>
              <w:tab/>
            </w:r>
            <w:r>
              <w:rPr>
                <w:noProof/>
                <w:webHidden/>
              </w:rPr>
              <w:fldChar w:fldCharType="begin"/>
            </w:r>
            <w:r>
              <w:rPr>
                <w:noProof/>
                <w:webHidden/>
              </w:rPr>
              <w:instrText xml:space="preserve"> PAGEREF _Toc497384627 \h </w:instrText>
            </w:r>
            <w:r>
              <w:rPr>
                <w:noProof/>
                <w:webHidden/>
              </w:rPr>
            </w:r>
            <w:r>
              <w:rPr>
                <w:noProof/>
                <w:webHidden/>
              </w:rPr>
              <w:fldChar w:fldCharType="separate"/>
            </w:r>
            <w:r>
              <w:rPr>
                <w:noProof/>
                <w:webHidden/>
              </w:rPr>
              <w:t>16</w:t>
            </w:r>
            <w:r>
              <w:rPr>
                <w:noProof/>
                <w:webHidden/>
              </w:rPr>
              <w:fldChar w:fldCharType="end"/>
            </w:r>
          </w:hyperlink>
        </w:p>
        <w:p w:rsidR="0028439F" w:rsidRDefault="0028439F" w:rsidP="0028439F">
          <w:pPr>
            <w:pStyle w:val="TDC2"/>
            <w:tabs>
              <w:tab w:val="right" w:pos="9019"/>
            </w:tabs>
            <w:rPr>
              <w:rFonts w:eastAsiaTheme="minorEastAsia"/>
              <w:noProof/>
            </w:rPr>
          </w:pPr>
          <w:hyperlink w:anchor="_Toc497384628" w:history="1">
            <w:r w:rsidRPr="00284C68">
              <w:rPr>
                <w:rStyle w:val="Hipervnculo"/>
                <w:noProof/>
              </w:rPr>
              <w:t>8. Recursos actuales con los que cuenta el Congreso de la República para la apertura de datos abiertos</w:t>
            </w:r>
            <w:r>
              <w:rPr>
                <w:noProof/>
                <w:webHidden/>
              </w:rPr>
              <w:tab/>
            </w:r>
            <w:r>
              <w:rPr>
                <w:noProof/>
                <w:webHidden/>
              </w:rPr>
              <w:fldChar w:fldCharType="begin"/>
            </w:r>
            <w:r>
              <w:rPr>
                <w:noProof/>
                <w:webHidden/>
              </w:rPr>
              <w:instrText xml:space="preserve"> PAGEREF _Toc497384628 \h </w:instrText>
            </w:r>
            <w:r>
              <w:rPr>
                <w:noProof/>
                <w:webHidden/>
              </w:rPr>
            </w:r>
            <w:r>
              <w:rPr>
                <w:noProof/>
                <w:webHidden/>
              </w:rPr>
              <w:fldChar w:fldCharType="separate"/>
            </w:r>
            <w:r>
              <w:rPr>
                <w:noProof/>
                <w:webHidden/>
              </w:rPr>
              <w:t>16</w:t>
            </w:r>
            <w:r>
              <w:rPr>
                <w:noProof/>
                <w:webHidden/>
              </w:rPr>
              <w:fldChar w:fldCharType="end"/>
            </w:r>
          </w:hyperlink>
        </w:p>
        <w:p w:rsidR="0028439F" w:rsidRDefault="0028439F" w:rsidP="0028439F">
          <w:pPr>
            <w:pStyle w:val="TDC1"/>
            <w:tabs>
              <w:tab w:val="right" w:pos="9019"/>
            </w:tabs>
            <w:rPr>
              <w:rFonts w:eastAsiaTheme="minorEastAsia"/>
              <w:noProof/>
            </w:rPr>
          </w:pPr>
          <w:hyperlink w:anchor="_Toc497384629" w:history="1">
            <w:r w:rsidRPr="00284C68">
              <w:rPr>
                <w:rStyle w:val="Hipervnculo"/>
                <w:noProof/>
              </w:rPr>
              <w:t>VI. Programa de productos y servicios de la apertura de datos abiertos</w:t>
            </w:r>
            <w:r>
              <w:rPr>
                <w:noProof/>
                <w:webHidden/>
              </w:rPr>
              <w:tab/>
            </w:r>
            <w:r>
              <w:rPr>
                <w:noProof/>
                <w:webHidden/>
              </w:rPr>
              <w:fldChar w:fldCharType="begin"/>
            </w:r>
            <w:r>
              <w:rPr>
                <w:noProof/>
                <w:webHidden/>
              </w:rPr>
              <w:instrText xml:space="preserve"> PAGEREF _Toc497384629 \h </w:instrText>
            </w:r>
            <w:r>
              <w:rPr>
                <w:noProof/>
                <w:webHidden/>
              </w:rPr>
            </w:r>
            <w:r>
              <w:rPr>
                <w:noProof/>
                <w:webHidden/>
              </w:rPr>
              <w:fldChar w:fldCharType="separate"/>
            </w:r>
            <w:r>
              <w:rPr>
                <w:noProof/>
                <w:webHidden/>
              </w:rPr>
              <w:t>18</w:t>
            </w:r>
            <w:r>
              <w:rPr>
                <w:noProof/>
                <w:webHidden/>
              </w:rPr>
              <w:fldChar w:fldCharType="end"/>
            </w:r>
          </w:hyperlink>
        </w:p>
        <w:p w:rsidR="0028439F" w:rsidRDefault="0028439F" w:rsidP="0028439F">
          <w:pPr>
            <w:pStyle w:val="TDC1"/>
            <w:tabs>
              <w:tab w:val="right" w:pos="9019"/>
            </w:tabs>
            <w:rPr>
              <w:rFonts w:eastAsiaTheme="minorEastAsia"/>
              <w:noProof/>
            </w:rPr>
          </w:pPr>
          <w:hyperlink w:anchor="_Toc497384630" w:history="1">
            <w:r w:rsidRPr="00284C68">
              <w:rPr>
                <w:rStyle w:val="Hipervnculo"/>
                <w:noProof/>
              </w:rPr>
              <w:t>V. Planificación de actividades y recursos</w:t>
            </w:r>
            <w:r>
              <w:rPr>
                <w:noProof/>
                <w:webHidden/>
              </w:rPr>
              <w:tab/>
            </w:r>
            <w:r>
              <w:rPr>
                <w:noProof/>
                <w:webHidden/>
              </w:rPr>
              <w:fldChar w:fldCharType="begin"/>
            </w:r>
            <w:r>
              <w:rPr>
                <w:noProof/>
                <w:webHidden/>
              </w:rPr>
              <w:instrText xml:space="preserve"> PAGEREF _Toc497384630 \h </w:instrText>
            </w:r>
            <w:r>
              <w:rPr>
                <w:noProof/>
                <w:webHidden/>
              </w:rPr>
            </w:r>
            <w:r>
              <w:rPr>
                <w:noProof/>
                <w:webHidden/>
              </w:rPr>
              <w:fldChar w:fldCharType="separate"/>
            </w:r>
            <w:r>
              <w:rPr>
                <w:noProof/>
                <w:webHidden/>
              </w:rPr>
              <w:t>18</w:t>
            </w:r>
            <w:r>
              <w:rPr>
                <w:noProof/>
                <w:webHidden/>
              </w:rPr>
              <w:fldChar w:fldCharType="end"/>
            </w:r>
          </w:hyperlink>
        </w:p>
        <w:p w:rsidR="0028439F" w:rsidRDefault="0028439F" w:rsidP="0028439F">
          <w:pPr>
            <w:pStyle w:val="TDC1"/>
            <w:tabs>
              <w:tab w:val="right" w:pos="9019"/>
            </w:tabs>
            <w:rPr>
              <w:rFonts w:eastAsiaTheme="minorEastAsia"/>
              <w:noProof/>
            </w:rPr>
          </w:pPr>
          <w:hyperlink w:anchor="_Toc497384631" w:history="1">
            <w:r w:rsidRPr="00284C68">
              <w:rPr>
                <w:rStyle w:val="Hipervnculo"/>
                <w:noProof/>
              </w:rPr>
              <w:t>VI. Gestión de la estrategia / responsables</w:t>
            </w:r>
            <w:r>
              <w:rPr>
                <w:noProof/>
                <w:webHidden/>
              </w:rPr>
              <w:tab/>
            </w:r>
            <w:r>
              <w:rPr>
                <w:noProof/>
                <w:webHidden/>
              </w:rPr>
              <w:fldChar w:fldCharType="begin"/>
            </w:r>
            <w:r>
              <w:rPr>
                <w:noProof/>
                <w:webHidden/>
              </w:rPr>
              <w:instrText xml:space="preserve"> PAGEREF _Toc497384631 \h </w:instrText>
            </w:r>
            <w:r>
              <w:rPr>
                <w:noProof/>
                <w:webHidden/>
              </w:rPr>
            </w:r>
            <w:r>
              <w:rPr>
                <w:noProof/>
                <w:webHidden/>
              </w:rPr>
              <w:fldChar w:fldCharType="separate"/>
            </w:r>
            <w:r>
              <w:rPr>
                <w:noProof/>
                <w:webHidden/>
              </w:rPr>
              <w:t>19</w:t>
            </w:r>
            <w:r>
              <w:rPr>
                <w:noProof/>
                <w:webHidden/>
              </w:rPr>
              <w:fldChar w:fldCharType="end"/>
            </w:r>
          </w:hyperlink>
        </w:p>
        <w:p w:rsidR="0028439F" w:rsidRDefault="0028439F" w:rsidP="0028439F">
          <w:pPr>
            <w:pStyle w:val="TDC2"/>
            <w:tabs>
              <w:tab w:val="left" w:pos="660"/>
              <w:tab w:val="right" w:pos="9019"/>
            </w:tabs>
            <w:rPr>
              <w:rFonts w:eastAsiaTheme="minorEastAsia"/>
              <w:noProof/>
            </w:rPr>
          </w:pPr>
          <w:hyperlink w:anchor="_Toc497384632" w:history="1">
            <w:r w:rsidRPr="00284C68">
              <w:rPr>
                <w:rStyle w:val="Hipervnculo"/>
                <w:noProof/>
              </w:rPr>
              <w:t>1.</w:t>
            </w:r>
            <w:r>
              <w:rPr>
                <w:rFonts w:eastAsiaTheme="minorEastAsia"/>
                <w:noProof/>
              </w:rPr>
              <w:tab/>
            </w:r>
            <w:r w:rsidRPr="00284C68">
              <w:rPr>
                <w:rStyle w:val="Hipervnculo"/>
                <w:noProof/>
              </w:rPr>
              <w:t>Definición de estrategia</w:t>
            </w:r>
            <w:r>
              <w:rPr>
                <w:noProof/>
                <w:webHidden/>
              </w:rPr>
              <w:tab/>
            </w:r>
            <w:r>
              <w:rPr>
                <w:noProof/>
                <w:webHidden/>
              </w:rPr>
              <w:fldChar w:fldCharType="begin"/>
            </w:r>
            <w:r>
              <w:rPr>
                <w:noProof/>
                <w:webHidden/>
              </w:rPr>
              <w:instrText xml:space="preserve"> PAGEREF _Toc497384632 \h </w:instrText>
            </w:r>
            <w:r>
              <w:rPr>
                <w:noProof/>
                <w:webHidden/>
              </w:rPr>
            </w:r>
            <w:r>
              <w:rPr>
                <w:noProof/>
                <w:webHidden/>
              </w:rPr>
              <w:fldChar w:fldCharType="separate"/>
            </w:r>
            <w:r>
              <w:rPr>
                <w:noProof/>
                <w:webHidden/>
              </w:rPr>
              <w:t>19</w:t>
            </w:r>
            <w:r>
              <w:rPr>
                <w:noProof/>
                <w:webHidden/>
              </w:rPr>
              <w:fldChar w:fldCharType="end"/>
            </w:r>
          </w:hyperlink>
        </w:p>
        <w:p w:rsidR="0028439F" w:rsidRDefault="0028439F" w:rsidP="0028439F">
          <w:pPr>
            <w:pStyle w:val="TDC2"/>
            <w:tabs>
              <w:tab w:val="left" w:pos="660"/>
              <w:tab w:val="right" w:pos="9019"/>
            </w:tabs>
            <w:rPr>
              <w:rFonts w:eastAsiaTheme="minorEastAsia"/>
              <w:noProof/>
            </w:rPr>
          </w:pPr>
          <w:hyperlink w:anchor="_Toc497384633" w:history="1">
            <w:r w:rsidRPr="00284C68">
              <w:rPr>
                <w:rStyle w:val="Hipervnculo"/>
                <w:noProof/>
              </w:rPr>
              <w:t>2.</w:t>
            </w:r>
            <w:r>
              <w:rPr>
                <w:rFonts w:eastAsiaTheme="minorEastAsia"/>
                <w:noProof/>
              </w:rPr>
              <w:tab/>
            </w:r>
            <w:r w:rsidRPr="00284C68">
              <w:rPr>
                <w:rStyle w:val="Hipervnculo"/>
                <w:noProof/>
              </w:rPr>
              <w:t>Estrategia específica de apertura de datos</w:t>
            </w:r>
            <w:r>
              <w:rPr>
                <w:noProof/>
                <w:webHidden/>
              </w:rPr>
              <w:tab/>
            </w:r>
            <w:r>
              <w:rPr>
                <w:noProof/>
                <w:webHidden/>
              </w:rPr>
              <w:fldChar w:fldCharType="begin"/>
            </w:r>
            <w:r>
              <w:rPr>
                <w:noProof/>
                <w:webHidden/>
              </w:rPr>
              <w:instrText xml:space="preserve"> PAGEREF _Toc497384633 \h </w:instrText>
            </w:r>
            <w:r>
              <w:rPr>
                <w:noProof/>
                <w:webHidden/>
              </w:rPr>
            </w:r>
            <w:r>
              <w:rPr>
                <w:noProof/>
                <w:webHidden/>
              </w:rPr>
              <w:fldChar w:fldCharType="separate"/>
            </w:r>
            <w:r>
              <w:rPr>
                <w:noProof/>
                <w:webHidden/>
              </w:rPr>
              <w:t>19</w:t>
            </w:r>
            <w:r>
              <w:rPr>
                <w:noProof/>
                <w:webHidden/>
              </w:rPr>
              <w:fldChar w:fldCharType="end"/>
            </w:r>
          </w:hyperlink>
        </w:p>
        <w:p w:rsidR="0028439F" w:rsidRDefault="0028439F" w:rsidP="0028439F">
          <w:pPr>
            <w:pStyle w:val="TDC2"/>
            <w:tabs>
              <w:tab w:val="left" w:pos="660"/>
              <w:tab w:val="right" w:pos="9019"/>
            </w:tabs>
            <w:rPr>
              <w:rFonts w:eastAsiaTheme="minorEastAsia"/>
              <w:noProof/>
            </w:rPr>
          </w:pPr>
          <w:hyperlink w:anchor="_Toc497384634" w:history="1">
            <w:r w:rsidRPr="00284C68">
              <w:rPr>
                <w:rStyle w:val="Hipervnculo"/>
                <w:noProof/>
              </w:rPr>
              <w:t>3.</w:t>
            </w:r>
            <w:r>
              <w:rPr>
                <w:rFonts w:eastAsiaTheme="minorEastAsia"/>
                <w:noProof/>
              </w:rPr>
              <w:tab/>
            </w:r>
            <w:r w:rsidRPr="00284C68">
              <w:rPr>
                <w:rStyle w:val="Hipervnculo"/>
                <w:noProof/>
              </w:rPr>
              <w:t>Metodología</w:t>
            </w:r>
            <w:r>
              <w:rPr>
                <w:noProof/>
                <w:webHidden/>
              </w:rPr>
              <w:tab/>
            </w:r>
            <w:r>
              <w:rPr>
                <w:noProof/>
                <w:webHidden/>
              </w:rPr>
              <w:fldChar w:fldCharType="begin"/>
            </w:r>
            <w:r>
              <w:rPr>
                <w:noProof/>
                <w:webHidden/>
              </w:rPr>
              <w:instrText xml:space="preserve"> PAGEREF _Toc497384634 \h </w:instrText>
            </w:r>
            <w:r>
              <w:rPr>
                <w:noProof/>
                <w:webHidden/>
              </w:rPr>
            </w:r>
            <w:r>
              <w:rPr>
                <w:noProof/>
                <w:webHidden/>
              </w:rPr>
              <w:fldChar w:fldCharType="separate"/>
            </w:r>
            <w:r>
              <w:rPr>
                <w:noProof/>
                <w:webHidden/>
              </w:rPr>
              <w:t>22</w:t>
            </w:r>
            <w:r>
              <w:rPr>
                <w:noProof/>
                <w:webHidden/>
              </w:rPr>
              <w:fldChar w:fldCharType="end"/>
            </w:r>
          </w:hyperlink>
        </w:p>
        <w:p w:rsidR="0028439F" w:rsidRDefault="0028439F" w:rsidP="0028439F">
          <w:pPr>
            <w:pStyle w:val="TDC2"/>
            <w:tabs>
              <w:tab w:val="left" w:pos="660"/>
              <w:tab w:val="right" w:pos="9019"/>
            </w:tabs>
            <w:rPr>
              <w:rFonts w:eastAsiaTheme="minorEastAsia"/>
              <w:noProof/>
            </w:rPr>
          </w:pPr>
          <w:hyperlink w:anchor="_Toc497384635" w:history="1">
            <w:r w:rsidRPr="00284C68">
              <w:rPr>
                <w:rStyle w:val="Hipervnculo"/>
                <w:noProof/>
              </w:rPr>
              <w:t>4.</w:t>
            </w:r>
            <w:r>
              <w:rPr>
                <w:rFonts w:eastAsiaTheme="minorEastAsia"/>
                <w:noProof/>
              </w:rPr>
              <w:tab/>
            </w:r>
            <w:r w:rsidRPr="00284C68">
              <w:rPr>
                <w:rStyle w:val="Hipervnculo"/>
                <w:noProof/>
              </w:rPr>
              <w:t>Línea base de indicadores en la apertura de datos</w:t>
            </w:r>
            <w:r>
              <w:rPr>
                <w:noProof/>
                <w:webHidden/>
              </w:rPr>
              <w:tab/>
            </w:r>
            <w:r>
              <w:rPr>
                <w:noProof/>
                <w:webHidden/>
              </w:rPr>
              <w:fldChar w:fldCharType="begin"/>
            </w:r>
            <w:r>
              <w:rPr>
                <w:noProof/>
                <w:webHidden/>
              </w:rPr>
              <w:instrText xml:space="preserve"> PAGEREF _Toc497384635 \h </w:instrText>
            </w:r>
            <w:r>
              <w:rPr>
                <w:noProof/>
                <w:webHidden/>
              </w:rPr>
            </w:r>
            <w:r>
              <w:rPr>
                <w:noProof/>
                <w:webHidden/>
              </w:rPr>
              <w:fldChar w:fldCharType="separate"/>
            </w:r>
            <w:r>
              <w:rPr>
                <w:noProof/>
                <w:webHidden/>
              </w:rPr>
              <w:t>23</w:t>
            </w:r>
            <w:r>
              <w:rPr>
                <w:noProof/>
                <w:webHidden/>
              </w:rPr>
              <w:fldChar w:fldCharType="end"/>
            </w:r>
          </w:hyperlink>
        </w:p>
        <w:p w:rsidR="0028439F" w:rsidRDefault="0028439F" w:rsidP="0028439F">
          <w:pPr>
            <w:pStyle w:val="TDC1"/>
            <w:tabs>
              <w:tab w:val="right" w:pos="9019"/>
            </w:tabs>
            <w:rPr>
              <w:rFonts w:eastAsiaTheme="minorEastAsia"/>
              <w:noProof/>
            </w:rPr>
          </w:pPr>
          <w:hyperlink w:anchor="_Toc497384636" w:history="1">
            <w:r w:rsidRPr="00284C68">
              <w:rPr>
                <w:rStyle w:val="Hipervnculo"/>
                <w:noProof/>
              </w:rPr>
              <w:t>VII. Fuentes de referencia</w:t>
            </w:r>
            <w:r>
              <w:rPr>
                <w:noProof/>
                <w:webHidden/>
              </w:rPr>
              <w:tab/>
            </w:r>
            <w:r>
              <w:rPr>
                <w:noProof/>
                <w:webHidden/>
              </w:rPr>
              <w:fldChar w:fldCharType="begin"/>
            </w:r>
            <w:r>
              <w:rPr>
                <w:noProof/>
                <w:webHidden/>
              </w:rPr>
              <w:instrText xml:space="preserve"> PAGEREF _Toc497384636 \h </w:instrText>
            </w:r>
            <w:r>
              <w:rPr>
                <w:noProof/>
                <w:webHidden/>
              </w:rPr>
            </w:r>
            <w:r>
              <w:rPr>
                <w:noProof/>
                <w:webHidden/>
              </w:rPr>
              <w:fldChar w:fldCharType="separate"/>
            </w:r>
            <w:r>
              <w:rPr>
                <w:noProof/>
                <w:webHidden/>
              </w:rPr>
              <w:t>24</w:t>
            </w:r>
            <w:r>
              <w:rPr>
                <w:noProof/>
                <w:webHidden/>
              </w:rPr>
              <w:fldChar w:fldCharType="end"/>
            </w:r>
          </w:hyperlink>
        </w:p>
        <w:p w:rsidR="0028439F" w:rsidRDefault="0028439F" w:rsidP="0028439F">
          <w:pPr>
            <w:tabs>
              <w:tab w:val="right" w:pos="9025"/>
            </w:tabs>
            <w:spacing w:before="200" w:after="80" w:line="240" w:lineRule="auto"/>
          </w:pPr>
          <w:r>
            <w:fldChar w:fldCharType="end"/>
          </w:r>
        </w:p>
      </w:sdtContent>
    </w:sdt>
    <w:p w:rsidR="0028439F" w:rsidRDefault="0028439F" w:rsidP="0028439F">
      <w:pPr>
        <w:pStyle w:val="Ttulo1"/>
        <w:numPr>
          <w:ilvl w:val="0"/>
          <w:numId w:val="1"/>
        </w:numPr>
        <w:pBdr>
          <w:top w:val="nil"/>
          <w:left w:val="nil"/>
          <w:bottom w:val="nil"/>
          <w:right w:val="nil"/>
          <w:between w:val="nil"/>
        </w:pBdr>
        <w:spacing w:before="400" w:after="120" w:line="360" w:lineRule="auto"/>
        <w:contextualSpacing/>
        <w:jc w:val="center"/>
      </w:pPr>
      <w:bookmarkStart w:id="1" w:name="_Toc497384618"/>
      <w:bookmarkStart w:id="2" w:name="_Toc497921668"/>
      <w:bookmarkStart w:id="3" w:name="_Toc497977882"/>
      <w:bookmarkStart w:id="4" w:name="_Toc497978323"/>
      <w:bookmarkStart w:id="5" w:name="_Toc498412253"/>
      <w:bookmarkStart w:id="6" w:name="_Toc499758997"/>
      <w:bookmarkStart w:id="7" w:name="_Toc502813698"/>
      <w:r>
        <w:t>Introducción</w:t>
      </w:r>
      <w:bookmarkEnd w:id="1"/>
      <w:bookmarkEnd w:id="2"/>
      <w:bookmarkEnd w:id="3"/>
      <w:bookmarkEnd w:id="4"/>
      <w:bookmarkEnd w:id="5"/>
      <w:bookmarkEnd w:id="6"/>
      <w:bookmarkEnd w:id="7"/>
    </w:p>
    <w:p w:rsidR="0028439F" w:rsidRDefault="0028439F" w:rsidP="0028439F">
      <w:pPr>
        <w:spacing w:line="360" w:lineRule="auto"/>
      </w:pPr>
    </w:p>
    <w:p w:rsidR="0028439F" w:rsidRDefault="0028439F" w:rsidP="0028439F">
      <w:pPr>
        <w:spacing w:line="360" w:lineRule="auto"/>
      </w:pPr>
    </w:p>
    <w:p w:rsidR="0028439F" w:rsidRDefault="0028439F" w:rsidP="0028439F">
      <w:pPr>
        <w:spacing w:line="360" w:lineRule="auto"/>
      </w:pPr>
    </w:p>
    <w:p w:rsidR="0028439F" w:rsidRDefault="0028439F" w:rsidP="0028439F">
      <w:pPr>
        <w:spacing w:line="360" w:lineRule="auto"/>
        <w:jc w:val="both"/>
        <w:rPr>
          <w:sz w:val="24"/>
          <w:szCs w:val="24"/>
        </w:rPr>
      </w:pPr>
      <w:r>
        <w:rPr>
          <w:sz w:val="24"/>
          <w:szCs w:val="24"/>
        </w:rPr>
        <w:t xml:space="preserve">El término “Gobierno Abierto” surgió por primera vez a finales de 1970, cuando en Inglaterra se discutía sobre la posibilidad de </w:t>
      </w:r>
      <w:r>
        <w:rPr>
          <w:i/>
          <w:sz w:val="24"/>
          <w:szCs w:val="24"/>
        </w:rPr>
        <w:t>““abrir las ventanas” del sector público hacia el escrutinio ciudadano en aras de reducir la opacidad burocrática.”</w:t>
      </w:r>
      <w:r>
        <w:rPr>
          <w:i/>
          <w:sz w:val="24"/>
          <w:szCs w:val="24"/>
          <w:vertAlign w:val="superscript"/>
        </w:rPr>
        <w:footnoteReference w:id="1"/>
      </w:r>
      <w:r>
        <w:rPr>
          <w:sz w:val="24"/>
          <w:szCs w:val="24"/>
        </w:rPr>
        <w:t xml:space="preserve">Desde entonces, el concepto ha evolucionado de la mano de la tecnología, y ha ido permeando en la gestión pública de decenas de países. Hoy en día, esta iniciativa ha sido replicada en distintos países de todo el mundo, no solo a nivel de gobierno central, sino también en el poder legislativo como en el judicial. Así, la agenda mundial apunta cada vez más a Estados más accesibles a la información. </w:t>
      </w:r>
    </w:p>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r>
        <w:rPr>
          <w:sz w:val="24"/>
          <w:szCs w:val="24"/>
        </w:rPr>
        <w:t>En el caso del Congreso de la República de Guatemala, el haberse adherido a la iniciativa de Parlamento Abierto, a través del Acuerdo de Junta Directiva 33-2016, representó un paso importante a favor de un Congreso más eficiente, transparente y abierto. La misma OCDE</w:t>
      </w:r>
      <w:r>
        <w:rPr>
          <w:sz w:val="24"/>
          <w:szCs w:val="24"/>
          <w:vertAlign w:val="superscript"/>
        </w:rPr>
        <w:footnoteReference w:id="2"/>
      </w:r>
      <w:r>
        <w:rPr>
          <w:sz w:val="24"/>
          <w:szCs w:val="24"/>
        </w:rPr>
        <w:t xml:space="preserve"> ha promovido en todas las esferas públicas, la apertura de las distintas instituciones del Estado como un procedimiento para recuperar legitimidad y acercar de nuevo a la ciudadanía y representantes públicos. Esta iniciativa depende de tres pilares principales: </w:t>
      </w:r>
    </w:p>
    <w:p w:rsidR="0028439F" w:rsidRDefault="0028439F" w:rsidP="0028439F">
      <w:pPr>
        <w:spacing w:line="360" w:lineRule="auto"/>
        <w:jc w:val="both"/>
        <w:rPr>
          <w:sz w:val="24"/>
          <w:szCs w:val="24"/>
        </w:rPr>
      </w:pPr>
      <w:r>
        <w:rPr>
          <w:sz w:val="24"/>
          <w:szCs w:val="24"/>
        </w:rPr>
        <w:t xml:space="preserve">1) transparencia y apertura; </w:t>
      </w:r>
    </w:p>
    <w:p w:rsidR="0028439F" w:rsidRDefault="0028439F" w:rsidP="0028439F">
      <w:pPr>
        <w:spacing w:line="360" w:lineRule="auto"/>
        <w:jc w:val="both"/>
        <w:rPr>
          <w:sz w:val="24"/>
          <w:szCs w:val="24"/>
        </w:rPr>
      </w:pPr>
      <w:r>
        <w:rPr>
          <w:sz w:val="24"/>
          <w:szCs w:val="24"/>
        </w:rPr>
        <w:t>2) participación; y</w:t>
      </w:r>
    </w:p>
    <w:p w:rsidR="0028439F" w:rsidRDefault="0028439F" w:rsidP="0028439F">
      <w:pPr>
        <w:spacing w:line="360" w:lineRule="auto"/>
        <w:jc w:val="both"/>
        <w:rPr>
          <w:sz w:val="24"/>
          <w:szCs w:val="24"/>
        </w:rPr>
      </w:pPr>
      <w:r>
        <w:rPr>
          <w:sz w:val="24"/>
          <w:szCs w:val="24"/>
        </w:rPr>
        <w:t>3) colaboración.</w:t>
      </w:r>
    </w:p>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r>
        <w:rPr>
          <w:sz w:val="24"/>
          <w:szCs w:val="24"/>
        </w:rPr>
        <w:t xml:space="preserve">De acuerdo con estos principios o pilares, y la visión de la apertura de datos legislativos, como un instrumento de transparencia, rendición de cuentas, participación ciudadana e incluso en pro de hacer más eficientes los procesos internos, la información generada por el Organismo Legislativo debe estar estandarizada y en formato abierto (accesible). Esta </w:t>
      </w:r>
      <w:r>
        <w:rPr>
          <w:sz w:val="24"/>
          <w:szCs w:val="24"/>
        </w:rPr>
        <w:lastRenderedPageBreak/>
        <w:t>apertura, debe darse de manera proactiva por parte del Congreso de la República para permitir a los ciudadanos obtener la información a la que desean acceder sin tener que realizar los procesos burocráticos de papeleo y solicitud.</w:t>
      </w:r>
    </w:p>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r>
        <w:rPr>
          <w:sz w:val="24"/>
          <w:szCs w:val="24"/>
        </w:rPr>
        <w:t>Se reconoce que la apertura de datos en formato abierto, de parte de cualquier institución pública, es un proceso paulatino que requiere de espacios permanentes de retroalimentación, en los que se permita también la participación de representantes de sociedad civil que apoyen en el proceso. Aunado a esto, esta estrategia de apertura en el Congreso de la República de Guatemala requiere de la validación y participación activa de las distintas direcciones administrativas del Congreso de la República de Guatemala.</w:t>
      </w:r>
    </w:p>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r>
        <w:rPr>
          <w:sz w:val="24"/>
          <w:szCs w:val="24"/>
        </w:rPr>
        <w:t>Por tanto, la siguiente Guía de apertura de datos busca institucionalizar y normalizar este proceso dentro del Congreso de la República de Guatemala.</w:t>
      </w:r>
    </w:p>
    <w:p w:rsidR="0028439F" w:rsidRDefault="0028439F" w:rsidP="0028439F">
      <w:pPr>
        <w:spacing w:line="360" w:lineRule="auto"/>
        <w:jc w:val="both"/>
        <w:rPr>
          <w:sz w:val="24"/>
          <w:szCs w:val="24"/>
        </w:rPr>
      </w:pPr>
    </w:p>
    <w:p w:rsidR="0028439F" w:rsidRDefault="0028439F" w:rsidP="0028439F">
      <w:pPr>
        <w:spacing w:line="360" w:lineRule="auto"/>
      </w:pPr>
    </w:p>
    <w:p w:rsidR="0028439F" w:rsidRDefault="0028439F" w:rsidP="0028439F">
      <w:pPr>
        <w:spacing w:line="360" w:lineRule="auto"/>
      </w:pPr>
    </w:p>
    <w:p w:rsidR="0028439F" w:rsidRDefault="0028439F" w:rsidP="0028439F">
      <w:pPr>
        <w:pStyle w:val="Ttulo1"/>
        <w:spacing w:line="360" w:lineRule="auto"/>
        <w:jc w:val="center"/>
      </w:pPr>
      <w:bookmarkStart w:id="8" w:name="_12vpcfaxj7xb" w:colFirst="0" w:colLast="0"/>
      <w:bookmarkEnd w:id="8"/>
    </w:p>
    <w:p w:rsidR="0028439F" w:rsidRDefault="0028439F" w:rsidP="0028439F">
      <w:pPr>
        <w:pStyle w:val="Ttulo1"/>
        <w:spacing w:line="360" w:lineRule="auto"/>
        <w:jc w:val="center"/>
      </w:pPr>
      <w:bookmarkStart w:id="9" w:name="_bqpqmusvwcc3" w:colFirst="0" w:colLast="0"/>
      <w:bookmarkEnd w:id="9"/>
      <w:r>
        <w:br w:type="page"/>
      </w:r>
    </w:p>
    <w:p w:rsidR="0028439F" w:rsidRDefault="0028439F" w:rsidP="0028439F">
      <w:pPr>
        <w:pStyle w:val="Ttulo1"/>
        <w:spacing w:line="360" w:lineRule="auto"/>
        <w:jc w:val="center"/>
      </w:pPr>
      <w:bookmarkStart w:id="10" w:name="_Toc497384619"/>
      <w:bookmarkStart w:id="11" w:name="_Toc497921669"/>
      <w:bookmarkStart w:id="12" w:name="_Toc497977883"/>
      <w:bookmarkStart w:id="13" w:name="_Toc497978324"/>
      <w:bookmarkStart w:id="14" w:name="_Toc498412254"/>
      <w:bookmarkStart w:id="15" w:name="_Toc499758998"/>
      <w:bookmarkStart w:id="16" w:name="_Toc502813699"/>
      <w:r>
        <w:lastRenderedPageBreak/>
        <w:t>II. Diagnóstico</w:t>
      </w:r>
      <w:bookmarkEnd w:id="10"/>
      <w:bookmarkEnd w:id="11"/>
      <w:bookmarkEnd w:id="12"/>
      <w:bookmarkEnd w:id="13"/>
      <w:bookmarkEnd w:id="14"/>
      <w:bookmarkEnd w:id="15"/>
      <w:bookmarkEnd w:id="16"/>
    </w:p>
    <w:p w:rsidR="0028439F" w:rsidRDefault="0028439F" w:rsidP="0028439F">
      <w:pPr>
        <w:pStyle w:val="Ttulo2"/>
        <w:spacing w:line="360" w:lineRule="auto"/>
        <w:ind w:left="1080"/>
        <w:contextualSpacing/>
      </w:pPr>
      <w:bookmarkStart w:id="17" w:name="_Toc497384620"/>
      <w:bookmarkStart w:id="18" w:name="_Toc497921670"/>
      <w:bookmarkStart w:id="19" w:name="_Toc497977884"/>
      <w:bookmarkStart w:id="20" w:name="_Toc497978325"/>
      <w:bookmarkStart w:id="21" w:name="_Toc498412255"/>
      <w:bookmarkStart w:id="22" w:name="_Toc499758999"/>
      <w:bookmarkStart w:id="23" w:name="_Toc502813700"/>
      <w:r>
        <w:t>Base Legal</w:t>
      </w:r>
      <w:bookmarkEnd w:id="17"/>
      <w:bookmarkEnd w:id="18"/>
      <w:bookmarkEnd w:id="19"/>
      <w:bookmarkEnd w:id="20"/>
      <w:bookmarkEnd w:id="21"/>
      <w:bookmarkEnd w:id="22"/>
      <w:bookmarkEnd w:id="23"/>
    </w:p>
    <w:p w:rsidR="0028439F" w:rsidRDefault="0028439F" w:rsidP="0028439F">
      <w:pPr>
        <w:spacing w:line="360" w:lineRule="auto"/>
      </w:pPr>
    </w:p>
    <w:p w:rsidR="0028439F" w:rsidRDefault="0028439F" w:rsidP="0028439F">
      <w:pPr>
        <w:spacing w:line="360" w:lineRule="auto"/>
        <w:jc w:val="both"/>
        <w:rPr>
          <w:sz w:val="24"/>
          <w:szCs w:val="24"/>
        </w:rPr>
      </w:pPr>
      <w:r>
        <w:rPr>
          <w:sz w:val="24"/>
          <w:szCs w:val="24"/>
        </w:rPr>
        <w:t>En el mes de noviembre de 2016, el Congreso de la República de Guatemala, a través del Acuerdo de Junta Directiva 33-2016, se comprometió a implementar el Primer Plan de Acción de Parlamento Abierto. Este plan fue elaborado por las organizaciones de sociedad civil que conforman la Alianza para un Congreso Abierto de Guatemala –ACAG-. y está conformado por 5 compromisos distribuidos en tres ejes de trabajo:</w:t>
      </w:r>
    </w:p>
    <w:p w:rsidR="0028439F" w:rsidRDefault="0028439F" w:rsidP="0028439F">
      <w:pPr>
        <w:spacing w:line="360" w:lineRule="auto"/>
        <w:jc w:val="both"/>
        <w:rPr>
          <w:sz w:val="24"/>
          <w:szCs w:val="24"/>
        </w:rPr>
      </w:pPr>
    </w:p>
    <w:p w:rsidR="0028439F" w:rsidRDefault="0028439F" w:rsidP="0028439F">
      <w:pPr>
        <w:numPr>
          <w:ilvl w:val="0"/>
          <w:numId w:val="2"/>
        </w:numPr>
        <w:pBdr>
          <w:top w:val="nil"/>
          <w:left w:val="nil"/>
          <w:bottom w:val="nil"/>
          <w:right w:val="nil"/>
          <w:between w:val="nil"/>
        </w:pBdr>
        <w:spacing w:after="0" w:line="360" w:lineRule="auto"/>
        <w:contextualSpacing/>
        <w:jc w:val="both"/>
        <w:rPr>
          <w:sz w:val="24"/>
          <w:szCs w:val="24"/>
        </w:rPr>
      </w:pPr>
      <w:r>
        <w:rPr>
          <w:sz w:val="24"/>
          <w:szCs w:val="24"/>
        </w:rPr>
        <w:t>Innovación institucional</w:t>
      </w:r>
    </w:p>
    <w:p w:rsidR="0028439F" w:rsidRDefault="0028439F" w:rsidP="0028439F">
      <w:pPr>
        <w:numPr>
          <w:ilvl w:val="0"/>
          <w:numId w:val="2"/>
        </w:numPr>
        <w:pBdr>
          <w:top w:val="nil"/>
          <w:left w:val="nil"/>
          <w:bottom w:val="nil"/>
          <w:right w:val="nil"/>
          <w:between w:val="nil"/>
        </w:pBdr>
        <w:spacing w:after="0" w:line="360" w:lineRule="auto"/>
        <w:contextualSpacing/>
        <w:jc w:val="both"/>
        <w:rPr>
          <w:sz w:val="24"/>
          <w:szCs w:val="24"/>
        </w:rPr>
      </w:pPr>
      <w:r>
        <w:rPr>
          <w:sz w:val="24"/>
          <w:szCs w:val="24"/>
        </w:rPr>
        <w:t>Transparencia</w:t>
      </w:r>
    </w:p>
    <w:p w:rsidR="0028439F" w:rsidRDefault="0028439F" w:rsidP="0028439F">
      <w:pPr>
        <w:numPr>
          <w:ilvl w:val="0"/>
          <w:numId w:val="2"/>
        </w:numPr>
        <w:pBdr>
          <w:top w:val="nil"/>
          <w:left w:val="nil"/>
          <w:bottom w:val="nil"/>
          <w:right w:val="nil"/>
          <w:between w:val="nil"/>
        </w:pBdr>
        <w:spacing w:after="0" w:line="360" w:lineRule="auto"/>
        <w:contextualSpacing/>
        <w:jc w:val="both"/>
        <w:rPr>
          <w:sz w:val="24"/>
          <w:szCs w:val="24"/>
        </w:rPr>
      </w:pPr>
      <w:r>
        <w:rPr>
          <w:sz w:val="24"/>
          <w:szCs w:val="24"/>
        </w:rPr>
        <w:t>Rendición de cuentas</w:t>
      </w:r>
    </w:p>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r>
        <w:rPr>
          <w:sz w:val="24"/>
          <w:szCs w:val="24"/>
        </w:rPr>
        <w:t>Los cinco compromisos descritos en este primer plan de Parlamento Abierto son:</w:t>
      </w:r>
    </w:p>
    <w:p w:rsidR="0028439F" w:rsidRDefault="0028439F" w:rsidP="0028439F">
      <w:pPr>
        <w:spacing w:line="360" w:lineRule="auto"/>
        <w:jc w:val="both"/>
        <w:rPr>
          <w:sz w:val="24"/>
          <w:szCs w:val="24"/>
        </w:rPr>
      </w:pPr>
    </w:p>
    <w:p w:rsidR="0028439F" w:rsidRDefault="0028439F" w:rsidP="0028439F">
      <w:pPr>
        <w:numPr>
          <w:ilvl w:val="0"/>
          <w:numId w:val="6"/>
        </w:numPr>
        <w:pBdr>
          <w:top w:val="nil"/>
          <w:left w:val="nil"/>
          <w:bottom w:val="nil"/>
          <w:right w:val="nil"/>
          <w:between w:val="nil"/>
        </w:pBdr>
        <w:spacing w:after="0" w:line="360" w:lineRule="auto"/>
        <w:contextualSpacing/>
        <w:jc w:val="both"/>
        <w:rPr>
          <w:sz w:val="24"/>
          <w:szCs w:val="24"/>
        </w:rPr>
      </w:pPr>
      <w:r>
        <w:rPr>
          <w:sz w:val="24"/>
          <w:szCs w:val="24"/>
        </w:rPr>
        <w:t>Co-creación e implementación de una política legislativa de datos abiertos.</w:t>
      </w:r>
    </w:p>
    <w:p w:rsidR="0028439F" w:rsidRDefault="0028439F" w:rsidP="0028439F">
      <w:pPr>
        <w:numPr>
          <w:ilvl w:val="0"/>
          <w:numId w:val="6"/>
        </w:numPr>
        <w:pBdr>
          <w:top w:val="nil"/>
          <w:left w:val="nil"/>
          <w:bottom w:val="nil"/>
          <w:right w:val="nil"/>
          <w:between w:val="nil"/>
        </w:pBdr>
        <w:spacing w:after="0" w:line="360" w:lineRule="auto"/>
        <w:contextualSpacing/>
        <w:jc w:val="both"/>
        <w:rPr>
          <w:sz w:val="24"/>
          <w:szCs w:val="24"/>
        </w:rPr>
      </w:pPr>
      <w:r>
        <w:rPr>
          <w:sz w:val="24"/>
          <w:szCs w:val="24"/>
        </w:rPr>
        <w:t>Programa de capacitaciones sobre Congreso Abierto.</w:t>
      </w:r>
    </w:p>
    <w:p w:rsidR="0028439F" w:rsidRDefault="0028439F" w:rsidP="0028439F">
      <w:pPr>
        <w:numPr>
          <w:ilvl w:val="0"/>
          <w:numId w:val="6"/>
        </w:numPr>
        <w:pBdr>
          <w:top w:val="nil"/>
          <w:left w:val="nil"/>
          <w:bottom w:val="nil"/>
          <w:right w:val="nil"/>
          <w:between w:val="nil"/>
        </w:pBdr>
        <w:spacing w:after="0" w:line="360" w:lineRule="auto"/>
        <w:contextualSpacing/>
        <w:jc w:val="both"/>
        <w:rPr>
          <w:sz w:val="24"/>
          <w:szCs w:val="24"/>
        </w:rPr>
      </w:pPr>
      <w:r>
        <w:rPr>
          <w:sz w:val="24"/>
          <w:szCs w:val="24"/>
        </w:rPr>
        <w:t>Publicación de hoja de vida de los asesores de diputados, bancadas y comisiones legislativas del Congreso de la República.</w:t>
      </w:r>
    </w:p>
    <w:p w:rsidR="0028439F" w:rsidRDefault="0028439F" w:rsidP="0028439F">
      <w:pPr>
        <w:numPr>
          <w:ilvl w:val="0"/>
          <w:numId w:val="6"/>
        </w:numPr>
        <w:pBdr>
          <w:top w:val="nil"/>
          <w:left w:val="nil"/>
          <w:bottom w:val="nil"/>
          <w:right w:val="nil"/>
          <w:between w:val="nil"/>
        </w:pBdr>
        <w:spacing w:after="0" w:line="360" w:lineRule="auto"/>
        <w:contextualSpacing/>
        <w:jc w:val="both"/>
        <w:rPr>
          <w:sz w:val="24"/>
          <w:szCs w:val="24"/>
        </w:rPr>
      </w:pPr>
      <w:r>
        <w:rPr>
          <w:sz w:val="24"/>
          <w:szCs w:val="24"/>
        </w:rPr>
        <w:t>Diseño y publicación proactiva de material interactivo sobre funciones y procedimientos del Congreso de la República.</w:t>
      </w:r>
    </w:p>
    <w:p w:rsidR="0028439F" w:rsidRDefault="0028439F" w:rsidP="0028439F">
      <w:pPr>
        <w:numPr>
          <w:ilvl w:val="0"/>
          <w:numId w:val="6"/>
        </w:numPr>
        <w:pBdr>
          <w:top w:val="nil"/>
          <w:left w:val="nil"/>
          <w:bottom w:val="nil"/>
          <w:right w:val="nil"/>
          <w:between w:val="nil"/>
        </w:pBdr>
        <w:spacing w:after="0" w:line="360" w:lineRule="auto"/>
        <w:contextualSpacing/>
        <w:jc w:val="both"/>
        <w:rPr>
          <w:sz w:val="24"/>
          <w:szCs w:val="24"/>
        </w:rPr>
      </w:pPr>
      <w:r>
        <w:rPr>
          <w:sz w:val="24"/>
          <w:szCs w:val="24"/>
        </w:rPr>
        <w:t>Crear e implementar una herramienta institucional en línea (Facebook chatbot) que permita comunicación con la parte institucional del Organismo Legislativo.</w:t>
      </w:r>
    </w:p>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r>
        <w:rPr>
          <w:sz w:val="24"/>
          <w:szCs w:val="24"/>
        </w:rPr>
        <w:t xml:space="preserve">Es oportuno indicar que esta guía de apertura de datos cumple con el Compromiso 1 de dicho plan. Sin embargo, es importante hacer notar que la justificación del planteamiento </w:t>
      </w:r>
      <w:r>
        <w:rPr>
          <w:sz w:val="24"/>
          <w:szCs w:val="24"/>
        </w:rPr>
        <w:lastRenderedPageBreak/>
        <w:t>de este compromiso va acorde a los principios y disposiciones del Decreto Número 57-2008 del Congreso de la República, Ley de Acceso a la Información Pública</w:t>
      </w:r>
      <w:r>
        <w:rPr>
          <w:sz w:val="24"/>
          <w:szCs w:val="24"/>
          <w:vertAlign w:val="superscript"/>
        </w:rPr>
        <w:footnoteReference w:id="3"/>
      </w:r>
      <w:r>
        <w:rPr>
          <w:sz w:val="24"/>
          <w:szCs w:val="24"/>
        </w:rPr>
        <w:t xml:space="preserve">. </w:t>
      </w:r>
    </w:p>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r>
        <w:rPr>
          <w:sz w:val="24"/>
          <w:szCs w:val="24"/>
        </w:rPr>
        <w:t>Entre estos principios se encuentran:</w:t>
      </w:r>
    </w:p>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r>
        <w:rPr>
          <w:sz w:val="24"/>
          <w:szCs w:val="24"/>
        </w:rPr>
        <w:t>“Que la Carta Magna establece con absoluta determinación la publicidad de los actos y la información en poder de la administración pública, así como el libre acceso a todas las instituciones, dependencias y archivos de la misma, sin más excepciones que las previstas en el citado texto constitucional.”</w:t>
      </w:r>
      <w:r>
        <w:rPr>
          <w:sz w:val="24"/>
          <w:szCs w:val="24"/>
          <w:vertAlign w:val="superscript"/>
        </w:rPr>
        <w:footnoteReference w:id="4"/>
      </w:r>
    </w:p>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r>
        <w:rPr>
          <w:sz w:val="24"/>
          <w:szCs w:val="24"/>
        </w:rPr>
        <w:t>“Que en armonía y consonancia con lo anteriormente considerado, con base en el texto constitucional de Guatemala y los instrumentos internacionales sobre derechos humanos suscritos y vigentes en el país, se hace necesario emitir una ley que desarrollando esos derechos defina los principios, objetivos, procedimientos y en general aquellos aspectos necesarios para darle seguridad y certeza a todas las personas, consiguiendo hacer efectivo su derecho al acceso a la información pública y a su participación dentro de la auditoria social y fiscalización ciudadana hacia todos los funcionarios, empleados públicos, organismos, instituciones y en general hacia todo aquel que maneje, use, administre o disponga de recursos del Estado de Guatemala.“</w:t>
      </w:r>
      <w:r>
        <w:rPr>
          <w:sz w:val="24"/>
          <w:szCs w:val="24"/>
          <w:vertAlign w:val="superscript"/>
        </w:rPr>
        <w:footnoteReference w:id="5"/>
      </w:r>
    </w:p>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r>
        <w:rPr>
          <w:sz w:val="24"/>
          <w:szCs w:val="24"/>
        </w:rPr>
        <w:t xml:space="preserve">Así mismo, la Ley de Acceso a la Información Pública, en el Capítulo II: Obligaciones de Transparencia, obliga al Congreso de la República de Guatemala, al igual que a cualquier </w:t>
      </w:r>
      <w:r>
        <w:rPr>
          <w:sz w:val="24"/>
          <w:szCs w:val="24"/>
        </w:rPr>
        <w:lastRenderedPageBreak/>
        <w:t>otra entidad pública, a mantener en su página web actualizados los siguientes datos</w:t>
      </w:r>
      <w:bookmarkStart w:id="24" w:name="_Hlk498351298"/>
      <w:r>
        <w:rPr>
          <w:sz w:val="24"/>
          <w:szCs w:val="24"/>
          <w:vertAlign w:val="superscript"/>
        </w:rPr>
        <w:footnoteReference w:id="6"/>
      </w:r>
      <w:r>
        <w:rPr>
          <w:sz w:val="24"/>
          <w:szCs w:val="24"/>
        </w:rPr>
        <w:t>, los cuales, en un proceso paulatino deberían de ser liberados cada vez en formato más abierto.</w:t>
      </w:r>
    </w:p>
    <w:bookmarkEnd w:id="24"/>
    <w:p w:rsidR="0028439F" w:rsidRDefault="0028439F" w:rsidP="0028439F">
      <w:pPr>
        <w:spacing w:line="360" w:lineRule="auto"/>
        <w:jc w:val="both"/>
        <w:rPr>
          <w:sz w:val="24"/>
          <w:szCs w:val="24"/>
        </w:rPr>
      </w:pPr>
      <w:r>
        <w:rPr>
          <w:sz w:val="24"/>
          <w:szCs w:val="24"/>
        </w:rPr>
        <w:t>Por tanto, la presente Guía de apertura de datos legislativos, es concebida acorde a los principios reconocidos en la Constitución Política de la República de Guatemala, con especial énfasis en el derecho a la información. Además, se suscribe también a la Ley de Acceso a la Información Pública, que regula esta materia, y aumenta el alcance de la apertura de los datos al plantear la sistematización del uso de formatos más abiertos y accesibles, en línea con los objetivos y espíritu de dicha ley.</w:t>
      </w:r>
    </w:p>
    <w:p w:rsidR="0028439F" w:rsidRDefault="0028439F" w:rsidP="0028439F">
      <w:pPr>
        <w:spacing w:line="360" w:lineRule="auto"/>
      </w:pPr>
    </w:p>
    <w:p w:rsidR="0028439F" w:rsidRDefault="0028439F" w:rsidP="0028439F">
      <w:pPr>
        <w:rPr>
          <w:sz w:val="40"/>
          <w:szCs w:val="40"/>
        </w:rPr>
      </w:pPr>
      <w:r>
        <w:br w:type="page"/>
      </w:r>
    </w:p>
    <w:p w:rsidR="0028439F" w:rsidRDefault="0028439F" w:rsidP="0028439F">
      <w:pPr>
        <w:pStyle w:val="Ttulo1"/>
        <w:jc w:val="center"/>
      </w:pPr>
      <w:bookmarkStart w:id="25" w:name="_Toc497384621"/>
      <w:bookmarkStart w:id="26" w:name="_Toc497921671"/>
      <w:bookmarkStart w:id="27" w:name="_Toc497977885"/>
      <w:bookmarkStart w:id="28" w:name="_Toc497978326"/>
      <w:bookmarkStart w:id="29" w:name="_Toc498412256"/>
      <w:bookmarkStart w:id="30" w:name="_Toc499759000"/>
      <w:bookmarkStart w:id="31" w:name="_Toc502813701"/>
      <w:r>
        <w:lastRenderedPageBreak/>
        <w:t>III. Guía apertura de datos abiertos</w:t>
      </w:r>
      <w:bookmarkEnd w:id="25"/>
      <w:bookmarkEnd w:id="26"/>
      <w:bookmarkEnd w:id="27"/>
      <w:bookmarkEnd w:id="28"/>
      <w:bookmarkEnd w:id="29"/>
      <w:bookmarkEnd w:id="30"/>
      <w:bookmarkEnd w:id="31"/>
    </w:p>
    <w:p w:rsidR="0028439F" w:rsidRDefault="0028439F" w:rsidP="0028439F">
      <w:pPr>
        <w:spacing w:line="360" w:lineRule="auto"/>
      </w:pPr>
    </w:p>
    <w:p w:rsidR="0028439F" w:rsidRDefault="0028439F" w:rsidP="0028439F">
      <w:pPr>
        <w:spacing w:line="360" w:lineRule="auto"/>
      </w:pPr>
    </w:p>
    <w:p w:rsidR="0028439F" w:rsidRDefault="0028439F" w:rsidP="0028439F">
      <w:pPr>
        <w:spacing w:line="360" w:lineRule="auto"/>
        <w:jc w:val="both"/>
        <w:rPr>
          <w:sz w:val="24"/>
          <w:szCs w:val="24"/>
        </w:rPr>
      </w:pPr>
      <w:r w:rsidRPr="00B64278">
        <w:rPr>
          <w:sz w:val="24"/>
          <w:szCs w:val="24"/>
        </w:rPr>
        <w:t>Con base en los lineamientos</w:t>
      </w:r>
      <w:r>
        <w:rPr>
          <w:rStyle w:val="Refdenotaalpie"/>
          <w:sz w:val="24"/>
          <w:szCs w:val="24"/>
        </w:rPr>
        <w:footnoteReference w:id="7"/>
      </w:r>
      <w:r w:rsidRPr="00B64278">
        <w:rPr>
          <w:sz w:val="24"/>
          <w:szCs w:val="24"/>
        </w:rPr>
        <w:t xml:space="preserve"> establecidos por SEGEPLAN</w:t>
      </w:r>
      <w:r>
        <w:rPr>
          <w:sz w:val="24"/>
          <w:szCs w:val="24"/>
        </w:rPr>
        <w:t>, y los formatos y procesos normalizados del Departamento de Planificación, Organización y Métodos del Congreso de la República a continuación se desarrolla los elementos pertinentes para la apertura de datos en formato abierto de parte del Congreso de la República de Guatemala.</w:t>
      </w:r>
    </w:p>
    <w:p w:rsidR="0028439F" w:rsidRDefault="0028439F" w:rsidP="0028439F">
      <w:pPr>
        <w:spacing w:line="360" w:lineRule="auto"/>
        <w:jc w:val="both"/>
        <w:rPr>
          <w:sz w:val="24"/>
          <w:szCs w:val="24"/>
        </w:rPr>
      </w:pPr>
    </w:p>
    <w:p w:rsidR="0028439F" w:rsidRPr="00B64278" w:rsidRDefault="0028439F" w:rsidP="0028439F">
      <w:pPr>
        <w:spacing w:line="360" w:lineRule="auto"/>
        <w:jc w:val="both"/>
        <w:rPr>
          <w:sz w:val="24"/>
          <w:szCs w:val="24"/>
        </w:rPr>
      </w:pPr>
      <w:r>
        <w:rPr>
          <w:sz w:val="24"/>
          <w:szCs w:val="24"/>
        </w:rPr>
        <w:t xml:space="preserve">Es importante recalcar que la presente guía de apertura de datos abiertos se enmarca y coincide con los preceptos del Eje A: “Tolerancia cero a la corrupción y modernización de Estado” del </w:t>
      </w:r>
      <w:r w:rsidRPr="00A00753">
        <w:rPr>
          <w:i/>
          <w:sz w:val="24"/>
          <w:szCs w:val="24"/>
        </w:rPr>
        <w:t>“Lineamientos generales de política 2018-2020”</w:t>
      </w:r>
      <w:r>
        <w:rPr>
          <w:rStyle w:val="Refdenotaalpie"/>
          <w:sz w:val="24"/>
          <w:szCs w:val="24"/>
        </w:rPr>
        <w:footnoteReference w:id="8"/>
      </w:r>
      <w:r>
        <w:rPr>
          <w:sz w:val="24"/>
          <w:szCs w:val="24"/>
        </w:rPr>
        <w:t xml:space="preserve"> elaborado por la entidad responsable, SEGEPLAN.</w:t>
      </w:r>
    </w:p>
    <w:p w:rsidR="0028439F" w:rsidRDefault="0028439F" w:rsidP="0028439F">
      <w:pPr>
        <w:pStyle w:val="Ttulo2"/>
        <w:numPr>
          <w:ilvl w:val="1"/>
          <w:numId w:val="5"/>
        </w:numPr>
        <w:pBdr>
          <w:top w:val="nil"/>
          <w:left w:val="nil"/>
          <w:bottom w:val="nil"/>
          <w:right w:val="nil"/>
          <w:between w:val="nil"/>
        </w:pBdr>
        <w:spacing w:before="360" w:after="120" w:line="360" w:lineRule="auto"/>
        <w:contextualSpacing/>
      </w:pPr>
      <w:bookmarkStart w:id="32" w:name="_Toc497384622"/>
      <w:bookmarkStart w:id="33" w:name="_Toc497921672"/>
      <w:bookmarkStart w:id="34" w:name="_Toc497977886"/>
      <w:bookmarkStart w:id="35" w:name="_Toc497978327"/>
      <w:bookmarkStart w:id="36" w:name="_Toc498412257"/>
      <w:bookmarkStart w:id="37" w:name="_Toc499759001"/>
      <w:bookmarkStart w:id="38" w:name="_Toc502813702"/>
      <w:r>
        <w:t>Misión</w:t>
      </w:r>
      <w:bookmarkEnd w:id="32"/>
      <w:bookmarkEnd w:id="33"/>
      <w:bookmarkEnd w:id="34"/>
      <w:bookmarkEnd w:id="35"/>
      <w:bookmarkEnd w:id="36"/>
      <w:bookmarkEnd w:id="37"/>
      <w:bookmarkEnd w:id="38"/>
    </w:p>
    <w:p w:rsidR="0028439F" w:rsidRDefault="0028439F" w:rsidP="0028439F">
      <w:pPr>
        <w:spacing w:line="360" w:lineRule="auto"/>
        <w:ind w:left="720"/>
      </w:pPr>
    </w:p>
    <w:p w:rsidR="0028439F" w:rsidRDefault="0028439F" w:rsidP="0028439F">
      <w:pPr>
        <w:spacing w:line="360" w:lineRule="auto"/>
        <w:ind w:left="-30"/>
        <w:jc w:val="both"/>
        <w:rPr>
          <w:sz w:val="24"/>
          <w:szCs w:val="24"/>
        </w:rPr>
      </w:pPr>
      <w:r>
        <w:rPr>
          <w:sz w:val="24"/>
          <w:szCs w:val="24"/>
        </w:rPr>
        <w:t xml:space="preserve">La misión de esta Guía de apertura de datos legislativos es aumentar el alcance, accesibilidad y calidad de los datos legislativos y así respetar el derecho a la información pública de todos los guatemaltecos. </w:t>
      </w:r>
    </w:p>
    <w:p w:rsidR="0028439F" w:rsidRDefault="0028439F" w:rsidP="0028439F">
      <w:pPr>
        <w:pStyle w:val="Ttulo2"/>
        <w:numPr>
          <w:ilvl w:val="1"/>
          <w:numId w:val="5"/>
        </w:numPr>
        <w:pBdr>
          <w:top w:val="nil"/>
          <w:left w:val="nil"/>
          <w:bottom w:val="nil"/>
          <w:right w:val="nil"/>
          <w:between w:val="nil"/>
        </w:pBdr>
        <w:spacing w:before="360" w:after="120" w:line="360" w:lineRule="auto"/>
        <w:contextualSpacing/>
      </w:pPr>
      <w:bookmarkStart w:id="39" w:name="_Toc497384623"/>
      <w:bookmarkStart w:id="40" w:name="_Toc497921673"/>
      <w:bookmarkStart w:id="41" w:name="_Toc497977887"/>
      <w:bookmarkStart w:id="42" w:name="_Toc497978328"/>
      <w:bookmarkStart w:id="43" w:name="_Toc498412258"/>
      <w:bookmarkStart w:id="44" w:name="_Toc499759002"/>
      <w:bookmarkStart w:id="45" w:name="_Toc502813703"/>
      <w:r>
        <w:t>Visión</w:t>
      </w:r>
      <w:bookmarkEnd w:id="39"/>
      <w:bookmarkEnd w:id="40"/>
      <w:bookmarkEnd w:id="41"/>
      <w:bookmarkEnd w:id="42"/>
      <w:bookmarkEnd w:id="43"/>
      <w:bookmarkEnd w:id="44"/>
      <w:bookmarkEnd w:id="45"/>
    </w:p>
    <w:p w:rsidR="0028439F" w:rsidRDefault="0028439F" w:rsidP="0028439F">
      <w:pPr>
        <w:spacing w:line="360" w:lineRule="auto"/>
        <w:ind w:left="720"/>
      </w:pPr>
    </w:p>
    <w:p w:rsidR="0028439F" w:rsidRDefault="0028439F" w:rsidP="0028439F">
      <w:pPr>
        <w:spacing w:line="360" w:lineRule="auto"/>
        <w:ind w:left="-30"/>
        <w:jc w:val="both"/>
        <w:rPr>
          <w:sz w:val="24"/>
          <w:szCs w:val="24"/>
        </w:rPr>
      </w:pPr>
      <w:r>
        <w:rPr>
          <w:sz w:val="24"/>
          <w:szCs w:val="24"/>
        </w:rPr>
        <w:lastRenderedPageBreak/>
        <w:t>Como Congreso de la República de Guatemala, ser una de las instituciones pioneras en el tema de apertura de datos, con el fin de contribuir a la transparencia, probidad, y apertura parlamentaria.</w:t>
      </w:r>
    </w:p>
    <w:p w:rsidR="0028439F" w:rsidRDefault="0028439F" w:rsidP="0028439F">
      <w:pPr>
        <w:pStyle w:val="Ttulo2"/>
        <w:numPr>
          <w:ilvl w:val="1"/>
          <w:numId w:val="5"/>
        </w:numPr>
        <w:pBdr>
          <w:top w:val="nil"/>
          <w:left w:val="nil"/>
          <w:bottom w:val="nil"/>
          <w:right w:val="nil"/>
          <w:between w:val="nil"/>
        </w:pBdr>
        <w:spacing w:before="360" w:after="120" w:line="360" w:lineRule="auto"/>
        <w:contextualSpacing/>
      </w:pPr>
      <w:bookmarkStart w:id="46" w:name="_Toc497384624"/>
      <w:bookmarkStart w:id="47" w:name="_Toc497921674"/>
      <w:bookmarkStart w:id="48" w:name="_Toc497977888"/>
      <w:bookmarkStart w:id="49" w:name="_Toc497978329"/>
      <w:bookmarkStart w:id="50" w:name="_Toc498412259"/>
      <w:bookmarkStart w:id="51" w:name="_Toc499759003"/>
      <w:bookmarkStart w:id="52" w:name="_Toc502813704"/>
      <w:r>
        <w:t>Objetivo Institucional</w:t>
      </w:r>
      <w:bookmarkEnd w:id="46"/>
      <w:bookmarkEnd w:id="47"/>
      <w:bookmarkEnd w:id="48"/>
      <w:bookmarkEnd w:id="49"/>
      <w:bookmarkEnd w:id="50"/>
      <w:bookmarkEnd w:id="51"/>
      <w:bookmarkEnd w:id="52"/>
    </w:p>
    <w:p w:rsidR="0028439F" w:rsidRDefault="0028439F" w:rsidP="0028439F">
      <w:pPr>
        <w:spacing w:line="360" w:lineRule="auto"/>
        <w:ind w:left="720"/>
      </w:pPr>
    </w:p>
    <w:p w:rsidR="0028439F" w:rsidRDefault="0028439F" w:rsidP="0028439F">
      <w:pPr>
        <w:spacing w:line="360" w:lineRule="auto"/>
        <w:ind w:left="-30"/>
        <w:jc w:val="both"/>
      </w:pPr>
      <w:r>
        <w:rPr>
          <w:sz w:val="24"/>
          <w:szCs w:val="24"/>
        </w:rPr>
        <w:t>Institucionalizar mecanismos de apertura de datos en formato más abierto para cumplir con la obligación de proveer de la información pública pertinente en cumplimiento con el derecho a la información pública de todos los ciudadanos de Guatemala.</w:t>
      </w:r>
    </w:p>
    <w:p w:rsidR="0028439F" w:rsidRDefault="0028439F" w:rsidP="0028439F">
      <w:pPr>
        <w:pStyle w:val="Ttulo2"/>
        <w:numPr>
          <w:ilvl w:val="1"/>
          <w:numId w:val="5"/>
        </w:numPr>
        <w:pBdr>
          <w:top w:val="nil"/>
          <w:left w:val="nil"/>
          <w:bottom w:val="nil"/>
          <w:right w:val="nil"/>
          <w:between w:val="nil"/>
        </w:pBdr>
        <w:spacing w:before="360" w:after="120" w:line="360" w:lineRule="auto"/>
        <w:contextualSpacing/>
      </w:pPr>
      <w:bookmarkStart w:id="53" w:name="_Toc497384625"/>
      <w:bookmarkStart w:id="54" w:name="_Toc497921675"/>
      <w:bookmarkStart w:id="55" w:name="_Toc497977889"/>
      <w:bookmarkStart w:id="56" w:name="_Toc497978330"/>
      <w:bookmarkStart w:id="57" w:name="_Toc498412260"/>
      <w:bookmarkStart w:id="58" w:name="_Toc499759004"/>
      <w:bookmarkStart w:id="59" w:name="_Toc502813705"/>
      <w:r>
        <w:t>Funciones Principales</w:t>
      </w:r>
      <w:bookmarkEnd w:id="53"/>
      <w:bookmarkEnd w:id="54"/>
      <w:bookmarkEnd w:id="55"/>
      <w:bookmarkEnd w:id="56"/>
      <w:bookmarkEnd w:id="57"/>
      <w:bookmarkEnd w:id="58"/>
      <w:bookmarkEnd w:id="59"/>
    </w:p>
    <w:p w:rsidR="0028439F" w:rsidRDefault="0028439F" w:rsidP="0028439F">
      <w:pPr>
        <w:spacing w:line="360" w:lineRule="auto"/>
        <w:ind w:left="720"/>
        <w:rPr>
          <w:sz w:val="24"/>
          <w:szCs w:val="24"/>
        </w:rPr>
      </w:pPr>
    </w:p>
    <w:p w:rsidR="0028439F" w:rsidRDefault="0028439F" w:rsidP="0028439F">
      <w:pPr>
        <w:numPr>
          <w:ilvl w:val="0"/>
          <w:numId w:val="7"/>
        </w:numPr>
        <w:spacing w:after="0" w:line="360" w:lineRule="auto"/>
        <w:contextualSpacing/>
        <w:jc w:val="both"/>
        <w:rPr>
          <w:sz w:val="24"/>
          <w:szCs w:val="24"/>
        </w:rPr>
      </w:pPr>
      <w:r w:rsidRPr="00DE511B">
        <w:rPr>
          <w:b/>
          <w:sz w:val="24"/>
          <w:szCs w:val="24"/>
        </w:rPr>
        <w:t xml:space="preserve">Función constituyente. </w:t>
      </w:r>
      <w:r>
        <w:rPr>
          <w:sz w:val="24"/>
          <w:szCs w:val="24"/>
        </w:rPr>
        <w:t>Esta función le permite al Organismo Legislativo proponer reformas a la Constitución Política de la República de Guatemala, siguiendo las reglas establecidas para ello.</w:t>
      </w:r>
    </w:p>
    <w:p w:rsidR="0028439F" w:rsidRDefault="0028439F" w:rsidP="0028439F">
      <w:pPr>
        <w:numPr>
          <w:ilvl w:val="0"/>
          <w:numId w:val="7"/>
        </w:numPr>
        <w:spacing w:after="0" w:line="360" w:lineRule="auto"/>
        <w:contextualSpacing/>
        <w:jc w:val="both"/>
        <w:rPr>
          <w:sz w:val="24"/>
          <w:szCs w:val="24"/>
        </w:rPr>
      </w:pPr>
      <w:r w:rsidRPr="00DE511B">
        <w:rPr>
          <w:b/>
          <w:sz w:val="24"/>
          <w:szCs w:val="24"/>
        </w:rPr>
        <w:t>Función legislativa</w:t>
      </w:r>
      <w:r>
        <w:rPr>
          <w:sz w:val="24"/>
          <w:szCs w:val="24"/>
        </w:rPr>
        <w:t>.  Esta ha sido la función principal del Congreso de la República y es d</w:t>
      </w:r>
      <w:r w:rsidRPr="00DE511B">
        <w:rPr>
          <w:sz w:val="24"/>
          <w:szCs w:val="24"/>
        </w:rPr>
        <w:t>ecretar, reformar y derogar las leyes</w:t>
      </w:r>
      <w:r>
        <w:rPr>
          <w:sz w:val="24"/>
          <w:szCs w:val="24"/>
        </w:rPr>
        <w:t xml:space="preserve">. </w:t>
      </w:r>
    </w:p>
    <w:p w:rsidR="0028439F" w:rsidRPr="003C4BD6" w:rsidRDefault="0028439F" w:rsidP="0028439F">
      <w:pPr>
        <w:numPr>
          <w:ilvl w:val="0"/>
          <w:numId w:val="7"/>
        </w:numPr>
        <w:spacing w:after="0" w:line="360" w:lineRule="auto"/>
        <w:contextualSpacing/>
        <w:jc w:val="both"/>
        <w:rPr>
          <w:sz w:val="24"/>
          <w:szCs w:val="24"/>
        </w:rPr>
      </w:pPr>
      <w:r w:rsidRPr="00DE511B">
        <w:rPr>
          <w:b/>
          <w:sz w:val="24"/>
          <w:szCs w:val="24"/>
        </w:rPr>
        <w:t>Función de control político.</w:t>
      </w:r>
      <w:r w:rsidRPr="003C4BD6">
        <w:rPr>
          <w:sz w:val="24"/>
          <w:szCs w:val="24"/>
        </w:rPr>
        <w:t xml:space="preserve"> Por medio de esta función el Congreso de la República y sus diputados</w:t>
      </w:r>
      <w:r>
        <w:rPr>
          <w:sz w:val="24"/>
          <w:szCs w:val="24"/>
        </w:rPr>
        <w:t>,</w:t>
      </w:r>
      <w:r w:rsidRPr="003C4BD6">
        <w:rPr>
          <w:sz w:val="24"/>
          <w:szCs w:val="24"/>
        </w:rPr>
        <w:t xml:space="preserve"> pueden </w:t>
      </w:r>
      <w:r>
        <w:rPr>
          <w:sz w:val="24"/>
          <w:szCs w:val="24"/>
        </w:rPr>
        <w:t xml:space="preserve">citar </w:t>
      </w:r>
      <w:r w:rsidRPr="003C4BD6">
        <w:rPr>
          <w:sz w:val="24"/>
          <w:szCs w:val="24"/>
        </w:rPr>
        <w:t>a los ministros y otras autoridades para interrogarlos por sus actuaciones dentro del cargo y así conocer sobre las acusaciones que se les formulan.</w:t>
      </w:r>
    </w:p>
    <w:p w:rsidR="0028439F" w:rsidRDefault="0028439F" w:rsidP="0028439F">
      <w:pPr>
        <w:numPr>
          <w:ilvl w:val="0"/>
          <w:numId w:val="7"/>
        </w:numPr>
        <w:spacing w:after="0" w:line="360" w:lineRule="auto"/>
        <w:contextualSpacing/>
        <w:jc w:val="both"/>
        <w:rPr>
          <w:sz w:val="24"/>
          <w:szCs w:val="24"/>
        </w:rPr>
      </w:pPr>
      <w:r w:rsidRPr="00DE511B">
        <w:rPr>
          <w:b/>
          <w:sz w:val="24"/>
          <w:szCs w:val="24"/>
        </w:rPr>
        <w:t>Función de Fiscalización o control público.</w:t>
      </w:r>
      <w:r w:rsidRPr="003C4BD6">
        <w:rPr>
          <w:sz w:val="24"/>
          <w:szCs w:val="24"/>
        </w:rPr>
        <w:t xml:space="preserve"> Esta función le da la oportunidad al Congreso de llamar a los funcionarios del Estado para que rindan </w:t>
      </w:r>
      <w:r>
        <w:rPr>
          <w:sz w:val="24"/>
          <w:szCs w:val="24"/>
        </w:rPr>
        <w:t>declaraciones sobre asuntos públicos, especialmente cuando estos se refieren al manejo de presupuesto o a la ejecución de programas o proyectos.</w:t>
      </w:r>
    </w:p>
    <w:p w:rsidR="0028439F" w:rsidRDefault="0028439F" w:rsidP="0028439F">
      <w:pPr>
        <w:numPr>
          <w:ilvl w:val="0"/>
          <w:numId w:val="7"/>
        </w:numPr>
        <w:spacing w:after="0" w:line="360" w:lineRule="auto"/>
        <w:contextualSpacing/>
        <w:jc w:val="both"/>
        <w:rPr>
          <w:sz w:val="24"/>
          <w:szCs w:val="24"/>
        </w:rPr>
      </w:pPr>
      <w:r w:rsidRPr="00DE511B">
        <w:rPr>
          <w:b/>
          <w:sz w:val="24"/>
          <w:szCs w:val="24"/>
        </w:rPr>
        <w:t>Función Representativa.</w:t>
      </w:r>
      <w:r>
        <w:rPr>
          <w:sz w:val="24"/>
          <w:szCs w:val="24"/>
        </w:rPr>
        <w:t xml:space="preserve"> Esta función le permite al Congreso de la República, y especialmente a los diputados, servir de intermediarios entre la población y las </w:t>
      </w:r>
      <w:r>
        <w:rPr>
          <w:sz w:val="24"/>
          <w:szCs w:val="24"/>
        </w:rPr>
        <w:lastRenderedPageBreak/>
        <w:t>demás instituciones del Estado, trasladando sus ideas, inquietudes o necesidades, procurando la resolución de las mismas.</w:t>
      </w:r>
    </w:p>
    <w:p w:rsidR="0028439F" w:rsidRDefault="0028439F" w:rsidP="0028439F">
      <w:pPr>
        <w:numPr>
          <w:ilvl w:val="0"/>
          <w:numId w:val="7"/>
        </w:numPr>
        <w:spacing w:after="0" w:line="360" w:lineRule="auto"/>
        <w:contextualSpacing/>
        <w:jc w:val="both"/>
        <w:rPr>
          <w:sz w:val="24"/>
          <w:szCs w:val="24"/>
        </w:rPr>
      </w:pPr>
      <w:r w:rsidRPr="00DE511B">
        <w:rPr>
          <w:b/>
          <w:sz w:val="24"/>
          <w:szCs w:val="24"/>
        </w:rPr>
        <w:t>Función Presupuestaria.</w:t>
      </w:r>
      <w:r>
        <w:rPr>
          <w:sz w:val="24"/>
          <w:szCs w:val="24"/>
        </w:rPr>
        <w:t xml:space="preserve">  Según lo establecido en la Constitución Política al Congreso de la República le corresponde aprobar, improbar o modificar el presupuesto de ingresos y egresos del Estado enviado por el Organismo Ejecutivo, de ahí su función presupuestaria.</w:t>
      </w:r>
    </w:p>
    <w:p w:rsidR="0028439F" w:rsidRDefault="0028439F" w:rsidP="0028439F">
      <w:pPr>
        <w:numPr>
          <w:ilvl w:val="0"/>
          <w:numId w:val="7"/>
        </w:numPr>
        <w:spacing w:after="0" w:line="360" w:lineRule="auto"/>
        <w:contextualSpacing/>
        <w:jc w:val="both"/>
        <w:rPr>
          <w:sz w:val="24"/>
          <w:szCs w:val="24"/>
        </w:rPr>
      </w:pPr>
      <w:r w:rsidRPr="00DE511B">
        <w:rPr>
          <w:b/>
          <w:sz w:val="24"/>
          <w:szCs w:val="24"/>
        </w:rPr>
        <w:t>Función electoral.</w:t>
      </w:r>
      <w:r>
        <w:rPr>
          <w:sz w:val="24"/>
          <w:szCs w:val="24"/>
        </w:rPr>
        <w:t xml:space="preserve"> El Organismo Legislativo ejerce una función electoral cuando le corresponde elegir a quienes desempeñarán los cargos de Contralor General de la Nación, Magistrados de la Corte de Constitucionalidad, Corte Suprema de Justicia y Procurador de los Derechos Humanos, entre otros.</w:t>
      </w:r>
    </w:p>
    <w:p w:rsidR="0028439F" w:rsidRDefault="0028439F" w:rsidP="0028439F">
      <w:pPr>
        <w:numPr>
          <w:ilvl w:val="0"/>
          <w:numId w:val="7"/>
        </w:numPr>
        <w:spacing w:after="0" w:line="360" w:lineRule="auto"/>
        <w:contextualSpacing/>
        <w:jc w:val="both"/>
        <w:rPr>
          <w:sz w:val="24"/>
          <w:szCs w:val="24"/>
        </w:rPr>
      </w:pPr>
      <w:r w:rsidRPr="00DE511B">
        <w:rPr>
          <w:b/>
          <w:sz w:val="24"/>
          <w:szCs w:val="24"/>
        </w:rPr>
        <w:t>Función administrativa.</w:t>
      </w:r>
      <w:r>
        <w:rPr>
          <w:sz w:val="24"/>
          <w:szCs w:val="24"/>
        </w:rPr>
        <w:t xml:space="preserve"> Esta función la ejerce el Organismo Legislativo, al interior de la institución parlamentaria, cuando establece su propia organización y funcionamiento.</w:t>
      </w:r>
    </w:p>
    <w:p w:rsidR="0028439F" w:rsidRDefault="0028439F" w:rsidP="0028439F">
      <w:pPr>
        <w:numPr>
          <w:ilvl w:val="0"/>
          <w:numId w:val="7"/>
        </w:numPr>
        <w:spacing w:after="0" w:line="360" w:lineRule="auto"/>
        <w:contextualSpacing/>
        <w:jc w:val="both"/>
        <w:rPr>
          <w:sz w:val="24"/>
          <w:szCs w:val="24"/>
        </w:rPr>
      </w:pPr>
      <w:r w:rsidRPr="00DE511B">
        <w:rPr>
          <w:b/>
          <w:sz w:val="24"/>
          <w:szCs w:val="24"/>
        </w:rPr>
        <w:t>Función de protocolo.</w:t>
      </w:r>
      <w:r>
        <w:rPr>
          <w:sz w:val="24"/>
          <w:szCs w:val="24"/>
        </w:rPr>
        <w:t xml:space="preserve"> El Congreso de la República ejerce la función de protocolo cuando recibe Jefes de Estado o de Gobierno de otras naciones, o altos funcionarios de organizaciones o instituciones internacionales.</w:t>
      </w:r>
    </w:p>
    <w:p w:rsidR="0028439F" w:rsidRDefault="0028439F" w:rsidP="0028439F">
      <w:pPr>
        <w:spacing w:after="220" w:line="360" w:lineRule="auto"/>
        <w:jc w:val="both"/>
        <w:rPr>
          <w:sz w:val="24"/>
          <w:szCs w:val="24"/>
        </w:rPr>
      </w:pPr>
    </w:p>
    <w:p w:rsidR="0028439F" w:rsidRDefault="0028439F" w:rsidP="0028439F">
      <w:pPr>
        <w:spacing w:line="360" w:lineRule="auto"/>
      </w:pPr>
    </w:p>
    <w:p w:rsidR="0028439F" w:rsidRDefault="0028439F" w:rsidP="0028439F">
      <w:pPr>
        <w:pStyle w:val="Ttulo2"/>
        <w:numPr>
          <w:ilvl w:val="1"/>
          <w:numId w:val="5"/>
        </w:numPr>
        <w:pBdr>
          <w:top w:val="nil"/>
          <w:left w:val="nil"/>
          <w:bottom w:val="nil"/>
          <w:right w:val="nil"/>
          <w:between w:val="nil"/>
        </w:pBdr>
        <w:spacing w:before="360" w:after="120" w:line="360" w:lineRule="auto"/>
        <w:contextualSpacing/>
      </w:pPr>
      <w:bookmarkStart w:id="60" w:name="_Toc497384626"/>
      <w:bookmarkStart w:id="61" w:name="_Toc497921676"/>
      <w:bookmarkStart w:id="62" w:name="_Toc497977890"/>
      <w:bookmarkStart w:id="63" w:name="_Toc497978331"/>
      <w:bookmarkStart w:id="64" w:name="_Toc498412261"/>
      <w:bookmarkStart w:id="65" w:name="_Toc499759005"/>
      <w:bookmarkStart w:id="66" w:name="_Toc502813706"/>
      <w:r>
        <w:t>Estructura Orgánica</w:t>
      </w:r>
      <w:bookmarkEnd w:id="60"/>
      <w:bookmarkEnd w:id="61"/>
      <w:bookmarkEnd w:id="62"/>
      <w:bookmarkEnd w:id="63"/>
      <w:bookmarkEnd w:id="64"/>
      <w:bookmarkEnd w:id="65"/>
      <w:bookmarkEnd w:id="66"/>
    </w:p>
    <w:p w:rsidR="0028439F" w:rsidRDefault="0028439F" w:rsidP="0028439F">
      <w:pPr>
        <w:spacing w:line="360" w:lineRule="auto"/>
        <w:ind w:left="720"/>
      </w:pPr>
    </w:p>
    <w:p w:rsidR="0028439F" w:rsidRDefault="0028439F" w:rsidP="0028439F">
      <w:pPr>
        <w:spacing w:line="360" w:lineRule="auto"/>
        <w:ind w:left="720"/>
      </w:pPr>
      <w:r>
        <w:t>Órganos. Son órganos del Congreso de la República, mediante los cuales se ejerce la función legislativa</w:t>
      </w:r>
      <w:r>
        <w:rPr>
          <w:vertAlign w:val="superscript"/>
        </w:rPr>
        <w:footnoteReference w:id="9"/>
      </w:r>
      <w:r>
        <w:t xml:space="preserve">: </w:t>
      </w:r>
    </w:p>
    <w:p w:rsidR="0028439F" w:rsidRDefault="0028439F" w:rsidP="0028439F">
      <w:pPr>
        <w:spacing w:line="360" w:lineRule="auto"/>
        <w:ind w:left="720"/>
      </w:pPr>
      <w:r>
        <w:t xml:space="preserve">a) El Pleno. </w:t>
      </w:r>
    </w:p>
    <w:p w:rsidR="0028439F" w:rsidRDefault="0028439F" w:rsidP="0028439F">
      <w:pPr>
        <w:spacing w:line="360" w:lineRule="auto"/>
        <w:ind w:left="720"/>
      </w:pPr>
      <w:r>
        <w:t xml:space="preserve">b) La Junta Directiva. </w:t>
      </w:r>
    </w:p>
    <w:p w:rsidR="0028439F" w:rsidRDefault="0028439F" w:rsidP="0028439F">
      <w:pPr>
        <w:spacing w:line="360" w:lineRule="auto"/>
        <w:ind w:left="720"/>
      </w:pPr>
      <w:r>
        <w:t xml:space="preserve">c) La Presidencia. </w:t>
      </w:r>
    </w:p>
    <w:p w:rsidR="0028439F" w:rsidRDefault="0028439F" w:rsidP="0028439F">
      <w:pPr>
        <w:spacing w:line="360" w:lineRule="auto"/>
        <w:ind w:left="720"/>
      </w:pPr>
      <w:r>
        <w:lastRenderedPageBreak/>
        <w:t xml:space="preserve">d) La Comisión Permanente. </w:t>
      </w:r>
    </w:p>
    <w:p w:rsidR="0028439F" w:rsidRDefault="0028439F" w:rsidP="0028439F">
      <w:pPr>
        <w:spacing w:line="360" w:lineRule="auto"/>
        <w:ind w:left="720"/>
      </w:pPr>
      <w:r>
        <w:t>e) La Comisión de Derechos Humanos.</w:t>
      </w:r>
    </w:p>
    <w:p w:rsidR="0028439F" w:rsidRDefault="0028439F" w:rsidP="0028439F">
      <w:pPr>
        <w:spacing w:line="360" w:lineRule="auto"/>
        <w:ind w:left="720"/>
      </w:pPr>
      <w:r>
        <w:t xml:space="preserve"> f) Las Comisiones de Trabajo.</w:t>
      </w:r>
    </w:p>
    <w:p w:rsidR="0028439F" w:rsidRDefault="0028439F" w:rsidP="0028439F">
      <w:pPr>
        <w:spacing w:line="360" w:lineRule="auto"/>
        <w:ind w:left="720"/>
      </w:pPr>
      <w:r>
        <w:t xml:space="preserve"> g) Las Comisiones Extraordinarias y las Específicas. </w:t>
      </w:r>
    </w:p>
    <w:p w:rsidR="0028439F" w:rsidRDefault="0028439F" w:rsidP="0028439F">
      <w:pPr>
        <w:spacing w:line="360" w:lineRule="auto"/>
        <w:ind w:left="720"/>
      </w:pPr>
      <w:r>
        <w:t xml:space="preserve">h) La Junta de Jefes de Bloque. </w:t>
      </w:r>
    </w:p>
    <w:p w:rsidR="0028439F" w:rsidRDefault="0028439F" w:rsidP="0028439F">
      <w:pPr>
        <w:spacing w:line="360" w:lineRule="auto"/>
        <w:ind w:left="720"/>
      </w:pPr>
    </w:p>
    <w:p w:rsidR="0028439F" w:rsidRDefault="0028439F" w:rsidP="0028439F">
      <w:pPr>
        <w:spacing w:line="360" w:lineRule="auto"/>
        <w:ind w:left="720"/>
      </w:pPr>
      <w:r>
        <w:t>Direcciones:</w:t>
      </w:r>
    </w:p>
    <w:p w:rsidR="0028439F" w:rsidRDefault="0028439F" w:rsidP="0028439F">
      <w:pPr>
        <w:numPr>
          <w:ilvl w:val="0"/>
          <w:numId w:val="8"/>
        </w:numPr>
        <w:pBdr>
          <w:top w:val="nil"/>
          <w:left w:val="nil"/>
          <w:bottom w:val="nil"/>
          <w:right w:val="nil"/>
          <w:between w:val="nil"/>
        </w:pBdr>
        <w:spacing w:after="0" w:line="360" w:lineRule="auto"/>
        <w:contextualSpacing/>
      </w:pPr>
      <w:r>
        <w:t>Dirección General</w:t>
      </w:r>
    </w:p>
    <w:p w:rsidR="0028439F" w:rsidRDefault="0028439F" w:rsidP="0028439F">
      <w:pPr>
        <w:numPr>
          <w:ilvl w:val="0"/>
          <w:numId w:val="8"/>
        </w:numPr>
        <w:pBdr>
          <w:top w:val="nil"/>
          <w:left w:val="nil"/>
          <w:bottom w:val="nil"/>
          <w:right w:val="nil"/>
          <w:between w:val="nil"/>
        </w:pBdr>
        <w:spacing w:after="0" w:line="360" w:lineRule="auto"/>
        <w:contextualSpacing/>
      </w:pPr>
      <w:r>
        <w:t>Dirección Legislativa</w:t>
      </w:r>
    </w:p>
    <w:p w:rsidR="0028439F" w:rsidRDefault="0028439F" w:rsidP="0028439F">
      <w:pPr>
        <w:numPr>
          <w:ilvl w:val="0"/>
          <w:numId w:val="8"/>
        </w:numPr>
        <w:pBdr>
          <w:top w:val="nil"/>
          <w:left w:val="nil"/>
          <w:bottom w:val="nil"/>
          <w:right w:val="nil"/>
          <w:between w:val="nil"/>
        </w:pBdr>
        <w:spacing w:after="0" w:line="360" w:lineRule="auto"/>
        <w:contextualSpacing/>
      </w:pPr>
      <w:r>
        <w:t>Dirección Administrativa</w:t>
      </w:r>
    </w:p>
    <w:p w:rsidR="0028439F" w:rsidRDefault="0028439F" w:rsidP="0028439F">
      <w:pPr>
        <w:numPr>
          <w:ilvl w:val="0"/>
          <w:numId w:val="8"/>
        </w:numPr>
        <w:pBdr>
          <w:top w:val="nil"/>
          <w:left w:val="nil"/>
          <w:bottom w:val="nil"/>
          <w:right w:val="nil"/>
          <w:between w:val="nil"/>
        </w:pBdr>
        <w:spacing w:after="0" w:line="360" w:lineRule="auto"/>
        <w:contextualSpacing/>
      </w:pPr>
      <w:r>
        <w:t>Dirección Financiera</w:t>
      </w:r>
    </w:p>
    <w:p w:rsidR="0028439F" w:rsidRDefault="0028439F" w:rsidP="0028439F">
      <w:pPr>
        <w:numPr>
          <w:ilvl w:val="0"/>
          <w:numId w:val="8"/>
        </w:numPr>
        <w:pBdr>
          <w:top w:val="nil"/>
          <w:left w:val="nil"/>
          <w:bottom w:val="nil"/>
          <w:right w:val="nil"/>
          <w:between w:val="nil"/>
        </w:pBdr>
        <w:spacing w:after="0" w:line="360" w:lineRule="auto"/>
        <w:contextualSpacing/>
      </w:pPr>
      <w:r>
        <w:t>Dirección de Recursos Humanos</w:t>
      </w:r>
    </w:p>
    <w:p w:rsidR="0028439F" w:rsidRDefault="0028439F" w:rsidP="0028439F">
      <w:pPr>
        <w:numPr>
          <w:ilvl w:val="0"/>
          <w:numId w:val="8"/>
        </w:numPr>
        <w:pBdr>
          <w:top w:val="nil"/>
          <w:left w:val="nil"/>
          <w:bottom w:val="nil"/>
          <w:right w:val="nil"/>
          <w:between w:val="nil"/>
        </w:pBdr>
        <w:spacing w:after="0" w:line="360" w:lineRule="auto"/>
        <w:contextualSpacing/>
      </w:pPr>
      <w:r>
        <w:t>Dirección de Auditoría Interna</w:t>
      </w:r>
    </w:p>
    <w:p w:rsidR="0028439F" w:rsidRDefault="0028439F" w:rsidP="0028439F">
      <w:pPr>
        <w:numPr>
          <w:ilvl w:val="0"/>
          <w:numId w:val="8"/>
        </w:numPr>
        <w:pBdr>
          <w:top w:val="nil"/>
          <w:left w:val="nil"/>
          <w:bottom w:val="nil"/>
          <w:right w:val="nil"/>
          <w:between w:val="nil"/>
        </w:pBdr>
        <w:spacing w:after="0" w:line="360" w:lineRule="auto"/>
        <w:contextualSpacing/>
      </w:pPr>
      <w:r>
        <w:t>Dirección de Protocolo y Atención Ciudadana</w:t>
      </w:r>
    </w:p>
    <w:p w:rsidR="0028439F" w:rsidRDefault="0028439F" w:rsidP="0028439F">
      <w:pPr>
        <w:numPr>
          <w:ilvl w:val="0"/>
          <w:numId w:val="8"/>
        </w:numPr>
        <w:pBdr>
          <w:top w:val="nil"/>
          <w:left w:val="nil"/>
          <w:bottom w:val="nil"/>
          <w:right w:val="nil"/>
          <w:between w:val="nil"/>
        </w:pBdr>
        <w:spacing w:after="0" w:line="360" w:lineRule="auto"/>
        <w:contextualSpacing/>
      </w:pPr>
      <w:r>
        <w:t>Dirección de Comunicación Social y Relaciones Públicas</w:t>
      </w:r>
    </w:p>
    <w:p w:rsidR="0028439F" w:rsidRDefault="0028439F" w:rsidP="0028439F">
      <w:pPr>
        <w:numPr>
          <w:ilvl w:val="0"/>
          <w:numId w:val="8"/>
        </w:numPr>
        <w:pBdr>
          <w:top w:val="nil"/>
          <w:left w:val="nil"/>
          <w:bottom w:val="nil"/>
          <w:right w:val="nil"/>
          <w:between w:val="nil"/>
        </w:pBdr>
        <w:spacing w:after="0" w:line="360" w:lineRule="auto"/>
        <w:contextualSpacing/>
      </w:pPr>
      <w:r>
        <w:t>Dirección de Estudios e Investigación Legislativa</w:t>
      </w:r>
    </w:p>
    <w:p w:rsidR="0028439F" w:rsidRDefault="0028439F" w:rsidP="0028439F">
      <w:pPr>
        <w:numPr>
          <w:ilvl w:val="0"/>
          <w:numId w:val="8"/>
        </w:numPr>
        <w:pBdr>
          <w:top w:val="nil"/>
          <w:left w:val="nil"/>
          <w:bottom w:val="nil"/>
          <w:right w:val="nil"/>
          <w:between w:val="nil"/>
        </w:pBdr>
        <w:spacing w:after="0" w:line="360" w:lineRule="auto"/>
        <w:contextualSpacing/>
      </w:pPr>
      <w:r>
        <w:t>Dirección de Informática y Comunicaciones</w:t>
      </w:r>
    </w:p>
    <w:p w:rsidR="0028439F" w:rsidRDefault="0028439F" w:rsidP="0028439F">
      <w:pPr>
        <w:numPr>
          <w:ilvl w:val="0"/>
          <w:numId w:val="8"/>
        </w:numPr>
        <w:pBdr>
          <w:top w:val="nil"/>
          <w:left w:val="nil"/>
          <w:bottom w:val="nil"/>
          <w:right w:val="nil"/>
          <w:between w:val="nil"/>
        </w:pBdr>
        <w:spacing w:after="0" w:line="360" w:lineRule="auto"/>
        <w:contextualSpacing/>
      </w:pPr>
      <w:r>
        <w:t>Dirección de Asuntos Jurídicos</w:t>
      </w:r>
    </w:p>
    <w:p w:rsidR="0028439F" w:rsidRDefault="0028439F" w:rsidP="0028439F">
      <w:pPr>
        <w:spacing w:line="360" w:lineRule="auto"/>
      </w:pPr>
    </w:p>
    <w:p w:rsidR="0028439F" w:rsidRDefault="0028439F" w:rsidP="0028439F">
      <w:pPr>
        <w:spacing w:line="360" w:lineRule="auto"/>
        <w:jc w:val="both"/>
      </w:pPr>
      <w:r>
        <w:t>Pleno del Congreso; Autoridad Superior. El Pleno del Congreso de la República, como órgano máximo, constituye la autoridad superior. Este se integra por los diputados reunidos (en número suficiente) según lo establecido por la ley. Al no ser que aplique excepción, aplica la mitad del número de diputados más uno, para quórum</w:t>
      </w:r>
      <w:r>
        <w:rPr>
          <w:vertAlign w:val="superscript"/>
        </w:rPr>
        <w:footnoteReference w:id="10"/>
      </w:r>
      <w:r>
        <w:t>.</w:t>
      </w:r>
    </w:p>
    <w:p w:rsidR="0028439F" w:rsidRDefault="0028439F" w:rsidP="0028439F">
      <w:pPr>
        <w:spacing w:line="360" w:lineRule="auto"/>
        <w:jc w:val="both"/>
      </w:pPr>
    </w:p>
    <w:p w:rsidR="0028439F" w:rsidRDefault="0028439F" w:rsidP="0028439F">
      <w:pPr>
        <w:pStyle w:val="Ttulo2"/>
        <w:spacing w:line="360" w:lineRule="auto"/>
        <w:ind w:left="720"/>
      </w:pPr>
      <w:bookmarkStart w:id="67" w:name="_Toc497384627"/>
      <w:bookmarkStart w:id="68" w:name="_Toc497921677"/>
      <w:bookmarkStart w:id="69" w:name="_Toc497977891"/>
      <w:bookmarkStart w:id="70" w:name="_Toc497978332"/>
      <w:bookmarkStart w:id="71" w:name="_Toc498412262"/>
      <w:bookmarkStart w:id="72" w:name="_Toc499759006"/>
      <w:bookmarkStart w:id="73" w:name="_Toc502813707"/>
      <w:r>
        <w:lastRenderedPageBreak/>
        <w:t>7. Aspectos generales de los datos abiertos</w:t>
      </w:r>
      <w:bookmarkEnd w:id="67"/>
      <w:bookmarkEnd w:id="68"/>
      <w:bookmarkEnd w:id="69"/>
      <w:bookmarkEnd w:id="70"/>
      <w:bookmarkEnd w:id="71"/>
      <w:bookmarkEnd w:id="72"/>
      <w:bookmarkEnd w:id="73"/>
    </w:p>
    <w:p w:rsidR="0028439F" w:rsidRDefault="0028439F" w:rsidP="0028439F">
      <w:pPr>
        <w:spacing w:line="360" w:lineRule="auto"/>
        <w:ind w:left="-30"/>
        <w:jc w:val="both"/>
        <w:rPr>
          <w:sz w:val="24"/>
          <w:szCs w:val="24"/>
        </w:rPr>
      </w:pPr>
      <w:r>
        <w:rPr>
          <w:sz w:val="24"/>
          <w:szCs w:val="24"/>
        </w:rPr>
        <w:t>Según la definición ampliamente compartida a nivel internacional, los datos abiertos son:</w:t>
      </w:r>
    </w:p>
    <w:p w:rsidR="0028439F" w:rsidRDefault="0028439F" w:rsidP="0028439F">
      <w:pPr>
        <w:spacing w:line="360" w:lineRule="auto"/>
        <w:ind w:left="-30"/>
        <w:jc w:val="both"/>
        <w:rPr>
          <w:sz w:val="24"/>
          <w:szCs w:val="24"/>
        </w:rPr>
      </w:pPr>
    </w:p>
    <w:p w:rsidR="0028439F" w:rsidRDefault="0028439F" w:rsidP="0028439F">
      <w:pPr>
        <w:spacing w:line="360" w:lineRule="auto"/>
        <w:ind w:left="-30"/>
        <w:jc w:val="both"/>
        <w:rPr>
          <w:i/>
          <w:color w:val="333333"/>
          <w:sz w:val="24"/>
          <w:szCs w:val="24"/>
          <w:highlight w:val="white"/>
        </w:rPr>
      </w:pPr>
      <w:r>
        <w:rPr>
          <w:sz w:val="24"/>
          <w:szCs w:val="24"/>
        </w:rPr>
        <w:t>“</w:t>
      </w:r>
      <w:r>
        <w:rPr>
          <w:i/>
          <w:color w:val="333333"/>
          <w:sz w:val="24"/>
          <w:szCs w:val="24"/>
          <w:highlight w:val="white"/>
        </w:rPr>
        <w:t>Los datos abiertos son datos que pueden ser utilizados, reutilizados y redistribuidos libremente por cualquier persona, y que se encuentran sujetos, cuando más, al requerimiento de atribución y de compartirse de la misma manera en que aparecen.”</w:t>
      </w:r>
      <w:r>
        <w:rPr>
          <w:i/>
          <w:color w:val="333333"/>
          <w:sz w:val="24"/>
          <w:szCs w:val="24"/>
          <w:highlight w:val="white"/>
          <w:vertAlign w:val="superscript"/>
        </w:rPr>
        <w:footnoteReference w:id="11"/>
      </w:r>
    </w:p>
    <w:p w:rsidR="0028439F" w:rsidRDefault="0028439F" w:rsidP="0028439F">
      <w:pPr>
        <w:spacing w:line="360" w:lineRule="auto"/>
        <w:ind w:left="-30"/>
        <w:jc w:val="both"/>
        <w:rPr>
          <w:color w:val="333333"/>
          <w:sz w:val="24"/>
          <w:szCs w:val="24"/>
          <w:highlight w:val="white"/>
        </w:rPr>
      </w:pPr>
    </w:p>
    <w:p w:rsidR="0028439F" w:rsidRDefault="0028439F" w:rsidP="0028439F">
      <w:pPr>
        <w:spacing w:line="360" w:lineRule="auto"/>
        <w:ind w:left="-30"/>
        <w:jc w:val="both"/>
        <w:rPr>
          <w:color w:val="333333"/>
          <w:sz w:val="24"/>
          <w:szCs w:val="24"/>
          <w:highlight w:val="white"/>
        </w:rPr>
      </w:pPr>
      <w:r>
        <w:rPr>
          <w:color w:val="333333"/>
          <w:sz w:val="24"/>
          <w:szCs w:val="24"/>
          <w:highlight w:val="white"/>
        </w:rPr>
        <w:t>Para ser considerados como datos abiertos, los conjuntos de datos liberados deben cumplir con las siguientes características</w:t>
      </w:r>
      <w:r>
        <w:rPr>
          <w:rStyle w:val="Refdenotaalpie"/>
          <w:color w:val="333333"/>
          <w:sz w:val="24"/>
          <w:szCs w:val="24"/>
          <w:highlight w:val="white"/>
        </w:rPr>
        <w:footnoteReference w:id="12"/>
      </w:r>
      <w:r>
        <w:rPr>
          <w:color w:val="333333"/>
          <w:sz w:val="24"/>
          <w:szCs w:val="24"/>
          <w:highlight w:val="white"/>
        </w:rPr>
        <w:t>:</w:t>
      </w:r>
    </w:p>
    <w:p w:rsidR="0028439F" w:rsidRPr="009B2231" w:rsidRDefault="0028439F" w:rsidP="0028439F">
      <w:pPr>
        <w:pStyle w:val="Prrafodelista"/>
        <w:numPr>
          <w:ilvl w:val="0"/>
          <w:numId w:val="10"/>
        </w:numPr>
        <w:pBdr>
          <w:top w:val="nil"/>
          <w:left w:val="nil"/>
          <w:bottom w:val="nil"/>
          <w:right w:val="nil"/>
          <w:between w:val="nil"/>
        </w:pBdr>
        <w:spacing w:after="100" w:line="360" w:lineRule="auto"/>
        <w:jc w:val="both"/>
        <w:rPr>
          <w:color w:val="2F2F2F"/>
          <w:sz w:val="24"/>
          <w:szCs w:val="18"/>
          <w:highlight w:val="white"/>
        </w:rPr>
      </w:pPr>
      <w:r w:rsidRPr="009B2231">
        <w:rPr>
          <w:b/>
          <w:color w:val="2F2F2F"/>
          <w:sz w:val="24"/>
          <w:szCs w:val="18"/>
          <w:highlight w:val="white"/>
        </w:rPr>
        <w:t>Gratuitos</w:t>
      </w:r>
      <w:r w:rsidRPr="009B2231">
        <w:rPr>
          <w:color w:val="2F2F2F"/>
          <w:sz w:val="24"/>
          <w:szCs w:val="18"/>
          <w:highlight w:val="white"/>
        </w:rPr>
        <w:t>:  no se podrá exigir ningún pago por obtenerlos.</w:t>
      </w:r>
    </w:p>
    <w:p w:rsidR="0028439F" w:rsidRPr="009B2231" w:rsidRDefault="0028439F" w:rsidP="0028439F">
      <w:pPr>
        <w:pStyle w:val="Prrafodelista"/>
        <w:numPr>
          <w:ilvl w:val="0"/>
          <w:numId w:val="10"/>
        </w:numPr>
        <w:pBdr>
          <w:top w:val="nil"/>
          <w:left w:val="nil"/>
          <w:bottom w:val="nil"/>
          <w:right w:val="nil"/>
          <w:between w:val="nil"/>
        </w:pBdr>
        <w:spacing w:after="100" w:line="360" w:lineRule="auto"/>
        <w:jc w:val="both"/>
        <w:rPr>
          <w:color w:val="2F2F2F"/>
          <w:sz w:val="24"/>
          <w:szCs w:val="18"/>
          <w:highlight w:val="white"/>
        </w:rPr>
      </w:pPr>
      <w:r w:rsidRPr="009B2231">
        <w:rPr>
          <w:b/>
          <w:color w:val="2F2F2F"/>
          <w:sz w:val="24"/>
          <w:szCs w:val="18"/>
          <w:highlight w:val="white"/>
        </w:rPr>
        <w:t>No discriminatorios</w:t>
      </w:r>
      <w:r w:rsidRPr="009B2231">
        <w:rPr>
          <w:color w:val="2F2F2F"/>
          <w:sz w:val="24"/>
          <w:szCs w:val="18"/>
          <w:highlight w:val="white"/>
        </w:rPr>
        <w:t>: no habrá ninguna restricción de acceso para ninguna persona.</w:t>
      </w:r>
    </w:p>
    <w:p w:rsidR="0028439F" w:rsidRPr="009B2231" w:rsidRDefault="0028439F" w:rsidP="0028439F">
      <w:pPr>
        <w:pStyle w:val="Prrafodelista"/>
        <w:numPr>
          <w:ilvl w:val="0"/>
          <w:numId w:val="10"/>
        </w:numPr>
        <w:pBdr>
          <w:top w:val="nil"/>
          <w:left w:val="nil"/>
          <w:bottom w:val="nil"/>
          <w:right w:val="nil"/>
          <w:between w:val="nil"/>
        </w:pBdr>
        <w:spacing w:after="100" w:line="360" w:lineRule="auto"/>
        <w:jc w:val="both"/>
        <w:rPr>
          <w:color w:val="2F2F2F"/>
          <w:sz w:val="24"/>
          <w:szCs w:val="18"/>
          <w:highlight w:val="white"/>
        </w:rPr>
      </w:pPr>
      <w:r w:rsidRPr="009B2231">
        <w:rPr>
          <w:b/>
          <w:color w:val="2F2F2F"/>
          <w:sz w:val="24"/>
          <w:szCs w:val="18"/>
          <w:highlight w:val="white"/>
        </w:rPr>
        <w:t>De libre uso</w:t>
      </w:r>
      <w:r w:rsidRPr="009B2231">
        <w:rPr>
          <w:color w:val="2F2F2F"/>
          <w:sz w:val="24"/>
          <w:szCs w:val="18"/>
          <w:highlight w:val="white"/>
        </w:rPr>
        <w:t>: el único requerimiento es citar la fuente de origen de manera adecuada y sin alteración, para su uso libre.</w:t>
      </w:r>
    </w:p>
    <w:p w:rsidR="0028439F" w:rsidRPr="009B2231" w:rsidRDefault="0028439F" w:rsidP="0028439F">
      <w:pPr>
        <w:pStyle w:val="Prrafodelista"/>
        <w:numPr>
          <w:ilvl w:val="0"/>
          <w:numId w:val="10"/>
        </w:numPr>
        <w:pBdr>
          <w:top w:val="nil"/>
          <w:left w:val="nil"/>
          <w:bottom w:val="nil"/>
          <w:right w:val="nil"/>
          <w:between w:val="nil"/>
        </w:pBdr>
        <w:spacing w:after="100" w:line="360" w:lineRule="auto"/>
        <w:jc w:val="both"/>
        <w:rPr>
          <w:color w:val="2F2F2F"/>
          <w:sz w:val="24"/>
          <w:szCs w:val="18"/>
          <w:highlight w:val="white"/>
        </w:rPr>
      </w:pPr>
      <w:r w:rsidRPr="009B2231">
        <w:rPr>
          <w:b/>
          <w:color w:val="2F2F2F"/>
          <w:sz w:val="24"/>
          <w:szCs w:val="18"/>
          <w:highlight w:val="white"/>
        </w:rPr>
        <w:t>Legibles por máquinas</w:t>
      </w:r>
      <w:r w:rsidRPr="009B2231">
        <w:rPr>
          <w:color w:val="2F2F2F"/>
          <w:sz w:val="24"/>
          <w:szCs w:val="18"/>
          <w:highlight w:val="white"/>
        </w:rPr>
        <w:t xml:space="preserve">: deben de estar estructurados para poder ser procesados. </w:t>
      </w:r>
    </w:p>
    <w:p w:rsidR="0028439F" w:rsidRPr="009B2231" w:rsidRDefault="0028439F" w:rsidP="0028439F">
      <w:pPr>
        <w:pStyle w:val="Prrafodelista"/>
        <w:numPr>
          <w:ilvl w:val="0"/>
          <w:numId w:val="10"/>
        </w:numPr>
        <w:pBdr>
          <w:top w:val="nil"/>
          <w:left w:val="nil"/>
          <w:bottom w:val="nil"/>
          <w:right w:val="nil"/>
          <w:between w:val="nil"/>
        </w:pBdr>
        <w:spacing w:after="100" w:line="360" w:lineRule="auto"/>
        <w:jc w:val="both"/>
        <w:rPr>
          <w:color w:val="2F2F2F"/>
          <w:sz w:val="24"/>
          <w:szCs w:val="18"/>
          <w:highlight w:val="white"/>
        </w:rPr>
      </w:pPr>
      <w:r w:rsidRPr="009B2231">
        <w:rPr>
          <w:b/>
          <w:color w:val="2F2F2F"/>
          <w:sz w:val="24"/>
          <w:szCs w:val="18"/>
          <w:highlight w:val="white"/>
        </w:rPr>
        <w:t>Integrales</w:t>
      </w:r>
      <w:r w:rsidRPr="009B2231">
        <w:rPr>
          <w:color w:val="2F2F2F"/>
          <w:sz w:val="24"/>
          <w:szCs w:val="18"/>
          <w:highlight w:val="white"/>
        </w:rPr>
        <w:t>: deben contener los detalles necesarios para su comprensión.</w:t>
      </w:r>
    </w:p>
    <w:p w:rsidR="0028439F" w:rsidRPr="009B2231" w:rsidRDefault="0028439F" w:rsidP="0028439F">
      <w:pPr>
        <w:pStyle w:val="Prrafodelista"/>
        <w:numPr>
          <w:ilvl w:val="0"/>
          <w:numId w:val="10"/>
        </w:numPr>
        <w:pBdr>
          <w:top w:val="nil"/>
          <w:left w:val="nil"/>
          <w:bottom w:val="nil"/>
          <w:right w:val="nil"/>
          <w:between w:val="nil"/>
        </w:pBdr>
        <w:spacing w:after="100" w:line="360" w:lineRule="auto"/>
        <w:jc w:val="both"/>
        <w:rPr>
          <w:color w:val="2F2F2F"/>
          <w:sz w:val="24"/>
          <w:szCs w:val="18"/>
          <w:highlight w:val="white"/>
        </w:rPr>
      </w:pPr>
      <w:r w:rsidRPr="009B2231">
        <w:rPr>
          <w:b/>
          <w:color w:val="2F2F2F"/>
          <w:sz w:val="24"/>
          <w:szCs w:val="18"/>
          <w:highlight w:val="white"/>
        </w:rPr>
        <w:t>Primarios</w:t>
      </w:r>
      <w:r w:rsidRPr="009B2231">
        <w:rPr>
          <w:color w:val="2F2F2F"/>
          <w:sz w:val="24"/>
          <w:szCs w:val="18"/>
          <w:highlight w:val="white"/>
        </w:rPr>
        <w:t xml:space="preserve">: provendrán de la fuente de origen. </w:t>
      </w:r>
    </w:p>
    <w:p w:rsidR="0028439F" w:rsidRPr="009B2231" w:rsidRDefault="0028439F" w:rsidP="0028439F">
      <w:pPr>
        <w:pStyle w:val="Prrafodelista"/>
        <w:numPr>
          <w:ilvl w:val="0"/>
          <w:numId w:val="10"/>
        </w:numPr>
        <w:pBdr>
          <w:top w:val="nil"/>
          <w:left w:val="nil"/>
          <w:bottom w:val="nil"/>
          <w:right w:val="nil"/>
          <w:between w:val="nil"/>
        </w:pBdr>
        <w:spacing w:after="100" w:line="360" w:lineRule="auto"/>
        <w:jc w:val="both"/>
        <w:rPr>
          <w:color w:val="2F2F2F"/>
          <w:sz w:val="24"/>
          <w:szCs w:val="18"/>
          <w:highlight w:val="white"/>
        </w:rPr>
      </w:pPr>
      <w:r w:rsidRPr="009B2231">
        <w:rPr>
          <w:b/>
          <w:color w:val="2F2F2F"/>
          <w:sz w:val="24"/>
          <w:szCs w:val="18"/>
          <w:highlight w:val="white"/>
        </w:rPr>
        <w:t>Oportunos</w:t>
      </w:r>
      <w:r w:rsidRPr="009B2231">
        <w:rPr>
          <w:color w:val="2F2F2F"/>
          <w:sz w:val="24"/>
          <w:szCs w:val="18"/>
          <w:highlight w:val="white"/>
        </w:rPr>
        <w:t>: actualización periódica, conforme se generen.</w:t>
      </w:r>
    </w:p>
    <w:p w:rsidR="0028439F" w:rsidRPr="009B2231" w:rsidRDefault="0028439F" w:rsidP="0028439F">
      <w:pPr>
        <w:pStyle w:val="Prrafodelista"/>
        <w:numPr>
          <w:ilvl w:val="0"/>
          <w:numId w:val="10"/>
        </w:numPr>
        <w:pBdr>
          <w:top w:val="nil"/>
          <w:left w:val="nil"/>
          <w:bottom w:val="nil"/>
          <w:right w:val="nil"/>
          <w:between w:val="nil"/>
        </w:pBdr>
        <w:spacing w:after="100" w:line="360" w:lineRule="auto"/>
        <w:jc w:val="both"/>
        <w:rPr>
          <w:color w:val="2F2F2F"/>
          <w:sz w:val="24"/>
          <w:szCs w:val="18"/>
          <w:highlight w:val="white"/>
        </w:rPr>
      </w:pPr>
      <w:r w:rsidRPr="009B2231">
        <w:rPr>
          <w:b/>
          <w:color w:val="2F2F2F"/>
          <w:sz w:val="24"/>
          <w:szCs w:val="18"/>
          <w:highlight w:val="white"/>
        </w:rPr>
        <w:t>Permanentes</w:t>
      </w:r>
      <w:r w:rsidRPr="009B2231">
        <w:rPr>
          <w:color w:val="2F2F2F"/>
          <w:sz w:val="24"/>
          <w:szCs w:val="18"/>
          <w:highlight w:val="white"/>
        </w:rPr>
        <w:t>: se mantendrán versiones históricas debidamente identificadas para su uso público.</w:t>
      </w:r>
    </w:p>
    <w:p w:rsidR="0028439F" w:rsidRDefault="0028439F" w:rsidP="0028439F">
      <w:pPr>
        <w:spacing w:line="360" w:lineRule="auto"/>
        <w:ind w:left="720"/>
      </w:pPr>
    </w:p>
    <w:p w:rsidR="0028439F" w:rsidRDefault="0028439F" w:rsidP="0028439F">
      <w:pPr>
        <w:pStyle w:val="Ttulo2"/>
        <w:spacing w:line="360" w:lineRule="auto"/>
        <w:jc w:val="both"/>
      </w:pPr>
      <w:bookmarkStart w:id="74" w:name="_Toc497384628"/>
      <w:bookmarkStart w:id="75" w:name="_Toc497921678"/>
      <w:bookmarkStart w:id="76" w:name="_Toc497977892"/>
      <w:bookmarkStart w:id="77" w:name="_Toc497978333"/>
      <w:bookmarkStart w:id="78" w:name="_Toc498412263"/>
      <w:bookmarkStart w:id="79" w:name="_Toc499759007"/>
      <w:bookmarkStart w:id="80" w:name="_Toc502813708"/>
      <w:r>
        <w:lastRenderedPageBreak/>
        <w:t>8. Recursos actuales con los que cuenta el Congreso de la República para la apertura de datos abiertos</w:t>
      </w:r>
      <w:bookmarkEnd w:id="74"/>
      <w:bookmarkEnd w:id="75"/>
      <w:bookmarkEnd w:id="76"/>
      <w:bookmarkEnd w:id="77"/>
      <w:bookmarkEnd w:id="78"/>
      <w:bookmarkEnd w:id="79"/>
      <w:bookmarkEnd w:id="80"/>
    </w:p>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r w:rsidRPr="00DC2B86">
        <w:rPr>
          <w:sz w:val="24"/>
          <w:szCs w:val="24"/>
        </w:rPr>
        <w:t>Actualmente el Congreso de la República de Guatemala carece de recursos tecnológicos, los cuales dificultan el inicio de la apertura de datos en formatos abiertos. Esta carencia tecnológica no es una limitante, ya que al implementar estrategias que incluya mecanismos de espacios institucionalizados, es posible avanzar en la innovación necesaria para que la labor legislativ</w:t>
      </w:r>
      <w:r>
        <w:rPr>
          <w:sz w:val="24"/>
          <w:szCs w:val="24"/>
        </w:rPr>
        <w:t>a</w:t>
      </w:r>
      <w:r w:rsidRPr="00DC2B86">
        <w:rPr>
          <w:sz w:val="24"/>
          <w:szCs w:val="24"/>
        </w:rPr>
        <w:t xml:space="preserve"> cumpla con sus obligaciones y respete los derechos de las y los guatemaltecos.</w:t>
      </w:r>
    </w:p>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r>
        <w:rPr>
          <w:sz w:val="24"/>
          <w:szCs w:val="24"/>
        </w:rPr>
        <w:t>Ahora bien, el Congreso de la República actualmente sí cuenta con:</w:t>
      </w:r>
    </w:p>
    <w:p w:rsidR="0028439F" w:rsidRDefault="0028439F" w:rsidP="0028439F">
      <w:pPr>
        <w:numPr>
          <w:ilvl w:val="0"/>
          <w:numId w:val="9"/>
        </w:numPr>
        <w:pBdr>
          <w:top w:val="nil"/>
          <w:left w:val="nil"/>
          <w:bottom w:val="nil"/>
          <w:right w:val="nil"/>
          <w:between w:val="nil"/>
        </w:pBdr>
        <w:spacing w:after="0" w:line="360" w:lineRule="auto"/>
        <w:contextualSpacing/>
        <w:jc w:val="both"/>
        <w:rPr>
          <w:sz w:val="24"/>
          <w:szCs w:val="24"/>
        </w:rPr>
      </w:pPr>
      <w:r>
        <w:rPr>
          <w:sz w:val="24"/>
          <w:szCs w:val="24"/>
        </w:rPr>
        <w:t>Un portal web.</w:t>
      </w:r>
    </w:p>
    <w:p w:rsidR="0028439F" w:rsidRDefault="0028439F" w:rsidP="0028439F">
      <w:pPr>
        <w:numPr>
          <w:ilvl w:val="0"/>
          <w:numId w:val="9"/>
        </w:numPr>
        <w:pBdr>
          <w:top w:val="nil"/>
          <w:left w:val="nil"/>
          <w:bottom w:val="nil"/>
          <w:right w:val="nil"/>
          <w:between w:val="nil"/>
        </w:pBdr>
        <w:spacing w:after="0" w:line="360" w:lineRule="auto"/>
        <w:contextualSpacing/>
        <w:jc w:val="both"/>
        <w:rPr>
          <w:sz w:val="24"/>
          <w:szCs w:val="24"/>
        </w:rPr>
      </w:pPr>
      <w:r>
        <w:rPr>
          <w:sz w:val="24"/>
          <w:szCs w:val="24"/>
        </w:rPr>
        <w:t>Prácticas y puestos responsables en cada dirección de la publicación de información pública en ese portal web.</w:t>
      </w:r>
    </w:p>
    <w:p w:rsidR="0028439F" w:rsidRDefault="0028439F" w:rsidP="0028439F">
      <w:pPr>
        <w:numPr>
          <w:ilvl w:val="0"/>
          <w:numId w:val="9"/>
        </w:numPr>
        <w:pBdr>
          <w:top w:val="nil"/>
          <w:left w:val="nil"/>
          <w:bottom w:val="nil"/>
          <w:right w:val="nil"/>
          <w:between w:val="nil"/>
        </w:pBdr>
        <w:spacing w:after="0" w:line="360" w:lineRule="auto"/>
        <w:contextualSpacing/>
        <w:jc w:val="both"/>
        <w:rPr>
          <w:sz w:val="24"/>
          <w:szCs w:val="24"/>
        </w:rPr>
      </w:pPr>
      <w:r>
        <w:rPr>
          <w:sz w:val="24"/>
          <w:szCs w:val="24"/>
        </w:rPr>
        <w:t xml:space="preserve">Coordinación interinstitucional de parte de la Unidad de Acceso a la Información Pública, así como de la Dirección General en otros temas. </w:t>
      </w:r>
    </w:p>
    <w:p w:rsidR="0028439F" w:rsidRDefault="0028439F" w:rsidP="0028439F">
      <w:pPr>
        <w:numPr>
          <w:ilvl w:val="0"/>
          <w:numId w:val="9"/>
        </w:numPr>
        <w:pBdr>
          <w:top w:val="nil"/>
          <w:left w:val="nil"/>
          <w:bottom w:val="nil"/>
          <w:right w:val="nil"/>
          <w:between w:val="nil"/>
        </w:pBdr>
        <w:spacing w:after="0" w:line="360" w:lineRule="auto"/>
        <w:contextualSpacing/>
        <w:jc w:val="both"/>
        <w:rPr>
          <w:sz w:val="24"/>
          <w:szCs w:val="24"/>
        </w:rPr>
      </w:pPr>
      <w:r>
        <w:rPr>
          <w:sz w:val="24"/>
          <w:szCs w:val="24"/>
        </w:rPr>
        <w:t xml:space="preserve">Capacitaciones en temas de Parlamento Abierto y Datos Abiertos. </w:t>
      </w:r>
    </w:p>
    <w:p w:rsidR="0028439F" w:rsidRDefault="0028439F" w:rsidP="0028439F">
      <w:pPr>
        <w:numPr>
          <w:ilvl w:val="0"/>
          <w:numId w:val="9"/>
        </w:numPr>
        <w:pBdr>
          <w:top w:val="nil"/>
          <w:left w:val="nil"/>
          <w:bottom w:val="nil"/>
          <w:right w:val="nil"/>
          <w:between w:val="nil"/>
        </w:pBdr>
        <w:spacing w:after="0" w:line="360" w:lineRule="auto"/>
        <w:contextualSpacing/>
        <w:jc w:val="both"/>
        <w:rPr>
          <w:sz w:val="24"/>
          <w:szCs w:val="24"/>
        </w:rPr>
      </w:pPr>
      <w:r>
        <w:rPr>
          <w:sz w:val="24"/>
          <w:szCs w:val="24"/>
        </w:rPr>
        <w:t>Un marco legal que permite avanzar en esta agenda.</w:t>
      </w:r>
    </w:p>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r>
        <w:rPr>
          <w:sz w:val="24"/>
          <w:szCs w:val="24"/>
        </w:rPr>
        <w:t>Es así como, a través de la implementación de esta Guía de apertura de datos legislativos, se termina de institucionalizar el proceso con los fines antes descritos, y sumando a los recursos con los que ya cuenta el Congreso de la República.</w:t>
      </w:r>
    </w:p>
    <w:p w:rsidR="0028439F" w:rsidRDefault="0028439F" w:rsidP="0028439F">
      <w:pPr>
        <w:rPr>
          <w:sz w:val="40"/>
          <w:szCs w:val="40"/>
        </w:rPr>
      </w:pPr>
      <w:r>
        <w:br w:type="page"/>
      </w:r>
    </w:p>
    <w:p w:rsidR="0028439F" w:rsidRDefault="0028439F" w:rsidP="0028439F">
      <w:pPr>
        <w:pStyle w:val="Ttulo1"/>
        <w:spacing w:line="360" w:lineRule="auto"/>
        <w:jc w:val="center"/>
      </w:pPr>
      <w:bookmarkStart w:id="81" w:name="_Toc497384629"/>
      <w:bookmarkStart w:id="82" w:name="_Toc497921679"/>
      <w:bookmarkStart w:id="83" w:name="_Toc497977893"/>
      <w:bookmarkStart w:id="84" w:name="_Toc497978334"/>
      <w:bookmarkStart w:id="85" w:name="_Toc498412264"/>
      <w:bookmarkStart w:id="86" w:name="_Toc499759008"/>
      <w:bookmarkStart w:id="87" w:name="_Toc502813709"/>
      <w:r>
        <w:lastRenderedPageBreak/>
        <w:t>VI. Programa de productos y servicios de la apertura de datos abiertos</w:t>
      </w:r>
      <w:bookmarkEnd w:id="81"/>
      <w:bookmarkEnd w:id="82"/>
      <w:bookmarkEnd w:id="83"/>
      <w:bookmarkEnd w:id="84"/>
      <w:bookmarkEnd w:id="85"/>
      <w:bookmarkEnd w:id="86"/>
      <w:bookmarkEnd w:id="87"/>
    </w:p>
    <w:p w:rsidR="0028439F" w:rsidRDefault="0028439F" w:rsidP="0028439F">
      <w:pPr>
        <w:spacing w:line="360" w:lineRule="auto"/>
      </w:pPr>
    </w:p>
    <w:tbl>
      <w:tblPr>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4275"/>
        <w:gridCol w:w="1905"/>
        <w:gridCol w:w="2670"/>
      </w:tblGrid>
      <w:tr w:rsidR="0028439F" w:rsidTr="00A67AF8">
        <w:tc>
          <w:tcPr>
            <w:tcW w:w="600" w:type="dxa"/>
            <w:shd w:val="clear" w:color="auto" w:fill="auto"/>
            <w:tcMar>
              <w:top w:w="100" w:type="dxa"/>
              <w:left w:w="100" w:type="dxa"/>
              <w:bottom w:w="100" w:type="dxa"/>
              <w:right w:w="100" w:type="dxa"/>
            </w:tcMar>
          </w:tcPr>
          <w:p w:rsidR="0028439F" w:rsidRPr="0016663C" w:rsidRDefault="0028439F" w:rsidP="00A67AF8">
            <w:pPr>
              <w:widowControl w:val="0"/>
              <w:spacing w:line="240" w:lineRule="auto"/>
              <w:jc w:val="center"/>
              <w:rPr>
                <w:b/>
              </w:rPr>
            </w:pPr>
            <w:r w:rsidRPr="00B0762E">
              <w:rPr>
                <w:b/>
              </w:rPr>
              <w:t xml:space="preserve">NO. </w:t>
            </w:r>
          </w:p>
        </w:tc>
        <w:tc>
          <w:tcPr>
            <w:tcW w:w="4275" w:type="dxa"/>
            <w:shd w:val="clear" w:color="auto" w:fill="auto"/>
            <w:tcMar>
              <w:top w:w="100" w:type="dxa"/>
              <w:left w:w="100" w:type="dxa"/>
              <w:bottom w:w="100" w:type="dxa"/>
              <w:right w:w="100" w:type="dxa"/>
            </w:tcMar>
          </w:tcPr>
          <w:p w:rsidR="0028439F" w:rsidRPr="0016663C" w:rsidRDefault="0028439F" w:rsidP="00A67AF8">
            <w:pPr>
              <w:widowControl w:val="0"/>
              <w:spacing w:line="240" w:lineRule="auto"/>
              <w:jc w:val="center"/>
              <w:rPr>
                <w:b/>
              </w:rPr>
            </w:pPr>
            <w:r w:rsidRPr="00B0762E">
              <w:rPr>
                <w:b/>
              </w:rPr>
              <w:t>META O PRODUCTO</w:t>
            </w:r>
          </w:p>
        </w:tc>
        <w:tc>
          <w:tcPr>
            <w:tcW w:w="1905" w:type="dxa"/>
            <w:shd w:val="clear" w:color="auto" w:fill="auto"/>
            <w:tcMar>
              <w:top w:w="100" w:type="dxa"/>
              <w:left w:w="100" w:type="dxa"/>
              <w:bottom w:w="100" w:type="dxa"/>
              <w:right w:w="100" w:type="dxa"/>
            </w:tcMar>
          </w:tcPr>
          <w:p w:rsidR="0028439F" w:rsidRPr="0016663C" w:rsidRDefault="0028439F" w:rsidP="00A67AF8">
            <w:pPr>
              <w:widowControl w:val="0"/>
              <w:spacing w:line="240" w:lineRule="auto"/>
              <w:jc w:val="center"/>
              <w:rPr>
                <w:b/>
              </w:rPr>
            </w:pPr>
            <w:r w:rsidRPr="00B0762E">
              <w:rPr>
                <w:b/>
              </w:rPr>
              <w:t>PERIODICIDAD</w:t>
            </w:r>
          </w:p>
        </w:tc>
        <w:tc>
          <w:tcPr>
            <w:tcW w:w="2670" w:type="dxa"/>
            <w:shd w:val="clear" w:color="auto" w:fill="auto"/>
            <w:tcMar>
              <w:top w:w="100" w:type="dxa"/>
              <w:left w:w="100" w:type="dxa"/>
              <w:bottom w:w="100" w:type="dxa"/>
              <w:right w:w="100" w:type="dxa"/>
            </w:tcMar>
          </w:tcPr>
          <w:p w:rsidR="0028439F" w:rsidRPr="0016663C" w:rsidRDefault="0028439F" w:rsidP="00A67AF8">
            <w:pPr>
              <w:widowControl w:val="0"/>
              <w:spacing w:line="240" w:lineRule="auto"/>
              <w:jc w:val="center"/>
              <w:rPr>
                <w:b/>
              </w:rPr>
            </w:pPr>
            <w:r w:rsidRPr="00B0762E">
              <w:rPr>
                <w:b/>
              </w:rPr>
              <w:t>FECHA EN LA QUE LA META O PRODUCTO SE IMPLEMENTARÁ</w:t>
            </w:r>
          </w:p>
        </w:tc>
      </w:tr>
      <w:tr w:rsidR="0028439F" w:rsidTr="00A67AF8">
        <w:tc>
          <w:tcPr>
            <w:tcW w:w="600" w:type="dxa"/>
            <w:shd w:val="clear" w:color="auto" w:fill="auto"/>
            <w:tcMar>
              <w:top w:w="100" w:type="dxa"/>
              <w:left w:w="100" w:type="dxa"/>
              <w:bottom w:w="100" w:type="dxa"/>
              <w:right w:w="100" w:type="dxa"/>
            </w:tcMar>
          </w:tcPr>
          <w:p w:rsidR="0028439F" w:rsidRDefault="0028439F" w:rsidP="00A67AF8">
            <w:pPr>
              <w:widowControl w:val="0"/>
              <w:spacing w:line="240" w:lineRule="auto"/>
            </w:pPr>
            <w:r>
              <w:t>1</w:t>
            </w:r>
          </w:p>
        </w:tc>
        <w:tc>
          <w:tcPr>
            <w:tcW w:w="4275" w:type="dxa"/>
            <w:shd w:val="clear" w:color="auto" w:fill="auto"/>
            <w:tcMar>
              <w:top w:w="100" w:type="dxa"/>
              <w:left w:w="100" w:type="dxa"/>
              <w:bottom w:w="100" w:type="dxa"/>
              <w:right w:w="100" w:type="dxa"/>
            </w:tcMar>
          </w:tcPr>
          <w:p w:rsidR="0028439F" w:rsidRDefault="0028439F" w:rsidP="00A67AF8">
            <w:pPr>
              <w:widowControl w:val="0"/>
              <w:spacing w:line="240" w:lineRule="auto"/>
            </w:pPr>
            <w:r>
              <w:t>Aprobación de parte de Junta Directiva para la implementación de esta guía de apertura de datos.</w:t>
            </w:r>
          </w:p>
        </w:tc>
        <w:tc>
          <w:tcPr>
            <w:tcW w:w="1905" w:type="dxa"/>
            <w:shd w:val="clear" w:color="auto" w:fill="auto"/>
            <w:tcMar>
              <w:top w:w="100" w:type="dxa"/>
              <w:left w:w="100" w:type="dxa"/>
              <w:bottom w:w="100" w:type="dxa"/>
              <w:right w:w="100" w:type="dxa"/>
            </w:tcMar>
          </w:tcPr>
          <w:p w:rsidR="0028439F" w:rsidRDefault="0028439F" w:rsidP="00A67AF8">
            <w:pPr>
              <w:widowControl w:val="0"/>
              <w:spacing w:line="240" w:lineRule="auto"/>
            </w:pPr>
            <w:r>
              <w:t>Única</w:t>
            </w:r>
          </w:p>
        </w:tc>
        <w:tc>
          <w:tcPr>
            <w:tcW w:w="2670" w:type="dxa"/>
            <w:shd w:val="clear" w:color="auto" w:fill="auto"/>
            <w:tcMar>
              <w:top w:w="100" w:type="dxa"/>
              <w:left w:w="100" w:type="dxa"/>
              <w:bottom w:w="100" w:type="dxa"/>
              <w:right w:w="100" w:type="dxa"/>
            </w:tcMar>
          </w:tcPr>
          <w:p w:rsidR="0028439F" w:rsidRDefault="0028439F" w:rsidP="00A67AF8">
            <w:pPr>
              <w:widowControl w:val="0"/>
              <w:spacing w:line="240" w:lineRule="auto"/>
            </w:pPr>
            <w:r>
              <w:t>Enero 2018</w:t>
            </w:r>
          </w:p>
        </w:tc>
      </w:tr>
      <w:tr w:rsidR="0028439F" w:rsidTr="00A67AF8">
        <w:tc>
          <w:tcPr>
            <w:tcW w:w="600" w:type="dxa"/>
            <w:shd w:val="clear" w:color="auto" w:fill="auto"/>
            <w:tcMar>
              <w:top w:w="100" w:type="dxa"/>
              <w:left w:w="100" w:type="dxa"/>
              <w:bottom w:w="100" w:type="dxa"/>
              <w:right w:w="100" w:type="dxa"/>
            </w:tcMar>
          </w:tcPr>
          <w:p w:rsidR="0028439F" w:rsidRDefault="0028439F" w:rsidP="00A67AF8">
            <w:pPr>
              <w:widowControl w:val="0"/>
              <w:spacing w:line="240" w:lineRule="auto"/>
            </w:pPr>
            <w:r>
              <w:t>2</w:t>
            </w:r>
          </w:p>
        </w:tc>
        <w:tc>
          <w:tcPr>
            <w:tcW w:w="4275" w:type="dxa"/>
            <w:shd w:val="clear" w:color="auto" w:fill="auto"/>
            <w:tcMar>
              <w:top w:w="100" w:type="dxa"/>
              <w:left w:w="100" w:type="dxa"/>
              <w:bottom w:w="100" w:type="dxa"/>
              <w:right w:w="100" w:type="dxa"/>
            </w:tcMar>
          </w:tcPr>
          <w:p w:rsidR="0028439F" w:rsidRDefault="0028439F" w:rsidP="00A67AF8">
            <w:pPr>
              <w:widowControl w:val="0"/>
              <w:spacing w:line="240" w:lineRule="auto"/>
            </w:pPr>
            <w:r>
              <w:t>Capacitación y socialización a lo interno del Congreso de la República de esta guía de apertura de datos.</w:t>
            </w:r>
          </w:p>
        </w:tc>
        <w:tc>
          <w:tcPr>
            <w:tcW w:w="1905" w:type="dxa"/>
            <w:shd w:val="clear" w:color="auto" w:fill="auto"/>
            <w:tcMar>
              <w:top w:w="100" w:type="dxa"/>
              <w:left w:w="100" w:type="dxa"/>
              <w:bottom w:w="100" w:type="dxa"/>
              <w:right w:w="100" w:type="dxa"/>
            </w:tcMar>
          </w:tcPr>
          <w:p w:rsidR="0028439F" w:rsidRDefault="0028439F" w:rsidP="00A67AF8">
            <w:pPr>
              <w:widowControl w:val="0"/>
              <w:spacing w:line="240" w:lineRule="auto"/>
            </w:pPr>
            <w:r>
              <w:t>Única</w:t>
            </w:r>
          </w:p>
        </w:tc>
        <w:tc>
          <w:tcPr>
            <w:tcW w:w="2670" w:type="dxa"/>
            <w:shd w:val="clear" w:color="auto" w:fill="auto"/>
            <w:tcMar>
              <w:top w:w="100" w:type="dxa"/>
              <w:left w:w="100" w:type="dxa"/>
              <w:bottom w:w="100" w:type="dxa"/>
              <w:right w:w="100" w:type="dxa"/>
            </w:tcMar>
          </w:tcPr>
          <w:p w:rsidR="0028439F" w:rsidRDefault="0028439F" w:rsidP="00A67AF8">
            <w:pPr>
              <w:widowControl w:val="0"/>
              <w:spacing w:line="240" w:lineRule="auto"/>
            </w:pPr>
            <w:r>
              <w:t>Octubre 2017 - febrero 2018</w:t>
            </w:r>
          </w:p>
        </w:tc>
      </w:tr>
      <w:tr w:rsidR="0028439F" w:rsidTr="00A67AF8">
        <w:tc>
          <w:tcPr>
            <w:tcW w:w="600" w:type="dxa"/>
            <w:shd w:val="clear" w:color="auto" w:fill="auto"/>
            <w:tcMar>
              <w:top w:w="100" w:type="dxa"/>
              <w:left w:w="100" w:type="dxa"/>
              <w:bottom w:w="100" w:type="dxa"/>
              <w:right w:w="100" w:type="dxa"/>
            </w:tcMar>
          </w:tcPr>
          <w:p w:rsidR="0028439F" w:rsidRDefault="0028439F" w:rsidP="00A67AF8">
            <w:pPr>
              <w:widowControl w:val="0"/>
              <w:spacing w:line="240" w:lineRule="auto"/>
            </w:pPr>
            <w:r>
              <w:t>3</w:t>
            </w:r>
          </w:p>
        </w:tc>
        <w:tc>
          <w:tcPr>
            <w:tcW w:w="4275" w:type="dxa"/>
            <w:shd w:val="clear" w:color="auto" w:fill="auto"/>
            <w:tcMar>
              <w:top w:w="100" w:type="dxa"/>
              <w:left w:w="100" w:type="dxa"/>
              <w:bottom w:w="100" w:type="dxa"/>
              <w:right w:w="100" w:type="dxa"/>
            </w:tcMar>
          </w:tcPr>
          <w:p w:rsidR="0028439F" w:rsidRDefault="0028439F" w:rsidP="00A67AF8">
            <w:pPr>
              <w:widowControl w:val="0"/>
              <w:spacing w:line="240" w:lineRule="auto"/>
            </w:pPr>
            <w:r>
              <w:t>Creación e institucionalización de la Mesa Técnica de Innovación Tecnológica Legislativa.</w:t>
            </w:r>
          </w:p>
        </w:tc>
        <w:tc>
          <w:tcPr>
            <w:tcW w:w="1905" w:type="dxa"/>
            <w:shd w:val="clear" w:color="auto" w:fill="auto"/>
            <w:tcMar>
              <w:top w:w="100" w:type="dxa"/>
              <w:left w:w="100" w:type="dxa"/>
              <w:bottom w:w="100" w:type="dxa"/>
              <w:right w:w="100" w:type="dxa"/>
            </w:tcMar>
          </w:tcPr>
          <w:p w:rsidR="0028439F" w:rsidRDefault="0028439F" w:rsidP="00A67AF8">
            <w:pPr>
              <w:widowControl w:val="0"/>
              <w:spacing w:line="240" w:lineRule="auto"/>
            </w:pPr>
            <w:r>
              <w:t>Mensual</w:t>
            </w:r>
          </w:p>
        </w:tc>
        <w:tc>
          <w:tcPr>
            <w:tcW w:w="2670" w:type="dxa"/>
            <w:shd w:val="clear" w:color="auto" w:fill="auto"/>
            <w:tcMar>
              <w:top w:w="100" w:type="dxa"/>
              <w:left w:w="100" w:type="dxa"/>
              <w:bottom w:w="100" w:type="dxa"/>
              <w:right w:w="100" w:type="dxa"/>
            </w:tcMar>
          </w:tcPr>
          <w:p w:rsidR="0028439F" w:rsidRDefault="0028439F" w:rsidP="00A67AF8">
            <w:pPr>
              <w:widowControl w:val="0"/>
              <w:spacing w:line="240" w:lineRule="auto"/>
            </w:pPr>
            <w:r>
              <w:t>Enero 2018</w:t>
            </w:r>
          </w:p>
        </w:tc>
      </w:tr>
      <w:tr w:rsidR="0028439F" w:rsidTr="00A67AF8">
        <w:tc>
          <w:tcPr>
            <w:tcW w:w="600" w:type="dxa"/>
            <w:shd w:val="clear" w:color="auto" w:fill="auto"/>
            <w:tcMar>
              <w:top w:w="100" w:type="dxa"/>
              <w:left w:w="100" w:type="dxa"/>
              <w:bottom w:w="100" w:type="dxa"/>
              <w:right w:w="100" w:type="dxa"/>
            </w:tcMar>
          </w:tcPr>
          <w:p w:rsidR="0028439F" w:rsidRDefault="0028439F" w:rsidP="00A67AF8">
            <w:pPr>
              <w:widowControl w:val="0"/>
              <w:spacing w:line="240" w:lineRule="auto"/>
            </w:pPr>
            <w:r>
              <w:t>4</w:t>
            </w:r>
          </w:p>
        </w:tc>
        <w:tc>
          <w:tcPr>
            <w:tcW w:w="4275" w:type="dxa"/>
            <w:shd w:val="clear" w:color="auto" w:fill="auto"/>
            <w:tcMar>
              <w:top w:w="100" w:type="dxa"/>
              <w:left w:w="100" w:type="dxa"/>
              <w:bottom w:w="100" w:type="dxa"/>
              <w:right w:w="100" w:type="dxa"/>
            </w:tcMar>
          </w:tcPr>
          <w:p w:rsidR="0028439F" w:rsidRDefault="0028439F" w:rsidP="00A67AF8">
            <w:pPr>
              <w:widowControl w:val="0"/>
              <w:spacing w:line="240" w:lineRule="auto"/>
            </w:pPr>
            <w:r>
              <w:t>Lanzamiento portal de datos abiertos legislativos del Congreso de la República de Guatemala</w:t>
            </w:r>
          </w:p>
        </w:tc>
        <w:tc>
          <w:tcPr>
            <w:tcW w:w="1905" w:type="dxa"/>
            <w:shd w:val="clear" w:color="auto" w:fill="auto"/>
            <w:tcMar>
              <w:top w:w="100" w:type="dxa"/>
              <w:left w:w="100" w:type="dxa"/>
              <w:bottom w:w="100" w:type="dxa"/>
              <w:right w:w="100" w:type="dxa"/>
            </w:tcMar>
          </w:tcPr>
          <w:p w:rsidR="0028439F" w:rsidRDefault="0028439F" w:rsidP="00A67AF8">
            <w:pPr>
              <w:widowControl w:val="0"/>
              <w:spacing w:line="240" w:lineRule="auto"/>
            </w:pPr>
            <w:r>
              <w:t>Única</w:t>
            </w:r>
          </w:p>
        </w:tc>
        <w:tc>
          <w:tcPr>
            <w:tcW w:w="2670" w:type="dxa"/>
            <w:shd w:val="clear" w:color="auto" w:fill="auto"/>
            <w:tcMar>
              <w:top w:w="100" w:type="dxa"/>
              <w:left w:w="100" w:type="dxa"/>
              <w:bottom w:w="100" w:type="dxa"/>
              <w:right w:w="100" w:type="dxa"/>
            </w:tcMar>
          </w:tcPr>
          <w:p w:rsidR="0028439F" w:rsidRDefault="0028439F" w:rsidP="00A67AF8">
            <w:pPr>
              <w:widowControl w:val="0"/>
              <w:spacing w:line="240" w:lineRule="auto"/>
            </w:pPr>
            <w:r>
              <w:t>Enero 2017</w:t>
            </w:r>
          </w:p>
        </w:tc>
      </w:tr>
    </w:tbl>
    <w:p w:rsidR="0028439F" w:rsidRDefault="0028439F" w:rsidP="0028439F">
      <w:pPr>
        <w:spacing w:line="360" w:lineRule="auto"/>
      </w:pPr>
    </w:p>
    <w:p w:rsidR="0028439F" w:rsidRDefault="0028439F" w:rsidP="0028439F">
      <w:pPr>
        <w:spacing w:line="360" w:lineRule="auto"/>
      </w:pPr>
    </w:p>
    <w:p w:rsidR="0028439F" w:rsidRDefault="0028439F" w:rsidP="0028439F">
      <w:pPr>
        <w:spacing w:line="360" w:lineRule="auto"/>
      </w:pPr>
    </w:p>
    <w:p w:rsidR="0028439F" w:rsidRDefault="0028439F" w:rsidP="0028439F">
      <w:pPr>
        <w:spacing w:line="360" w:lineRule="auto"/>
      </w:pPr>
    </w:p>
    <w:p w:rsidR="0028439F" w:rsidRDefault="0028439F" w:rsidP="0028439F">
      <w:pPr>
        <w:spacing w:line="360" w:lineRule="auto"/>
      </w:pPr>
    </w:p>
    <w:p w:rsidR="0028439F" w:rsidRDefault="0028439F" w:rsidP="0028439F">
      <w:pPr>
        <w:spacing w:line="360" w:lineRule="auto"/>
      </w:pPr>
    </w:p>
    <w:p w:rsidR="0028439F" w:rsidRDefault="0028439F" w:rsidP="0028439F">
      <w:pPr>
        <w:spacing w:line="360" w:lineRule="auto"/>
      </w:pPr>
    </w:p>
    <w:p w:rsidR="0028439F" w:rsidRDefault="0028439F" w:rsidP="0028439F">
      <w:pPr>
        <w:pStyle w:val="Ttulo1"/>
        <w:spacing w:line="360" w:lineRule="auto"/>
        <w:jc w:val="center"/>
      </w:pPr>
      <w:bookmarkStart w:id="88" w:name="_Toc497384630"/>
      <w:bookmarkStart w:id="89" w:name="_Toc497921680"/>
      <w:bookmarkStart w:id="90" w:name="_Toc497977894"/>
      <w:bookmarkStart w:id="91" w:name="_Toc497978335"/>
      <w:bookmarkStart w:id="92" w:name="_Toc498412265"/>
      <w:bookmarkStart w:id="93" w:name="_Toc499759009"/>
      <w:bookmarkStart w:id="94" w:name="_Toc502813710"/>
      <w:r>
        <w:lastRenderedPageBreak/>
        <w:t>V. Planificación de actividades y recursos</w:t>
      </w:r>
      <w:bookmarkEnd w:id="88"/>
      <w:bookmarkEnd w:id="89"/>
      <w:bookmarkEnd w:id="90"/>
      <w:bookmarkEnd w:id="91"/>
      <w:bookmarkEnd w:id="92"/>
      <w:bookmarkEnd w:id="93"/>
      <w:bookmarkEnd w:id="94"/>
    </w:p>
    <w:p w:rsidR="0028439F" w:rsidRDefault="0028439F" w:rsidP="0028439F">
      <w:pPr>
        <w:spacing w:line="360" w:lineRule="auto"/>
        <w:jc w:val="both"/>
        <w:rPr>
          <w:sz w:val="24"/>
          <w:szCs w:val="24"/>
        </w:rPr>
      </w:pPr>
      <w:r>
        <w:rPr>
          <w:sz w:val="24"/>
          <w:szCs w:val="24"/>
        </w:rPr>
        <w:t xml:space="preserve">El primer paso para la implementación de esta Guía de apertura de datos legislativos es la institucionalización, a través de la aprobación de una </w:t>
      </w:r>
      <w:bookmarkStart w:id="95" w:name="_Hlk499758653"/>
      <w:r>
        <w:rPr>
          <w:sz w:val="24"/>
          <w:szCs w:val="24"/>
        </w:rPr>
        <w:t>Mesa Técnica de Innovación Tecnológica Legislativa</w:t>
      </w:r>
      <w:bookmarkEnd w:id="95"/>
      <w:r>
        <w:rPr>
          <w:sz w:val="24"/>
          <w:szCs w:val="24"/>
        </w:rPr>
        <w:t xml:space="preserve">. Esta mesa será conformada por un representante de cada dirección del Congreso de la República. Normalmente, este representante será el que ostente el puesto que le haga responsable de actualizar la información pública de su dirección en el portal web del Congreso de la República, al no ser que se especifique una excepción justificada en esta Guía. Además, se permitirá la participación en esta mesa de representantes de organizaciones de sociedad civil. </w:t>
      </w:r>
    </w:p>
    <w:p w:rsidR="0028439F" w:rsidRDefault="0028439F" w:rsidP="0028439F">
      <w:pPr>
        <w:spacing w:line="360" w:lineRule="auto"/>
        <w:jc w:val="both"/>
        <w:rPr>
          <w:sz w:val="24"/>
          <w:szCs w:val="24"/>
        </w:rPr>
      </w:pPr>
    </w:p>
    <w:p w:rsidR="0028439F" w:rsidRDefault="0028439F" w:rsidP="0028439F">
      <w:pPr>
        <w:spacing w:line="360" w:lineRule="auto"/>
      </w:pPr>
    </w:p>
    <w:p w:rsidR="0028439F" w:rsidRDefault="0028439F" w:rsidP="0028439F">
      <w:pPr>
        <w:spacing w:line="360" w:lineRule="auto"/>
      </w:pPr>
    </w:p>
    <w:p w:rsidR="0028439F" w:rsidRDefault="0028439F" w:rsidP="0028439F">
      <w:pPr>
        <w:pStyle w:val="Ttulo1"/>
        <w:spacing w:line="360" w:lineRule="auto"/>
        <w:jc w:val="center"/>
      </w:pPr>
      <w:bookmarkStart w:id="96" w:name="_Toc497384631"/>
      <w:bookmarkStart w:id="97" w:name="_Toc497921681"/>
      <w:bookmarkStart w:id="98" w:name="_Toc497977895"/>
      <w:bookmarkStart w:id="99" w:name="_Toc497978336"/>
      <w:bookmarkStart w:id="100" w:name="_Toc498412266"/>
      <w:bookmarkStart w:id="101" w:name="_Toc499759010"/>
      <w:bookmarkStart w:id="102" w:name="_Toc502813711"/>
      <w:r>
        <w:t>VI. Gestión de la estrategia / responsables</w:t>
      </w:r>
      <w:bookmarkEnd w:id="96"/>
      <w:bookmarkEnd w:id="97"/>
      <w:bookmarkEnd w:id="98"/>
      <w:bookmarkEnd w:id="99"/>
      <w:bookmarkEnd w:id="100"/>
      <w:bookmarkEnd w:id="101"/>
      <w:bookmarkEnd w:id="102"/>
    </w:p>
    <w:p w:rsidR="0028439F" w:rsidRDefault="0028439F" w:rsidP="0028439F">
      <w:pPr>
        <w:spacing w:line="360" w:lineRule="auto"/>
      </w:pPr>
    </w:p>
    <w:p w:rsidR="0028439F" w:rsidRDefault="0028439F" w:rsidP="0028439F">
      <w:pPr>
        <w:pStyle w:val="Ttulo2"/>
        <w:numPr>
          <w:ilvl w:val="1"/>
          <w:numId w:val="3"/>
        </w:numPr>
        <w:pBdr>
          <w:top w:val="nil"/>
          <w:left w:val="nil"/>
          <w:bottom w:val="nil"/>
          <w:right w:val="nil"/>
          <w:between w:val="nil"/>
        </w:pBdr>
        <w:spacing w:before="360" w:after="120" w:line="360" w:lineRule="auto"/>
        <w:contextualSpacing/>
      </w:pPr>
      <w:bookmarkStart w:id="103" w:name="_Toc497384632"/>
      <w:bookmarkStart w:id="104" w:name="_Toc497921682"/>
      <w:bookmarkStart w:id="105" w:name="_Toc497977896"/>
      <w:bookmarkStart w:id="106" w:name="_Toc497978337"/>
      <w:bookmarkStart w:id="107" w:name="_Toc498412267"/>
      <w:bookmarkStart w:id="108" w:name="_Toc499759011"/>
      <w:bookmarkStart w:id="109" w:name="_Toc502813712"/>
      <w:r>
        <w:t>Definición de estrategia</w:t>
      </w:r>
      <w:bookmarkEnd w:id="103"/>
      <w:bookmarkEnd w:id="104"/>
      <w:bookmarkEnd w:id="105"/>
      <w:bookmarkEnd w:id="106"/>
      <w:bookmarkEnd w:id="107"/>
      <w:bookmarkEnd w:id="108"/>
      <w:bookmarkEnd w:id="109"/>
    </w:p>
    <w:p w:rsidR="0028439F" w:rsidRDefault="0028439F" w:rsidP="0028439F">
      <w:pPr>
        <w:spacing w:line="360" w:lineRule="auto"/>
        <w:ind w:left="720"/>
      </w:pPr>
    </w:p>
    <w:p w:rsidR="0028439F" w:rsidRDefault="0028439F" w:rsidP="0028439F">
      <w:pPr>
        <w:spacing w:line="360" w:lineRule="auto"/>
        <w:jc w:val="both"/>
        <w:rPr>
          <w:sz w:val="24"/>
          <w:szCs w:val="24"/>
        </w:rPr>
      </w:pPr>
      <w:r>
        <w:rPr>
          <w:sz w:val="24"/>
          <w:szCs w:val="24"/>
        </w:rPr>
        <w:t>Para la elaboración de esta guía, se llevó a cabo un diagnóstico sobre la oferta y demanda de datos del Congreso de la República, una ronda de mesas técnicas de datos abiertos con la participación de las direcciones del Congreso</w:t>
      </w:r>
      <w:r>
        <w:rPr>
          <w:rStyle w:val="Refdenotaalpie"/>
          <w:sz w:val="24"/>
          <w:szCs w:val="24"/>
        </w:rPr>
        <w:footnoteReference w:id="13"/>
      </w:r>
      <w:r>
        <w:rPr>
          <w:sz w:val="24"/>
          <w:szCs w:val="24"/>
        </w:rPr>
        <w:t xml:space="preserve"> de la República, dos mesas de diálogo con representantes de sociedad civil en general y direcciones para generar insumos complementarios, una mesa de trabajo con base en el primer borrador del documento, y consultas online a la ciudadanía. </w:t>
      </w:r>
    </w:p>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r>
        <w:rPr>
          <w:sz w:val="24"/>
          <w:szCs w:val="24"/>
        </w:rPr>
        <w:lastRenderedPageBreak/>
        <w:t>Todas estas actividades e insumos permitieron trazar la iniciativa diseñada para crear las capacidades técnicas necesarias, y mecanismos de apertura, a lo interno del Congreso de la República de Guatemala.</w:t>
      </w:r>
    </w:p>
    <w:p w:rsidR="0028439F" w:rsidRDefault="0028439F" w:rsidP="0028439F">
      <w:pPr>
        <w:pStyle w:val="Ttulo2"/>
        <w:numPr>
          <w:ilvl w:val="1"/>
          <w:numId w:val="3"/>
        </w:numPr>
        <w:pBdr>
          <w:top w:val="nil"/>
          <w:left w:val="nil"/>
          <w:bottom w:val="nil"/>
          <w:right w:val="nil"/>
          <w:between w:val="nil"/>
        </w:pBdr>
        <w:spacing w:before="360" w:after="120" w:line="360" w:lineRule="auto"/>
        <w:contextualSpacing/>
      </w:pPr>
      <w:bookmarkStart w:id="110" w:name="_Toc497384633"/>
      <w:bookmarkStart w:id="111" w:name="_Toc497921683"/>
      <w:bookmarkStart w:id="112" w:name="_Toc497977897"/>
      <w:bookmarkStart w:id="113" w:name="_Toc497978338"/>
      <w:bookmarkStart w:id="114" w:name="_Toc498412268"/>
      <w:bookmarkStart w:id="115" w:name="_Toc499759012"/>
      <w:bookmarkStart w:id="116" w:name="_Toc502813713"/>
      <w:r>
        <w:t>Estrategia específica de apertura de datos</w:t>
      </w:r>
      <w:bookmarkEnd w:id="110"/>
      <w:bookmarkEnd w:id="111"/>
      <w:bookmarkEnd w:id="112"/>
      <w:bookmarkEnd w:id="113"/>
      <w:bookmarkEnd w:id="114"/>
      <w:bookmarkEnd w:id="115"/>
      <w:bookmarkEnd w:id="116"/>
    </w:p>
    <w:p w:rsidR="0028439F" w:rsidRDefault="0028439F" w:rsidP="0028439F">
      <w:pPr>
        <w:spacing w:line="360" w:lineRule="auto"/>
        <w:ind w:left="720"/>
      </w:pPr>
    </w:p>
    <w:p w:rsidR="0028439F" w:rsidRDefault="0028439F" w:rsidP="0028439F">
      <w:pPr>
        <w:spacing w:line="360" w:lineRule="auto"/>
        <w:ind w:left="120"/>
        <w:jc w:val="both"/>
        <w:rPr>
          <w:sz w:val="24"/>
          <w:szCs w:val="24"/>
        </w:rPr>
      </w:pPr>
      <w:r>
        <w:rPr>
          <w:sz w:val="24"/>
          <w:szCs w:val="24"/>
        </w:rPr>
        <w:t>Con base en el diagnóstico sobre la oferta y demanda de datos en el Congreso de la República, la siguiente estrategia busca dar sostenibilidad al proceso de apertura de datos. Se busca garantizar que tanto los usuarios como los proveedores de los datos estén capacitados para poder darle buen uso a los datos abiertos a través de mecanismos de retroalimentación constante. Es importante resaltar que esta guía busca institucionalizar las figuras y espacios para el proceso de apertura de datos, más no imponer un proceso rígido que no permita la revaloración o la toma de decisiones en pro de mejores resultados y herramientas en un tema tan cambiante como lo es el tecnológico.</w:t>
      </w:r>
    </w:p>
    <w:p w:rsidR="0028439F" w:rsidRDefault="0028439F" w:rsidP="0028439F">
      <w:pPr>
        <w:spacing w:line="360" w:lineRule="auto"/>
        <w:ind w:left="120"/>
        <w:jc w:val="both"/>
        <w:rPr>
          <w:sz w:val="24"/>
          <w:szCs w:val="24"/>
        </w:rPr>
      </w:pPr>
    </w:p>
    <w:p w:rsidR="0028439F" w:rsidRDefault="0028439F" w:rsidP="0028439F">
      <w:pPr>
        <w:spacing w:line="360" w:lineRule="auto"/>
        <w:ind w:left="120"/>
        <w:jc w:val="both"/>
        <w:rPr>
          <w:sz w:val="24"/>
          <w:szCs w:val="24"/>
        </w:rPr>
      </w:pPr>
      <w:r>
        <w:rPr>
          <w:sz w:val="24"/>
          <w:szCs w:val="24"/>
        </w:rPr>
        <w:t>A continuación, se ilustra el proceso de apertura de datos a través de la Mesa Técnica de Innovación Tecnológica Legislativa:</w:t>
      </w:r>
    </w:p>
    <w:p w:rsidR="0028439F" w:rsidRDefault="0028439F" w:rsidP="0028439F">
      <w:pPr>
        <w:widowControl w:val="0"/>
        <w:spacing w:line="240" w:lineRule="auto"/>
        <w:rPr>
          <w:sz w:val="24"/>
          <w:szCs w:val="24"/>
        </w:rPr>
      </w:pPr>
      <w:r>
        <w:rPr>
          <w:noProof/>
          <w:lang w:val="en-US"/>
        </w:rPr>
        <w:lastRenderedPageBreak/>
        <w:drawing>
          <wp:inline distT="114300" distB="114300" distL="114300" distR="114300" wp14:anchorId="3C0AA0D9" wp14:editId="7EC976F3">
            <wp:extent cx="6205538" cy="3197429"/>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205538" cy="3197429"/>
                    </a:xfrm>
                    <a:prstGeom prst="rect">
                      <a:avLst/>
                    </a:prstGeom>
                    <a:ln/>
                  </pic:spPr>
                </pic:pic>
              </a:graphicData>
            </a:graphic>
          </wp:inline>
        </w:drawing>
      </w:r>
    </w:p>
    <w:p w:rsidR="0028439F" w:rsidRDefault="0028439F" w:rsidP="0028439F">
      <w:pPr>
        <w:spacing w:line="360" w:lineRule="auto"/>
        <w:ind w:left="720"/>
        <w:jc w:val="both"/>
        <w:rPr>
          <w:sz w:val="24"/>
          <w:szCs w:val="24"/>
        </w:rPr>
      </w:pPr>
    </w:p>
    <w:p w:rsidR="0028439F" w:rsidRDefault="0028439F" w:rsidP="0028439F">
      <w:pPr>
        <w:spacing w:line="360" w:lineRule="auto"/>
        <w:ind w:left="720"/>
        <w:jc w:val="both"/>
        <w:rPr>
          <w:sz w:val="24"/>
          <w:szCs w:val="24"/>
        </w:rPr>
      </w:pPr>
      <w:r>
        <w:rPr>
          <w:sz w:val="24"/>
          <w:szCs w:val="24"/>
        </w:rPr>
        <w:t>Esta mesa de periodicidad mensual contará con la participación y responsabilidades de los siguientes actores</w:t>
      </w:r>
      <w:r>
        <w:rPr>
          <w:rStyle w:val="Refdenotaalpie"/>
          <w:sz w:val="24"/>
          <w:szCs w:val="24"/>
        </w:rPr>
        <w:footnoteReference w:id="14"/>
      </w:r>
      <w:r>
        <w:rPr>
          <w:sz w:val="24"/>
          <w:szCs w:val="24"/>
        </w:rPr>
        <w:t>:</w:t>
      </w:r>
    </w:p>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p>
    <w:tbl>
      <w:tblPr>
        <w:tblW w:w="10245"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720"/>
        <w:gridCol w:w="4410"/>
      </w:tblGrid>
      <w:tr w:rsidR="0028439F" w:rsidTr="00A67AF8">
        <w:tc>
          <w:tcPr>
            <w:tcW w:w="2115" w:type="dxa"/>
            <w:shd w:val="clear" w:color="auto" w:fill="auto"/>
            <w:tcMar>
              <w:top w:w="100" w:type="dxa"/>
              <w:left w:w="100" w:type="dxa"/>
              <w:bottom w:w="100" w:type="dxa"/>
              <w:right w:w="100" w:type="dxa"/>
            </w:tcMar>
          </w:tcPr>
          <w:p w:rsidR="0028439F" w:rsidRPr="007E6CD1" w:rsidRDefault="0028439F" w:rsidP="00A67AF8">
            <w:pPr>
              <w:widowControl w:val="0"/>
              <w:spacing w:line="240" w:lineRule="auto"/>
              <w:jc w:val="center"/>
              <w:rPr>
                <w:b/>
                <w:sz w:val="24"/>
                <w:szCs w:val="24"/>
              </w:rPr>
            </w:pPr>
            <w:r w:rsidRPr="00972854">
              <w:rPr>
                <w:b/>
                <w:sz w:val="24"/>
                <w:szCs w:val="24"/>
              </w:rPr>
              <w:t>ACTOR</w:t>
            </w:r>
          </w:p>
        </w:tc>
        <w:tc>
          <w:tcPr>
            <w:tcW w:w="3720" w:type="dxa"/>
            <w:shd w:val="clear" w:color="auto" w:fill="auto"/>
            <w:tcMar>
              <w:top w:w="100" w:type="dxa"/>
              <w:left w:w="100" w:type="dxa"/>
              <w:bottom w:w="100" w:type="dxa"/>
              <w:right w:w="100" w:type="dxa"/>
            </w:tcMar>
          </w:tcPr>
          <w:p w:rsidR="0028439F" w:rsidRPr="007E6CD1" w:rsidRDefault="0028439F" w:rsidP="00A67AF8">
            <w:pPr>
              <w:widowControl w:val="0"/>
              <w:spacing w:line="240" w:lineRule="auto"/>
              <w:jc w:val="center"/>
              <w:rPr>
                <w:b/>
                <w:sz w:val="24"/>
                <w:szCs w:val="24"/>
              </w:rPr>
            </w:pPr>
            <w:r w:rsidRPr="00972854">
              <w:rPr>
                <w:b/>
                <w:sz w:val="24"/>
                <w:szCs w:val="24"/>
              </w:rPr>
              <w:t>DESCRIPCIÓN</w:t>
            </w:r>
          </w:p>
        </w:tc>
        <w:tc>
          <w:tcPr>
            <w:tcW w:w="4410" w:type="dxa"/>
            <w:shd w:val="clear" w:color="auto" w:fill="auto"/>
            <w:tcMar>
              <w:top w:w="100" w:type="dxa"/>
              <w:left w:w="100" w:type="dxa"/>
              <w:bottom w:w="100" w:type="dxa"/>
              <w:right w:w="100" w:type="dxa"/>
            </w:tcMar>
          </w:tcPr>
          <w:p w:rsidR="0028439F" w:rsidRPr="007E6CD1" w:rsidRDefault="0028439F" w:rsidP="00A67AF8">
            <w:pPr>
              <w:widowControl w:val="0"/>
              <w:spacing w:line="240" w:lineRule="auto"/>
              <w:jc w:val="center"/>
              <w:rPr>
                <w:b/>
                <w:sz w:val="24"/>
                <w:szCs w:val="24"/>
              </w:rPr>
            </w:pPr>
            <w:r w:rsidRPr="00972854">
              <w:rPr>
                <w:b/>
                <w:sz w:val="24"/>
                <w:szCs w:val="24"/>
              </w:rPr>
              <w:t>RESPONSABILIDAD</w:t>
            </w:r>
          </w:p>
        </w:tc>
      </w:tr>
      <w:tr w:rsidR="0028439F" w:rsidTr="00A67AF8">
        <w:tc>
          <w:tcPr>
            <w:tcW w:w="2115" w:type="dxa"/>
            <w:shd w:val="clear" w:color="auto" w:fill="auto"/>
            <w:tcMar>
              <w:top w:w="100" w:type="dxa"/>
              <w:left w:w="100" w:type="dxa"/>
              <w:bottom w:w="100" w:type="dxa"/>
              <w:right w:w="100" w:type="dxa"/>
            </w:tcMar>
          </w:tcPr>
          <w:p w:rsidR="0028439F" w:rsidRDefault="0028439F" w:rsidP="00A67AF8">
            <w:pPr>
              <w:widowControl w:val="0"/>
              <w:spacing w:line="360" w:lineRule="auto"/>
              <w:rPr>
                <w:sz w:val="24"/>
                <w:szCs w:val="24"/>
              </w:rPr>
            </w:pPr>
            <w:r>
              <w:rPr>
                <w:sz w:val="24"/>
                <w:szCs w:val="24"/>
              </w:rPr>
              <w:t>Unidad de Acceso a la Información Pública</w:t>
            </w:r>
          </w:p>
        </w:tc>
        <w:tc>
          <w:tcPr>
            <w:tcW w:w="3720" w:type="dxa"/>
            <w:shd w:val="clear" w:color="auto" w:fill="auto"/>
            <w:tcMar>
              <w:top w:w="100" w:type="dxa"/>
              <w:left w:w="100" w:type="dxa"/>
              <w:bottom w:w="100" w:type="dxa"/>
              <w:right w:w="100" w:type="dxa"/>
            </w:tcMar>
          </w:tcPr>
          <w:p w:rsidR="0028439F" w:rsidRDefault="0028439F" w:rsidP="00A67AF8">
            <w:pPr>
              <w:spacing w:line="360" w:lineRule="auto"/>
              <w:jc w:val="both"/>
              <w:rPr>
                <w:sz w:val="24"/>
                <w:szCs w:val="24"/>
              </w:rPr>
            </w:pPr>
            <w:r>
              <w:rPr>
                <w:sz w:val="24"/>
                <w:szCs w:val="24"/>
              </w:rPr>
              <w:t>El jefe o encargado de la Unidad.</w:t>
            </w:r>
          </w:p>
          <w:p w:rsidR="0028439F" w:rsidRDefault="0028439F" w:rsidP="00A67AF8">
            <w:pPr>
              <w:widowControl w:val="0"/>
              <w:spacing w:line="360" w:lineRule="auto"/>
              <w:rPr>
                <w:sz w:val="24"/>
                <w:szCs w:val="24"/>
              </w:rPr>
            </w:pPr>
          </w:p>
        </w:tc>
        <w:tc>
          <w:tcPr>
            <w:tcW w:w="4410" w:type="dxa"/>
            <w:shd w:val="clear" w:color="auto" w:fill="auto"/>
            <w:tcMar>
              <w:top w:w="100" w:type="dxa"/>
              <w:left w:w="100" w:type="dxa"/>
              <w:bottom w:w="100" w:type="dxa"/>
              <w:right w:w="100" w:type="dxa"/>
            </w:tcMar>
          </w:tcPr>
          <w:p w:rsidR="0028439F" w:rsidRDefault="0028439F" w:rsidP="00A67AF8">
            <w:pPr>
              <w:widowControl w:val="0"/>
              <w:spacing w:line="360" w:lineRule="auto"/>
              <w:jc w:val="both"/>
              <w:rPr>
                <w:sz w:val="24"/>
                <w:szCs w:val="24"/>
              </w:rPr>
            </w:pPr>
            <w:r>
              <w:rPr>
                <w:sz w:val="24"/>
                <w:szCs w:val="24"/>
              </w:rPr>
              <w:t xml:space="preserve">Coordinar la logística de la Mesa Técnica de Innovación Tecnológica Legislativa (en un espacio dentro del Congreso de la República, para promover la apertura institucional). </w:t>
            </w:r>
          </w:p>
          <w:p w:rsidR="0028439F" w:rsidRDefault="0028439F" w:rsidP="00A67AF8">
            <w:pPr>
              <w:widowControl w:val="0"/>
              <w:spacing w:line="360" w:lineRule="auto"/>
              <w:jc w:val="both"/>
              <w:rPr>
                <w:sz w:val="24"/>
                <w:szCs w:val="24"/>
              </w:rPr>
            </w:pPr>
            <w:r>
              <w:rPr>
                <w:sz w:val="24"/>
                <w:szCs w:val="24"/>
              </w:rPr>
              <w:t xml:space="preserve">Llevar la agenda de los temas tratados y </w:t>
            </w:r>
            <w:r>
              <w:rPr>
                <w:sz w:val="24"/>
                <w:szCs w:val="24"/>
              </w:rPr>
              <w:lastRenderedPageBreak/>
              <w:t>trasladar a Junta Directiva temas tratados u obstáculos identificados en el proceso de innovación tecnológica.</w:t>
            </w:r>
          </w:p>
          <w:p w:rsidR="0028439F" w:rsidRDefault="0028439F" w:rsidP="00A67AF8">
            <w:pPr>
              <w:widowControl w:val="0"/>
              <w:spacing w:line="360" w:lineRule="auto"/>
              <w:jc w:val="both"/>
              <w:rPr>
                <w:sz w:val="24"/>
                <w:szCs w:val="24"/>
              </w:rPr>
            </w:pPr>
            <w:r>
              <w:rPr>
                <w:sz w:val="24"/>
                <w:szCs w:val="24"/>
              </w:rPr>
              <w:t>Colocar en el portal de datos abiertos la fecha de la próxima mesa, y llevar la comunicación a través del correo específico, con las organizaciones de sociedad civil o ciudadanos que deseen participar en la mesa.</w:t>
            </w:r>
          </w:p>
        </w:tc>
      </w:tr>
      <w:tr w:rsidR="0028439F" w:rsidTr="00A67AF8">
        <w:tc>
          <w:tcPr>
            <w:tcW w:w="2115" w:type="dxa"/>
            <w:shd w:val="clear" w:color="auto" w:fill="auto"/>
            <w:tcMar>
              <w:top w:w="100" w:type="dxa"/>
              <w:left w:w="100" w:type="dxa"/>
              <w:bottom w:w="100" w:type="dxa"/>
              <w:right w:w="100" w:type="dxa"/>
            </w:tcMar>
          </w:tcPr>
          <w:p w:rsidR="0028439F" w:rsidRDefault="0028439F" w:rsidP="00A67AF8">
            <w:pPr>
              <w:widowControl w:val="0"/>
              <w:spacing w:line="360" w:lineRule="auto"/>
              <w:rPr>
                <w:sz w:val="24"/>
                <w:szCs w:val="24"/>
              </w:rPr>
            </w:pPr>
            <w:r>
              <w:rPr>
                <w:sz w:val="24"/>
                <w:szCs w:val="24"/>
              </w:rPr>
              <w:lastRenderedPageBreak/>
              <w:t>Representantes direcciones del Congreso</w:t>
            </w:r>
          </w:p>
        </w:tc>
        <w:tc>
          <w:tcPr>
            <w:tcW w:w="3720" w:type="dxa"/>
            <w:shd w:val="clear" w:color="auto" w:fill="auto"/>
            <w:tcMar>
              <w:top w:w="100" w:type="dxa"/>
              <w:left w:w="100" w:type="dxa"/>
              <w:bottom w:w="100" w:type="dxa"/>
              <w:right w:w="100" w:type="dxa"/>
            </w:tcMar>
          </w:tcPr>
          <w:p w:rsidR="0028439F" w:rsidRDefault="0028439F" w:rsidP="00A67AF8">
            <w:pPr>
              <w:spacing w:line="360" w:lineRule="auto"/>
              <w:jc w:val="both"/>
              <w:rPr>
                <w:sz w:val="24"/>
                <w:szCs w:val="24"/>
              </w:rPr>
            </w:pPr>
            <w:r>
              <w:rPr>
                <w:sz w:val="24"/>
                <w:szCs w:val="24"/>
              </w:rPr>
              <w:t xml:space="preserve">Normalmente deberá de ser el puesto específico encargado del manejo de información (generación, recopilación e inserción) de su dirección en la página web del Congreso. </w:t>
            </w:r>
          </w:p>
        </w:tc>
        <w:tc>
          <w:tcPr>
            <w:tcW w:w="4410" w:type="dxa"/>
            <w:shd w:val="clear" w:color="auto" w:fill="auto"/>
            <w:tcMar>
              <w:top w:w="100" w:type="dxa"/>
              <w:left w:w="100" w:type="dxa"/>
              <w:bottom w:w="100" w:type="dxa"/>
              <w:right w:w="100" w:type="dxa"/>
            </w:tcMar>
          </w:tcPr>
          <w:p w:rsidR="0028439F" w:rsidRDefault="0028439F" w:rsidP="00A67AF8">
            <w:pPr>
              <w:widowControl w:val="0"/>
              <w:spacing w:line="360" w:lineRule="auto"/>
              <w:jc w:val="both"/>
              <w:rPr>
                <w:sz w:val="24"/>
                <w:szCs w:val="24"/>
              </w:rPr>
            </w:pPr>
            <w:r>
              <w:rPr>
                <w:sz w:val="24"/>
                <w:szCs w:val="24"/>
              </w:rPr>
              <w:t>Mantener actualizado un catálogo de conjunto de datos de sus respectivas direcciones, y los formatos en que se encuentran.</w:t>
            </w:r>
          </w:p>
          <w:p w:rsidR="0028439F" w:rsidRDefault="0028439F" w:rsidP="00A67AF8">
            <w:pPr>
              <w:widowControl w:val="0"/>
              <w:spacing w:line="360" w:lineRule="auto"/>
              <w:jc w:val="both"/>
              <w:rPr>
                <w:sz w:val="24"/>
                <w:szCs w:val="24"/>
              </w:rPr>
            </w:pPr>
            <w:r>
              <w:rPr>
                <w:sz w:val="24"/>
                <w:szCs w:val="24"/>
              </w:rPr>
              <w:t>Participar activamente del proceso de planificación, publicación y evaluación de los datos liberados.</w:t>
            </w:r>
          </w:p>
        </w:tc>
      </w:tr>
      <w:tr w:rsidR="0028439F" w:rsidTr="00A67AF8">
        <w:tc>
          <w:tcPr>
            <w:tcW w:w="2115" w:type="dxa"/>
            <w:shd w:val="clear" w:color="auto" w:fill="auto"/>
            <w:tcMar>
              <w:top w:w="100" w:type="dxa"/>
              <w:left w:w="100" w:type="dxa"/>
              <w:bottom w:w="100" w:type="dxa"/>
              <w:right w:w="100" w:type="dxa"/>
            </w:tcMar>
          </w:tcPr>
          <w:p w:rsidR="0028439F" w:rsidRDefault="0028439F" w:rsidP="00A67AF8">
            <w:pPr>
              <w:widowControl w:val="0"/>
              <w:spacing w:line="360" w:lineRule="auto"/>
              <w:rPr>
                <w:sz w:val="24"/>
                <w:szCs w:val="24"/>
              </w:rPr>
            </w:pPr>
            <w:r>
              <w:rPr>
                <w:sz w:val="24"/>
                <w:szCs w:val="24"/>
              </w:rPr>
              <w:t>Representantes organizaciones de sociedad civil y ciudadanía interesada</w:t>
            </w:r>
          </w:p>
        </w:tc>
        <w:tc>
          <w:tcPr>
            <w:tcW w:w="3720" w:type="dxa"/>
            <w:shd w:val="clear" w:color="auto" w:fill="auto"/>
            <w:tcMar>
              <w:top w:w="100" w:type="dxa"/>
              <w:left w:w="100" w:type="dxa"/>
              <w:bottom w:w="100" w:type="dxa"/>
              <w:right w:w="100" w:type="dxa"/>
            </w:tcMar>
          </w:tcPr>
          <w:p w:rsidR="0028439F" w:rsidRDefault="0028439F" w:rsidP="00A67AF8">
            <w:pPr>
              <w:widowControl w:val="0"/>
              <w:spacing w:line="360" w:lineRule="auto"/>
              <w:jc w:val="both"/>
              <w:rPr>
                <w:sz w:val="24"/>
                <w:szCs w:val="24"/>
              </w:rPr>
            </w:pPr>
            <w:r>
              <w:rPr>
                <w:sz w:val="24"/>
                <w:szCs w:val="24"/>
              </w:rPr>
              <w:t>Podrán participar representantes de organizaciones de sociedad civil, siempre en el espíritu de colaboración y generación de insumos de retroalimentación de los procesos y productos que se desliguen de la Mesa Técnica de Innovación Tecnológica Legislativa.</w:t>
            </w:r>
          </w:p>
        </w:tc>
        <w:tc>
          <w:tcPr>
            <w:tcW w:w="4410" w:type="dxa"/>
            <w:shd w:val="clear" w:color="auto" w:fill="auto"/>
            <w:tcMar>
              <w:top w:w="100" w:type="dxa"/>
              <w:left w:w="100" w:type="dxa"/>
              <w:bottom w:w="100" w:type="dxa"/>
              <w:right w:w="100" w:type="dxa"/>
            </w:tcMar>
          </w:tcPr>
          <w:p w:rsidR="0028439F" w:rsidRDefault="0028439F" w:rsidP="00A67AF8">
            <w:pPr>
              <w:spacing w:line="360" w:lineRule="auto"/>
              <w:jc w:val="both"/>
              <w:rPr>
                <w:sz w:val="24"/>
                <w:szCs w:val="24"/>
              </w:rPr>
            </w:pPr>
            <w:r>
              <w:rPr>
                <w:sz w:val="24"/>
                <w:szCs w:val="24"/>
              </w:rPr>
              <w:t>Colaborar en el proceso de retroalimentación y evaluación de los conjuntos de datos facilitados a través del portal de datos abiertos del Congreso.</w:t>
            </w:r>
          </w:p>
        </w:tc>
      </w:tr>
    </w:tbl>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r>
        <w:rPr>
          <w:sz w:val="24"/>
          <w:szCs w:val="24"/>
        </w:rPr>
        <w:lastRenderedPageBreak/>
        <w:t>En cuanto a la participación de sociedad civil, se incluirá en el portal de datos abiertos las fechas y lugar de las reuniones de la Mesa Técnica de Innovación Tecnológica Legislativa, así como los lineamientos que rijan la participación respetuosa y de espíritu de colaboración que han de cumplir los participantes.</w:t>
      </w:r>
    </w:p>
    <w:p w:rsidR="0028439F" w:rsidRDefault="0028439F" w:rsidP="0028439F">
      <w:pPr>
        <w:spacing w:line="360" w:lineRule="auto"/>
        <w:jc w:val="both"/>
        <w:rPr>
          <w:sz w:val="24"/>
          <w:szCs w:val="24"/>
        </w:rPr>
      </w:pPr>
    </w:p>
    <w:p w:rsidR="0028439F" w:rsidRPr="007E6CD1" w:rsidRDefault="0028439F" w:rsidP="0028439F">
      <w:pPr>
        <w:spacing w:line="360" w:lineRule="auto"/>
        <w:jc w:val="both"/>
        <w:rPr>
          <w:b/>
          <w:sz w:val="24"/>
          <w:szCs w:val="24"/>
        </w:rPr>
      </w:pPr>
      <w:r w:rsidRPr="007E6CD1">
        <w:rPr>
          <w:b/>
          <w:sz w:val="24"/>
          <w:szCs w:val="24"/>
        </w:rPr>
        <w:t>Formatos de los datos liberados:</w:t>
      </w:r>
    </w:p>
    <w:p w:rsidR="0028439F" w:rsidRDefault="0028439F" w:rsidP="0028439F">
      <w:pPr>
        <w:spacing w:line="360" w:lineRule="auto"/>
        <w:jc w:val="both"/>
        <w:rPr>
          <w:sz w:val="24"/>
          <w:szCs w:val="24"/>
        </w:rPr>
      </w:pPr>
    </w:p>
    <w:p w:rsidR="0028439F" w:rsidRDefault="0028439F" w:rsidP="0028439F">
      <w:pPr>
        <w:spacing w:line="360" w:lineRule="auto"/>
        <w:jc w:val="both"/>
        <w:rPr>
          <w:sz w:val="24"/>
          <w:szCs w:val="24"/>
        </w:rPr>
      </w:pPr>
      <w:r>
        <w:rPr>
          <w:sz w:val="24"/>
          <w:szCs w:val="24"/>
        </w:rPr>
        <w:t>El requisito mínimo para considerar un conjunto de datos como uno en un formato más abierto, es ser compartido en sus versiones excel y word como mínimo. Para mantener la fácil comprobación de la integridad de los datos, siempre se tendrá a la par de estos formatos, el mismo documento en formato pdf.</w:t>
      </w:r>
    </w:p>
    <w:p w:rsidR="0028439F" w:rsidRDefault="0028439F" w:rsidP="0028439F">
      <w:pPr>
        <w:pStyle w:val="Ttulo2"/>
        <w:numPr>
          <w:ilvl w:val="1"/>
          <w:numId w:val="3"/>
        </w:numPr>
        <w:pBdr>
          <w:top w:val="nil"/>
          <w:left w:val="nil"/>
          <w:bottom w:val="nil"/>
          <w:right w:val="nil"/>
          <w:between w:val="nil"/>
        </w:pBdr>
        <w:spacing w:before="360" w:after="120" w:line="360" w:lineRule="auto"/>
        <w:contextualSpacing/>
      </w:pPr>
      <w:bookmarkStart w:id="117" w:name="_Toc497384634"/>
      <w:bookmarkStart w:id="118" w:name="_Toc497921684"/>
      <w:bookmarkStart w:id="119" w:name="_Toc497977898"/>
      <w:bookmarkStart w:id="120" w:name="_Toc497978339"/>
      <w:bookmarkStart w:id="121" w:name="_Toc498412269"/>
      <w:bookmarkStart w:id="122" w:name="_Toc499759013"/>
      <w:bookmarkStart w:id="123" w:name="_Toc502813714"/>
      <w:r>
        <w:t>Metodología</w:t>
      </w:r>
      <w:bookmarkEnd w:id="117"/>
      <w:bookmarkEnd w:id="118"/>
      <w:bookmarkEnd w:id="119"/>
      <w:bookmarkEnd w:id="120"/>
      <w:bookmarkEnd w:id="121"/>
      <w:bookmarkEnd w:id="122"/>
      <w:bookmarkEnd w:id="123"/>
    </w:p>
    <w:p w:rsidR="0028439F" w:rsidRDefault="0028439F" w:rsidP="0028439F">
      <w:pPr>
        <w:spacing w:after="100" w:line="360" w:lineRule="auto"/>
        <w:contextualSpacing/>
        <w:jc w:val="both"/>
      </w:pPr>
      <w:r>
        <w:t>A través de la mesa se busca llevar un proceso de retroalimentación, evaluación y análisis de los siguientes pasos o conjuntos de datos a liberar, en pro de ir avanzando en el proceso gradual de apertura de datos. A grandes rasgos, los pasos son los siguientes:</w:t>
      </w:r>
    </w:p>
    <w:p w:rsidR="0028439F" w:rsidRDefault="0028439F" w:rsidP="0028439F">
      <w:pPr>
        <w:spacing w:after="100" w:line="360" w:lineRule="auto"/>
        <w:contextualSpacing/>
        <w:jc w:val="both"/>
      </w:pPr>
    </w:p>
    <w:p w:rsidR="0028439F" w:rsidRDefault="0028439F" w:rsidP="0028439F">
      <w:pPr>
        <w:spacing w:after="100" w:line="360" w:lineRule="auto"/>
        <w:contextualSpacing/>
        <w:jc w:val="both"/>
      </w:pPr>
      <w:r>
        <w:t>1. Planificar: identificar conjuntos de datos más oportunos y prontos a ser publicados en el formato. Ir actualizando el catálogo de datos.</w:t>
      </w:r>
    </w:p>
    <w:p w:rsidR="0028439F" w:rsidRDefault="0028439F" w:rsidP="0028439F">
      <w:pPr>
        <w:spacing w:after="100" w:line="360" w:lineRule="auto"/>
        <w:contextualSpacing/>
        <w:jc w:val="both"/>
      </w:pPr>
      <w:r>
        <w:t xml:space="preserve">2. Publicar: desarrollar diccionarios de términos de los conjuntos de datos, y estandarizarlos para su publicación continua. </w:t>
      </w:r>
    </w:p>
    <w:p w:rsidR="0028439F" w:rsidRDefault="0028439F" w:rsidP="0028439F">
      <w:pPr>
        <w:spacing w:after="100" w:line="360" w:lineRule="auto"/>
        <w:contextualSpacing/>
        <w:jc w:val="both"/>
      </w:pPr>
      <w:r>
        <w:t>3. Evaluación: en la siguiente mesa, analizar y evaluar los conjuntos de datos liberados, y los siguientes pasos para mejorar la apertura.</w:t>
      </w:r>
    </w:p>
    <w:p w:rsidR="0028439F" w:rsidRDefault="0028439F" w:rsidP="0028439F">
      <w:pPr>
        <w:spacing w:after="100" w:line="360" w:lineRule="auto"/>
        <w:contextualSpacing/>
        <w:jc w:val="both"/>
      </w:pPr>
      <w:r>
        <w:t>4. Socialización: crear estrategias de socialización y publicidad de los conjuntos de datos liberados.</w:t>
      </w:r>
    </w:p>
    <w:p w:rsidR="0028439F" w:rsidRDefault="0028439F" w:rsidP="0028439F">
      <w:pPr>
        <w:spacing w:after="100" w:line="360" w:lineRule="auto"/>
        <w:ind w:left="2160"/>
        <w:jc w:val="both"/>
        <w:rPr>
          <w:color w:val="2F2F2F"/>
          <w:sz w:val="18"/>
          <w:szCs w:val="18"/>
        </w:rPr>
      </w:pPr>
    </w:p>
    <w:p w:rsidR="0028439F" w:rsidRDefault="0028439F" w:rsidP="0028439F">
      <w:pPr>
        <w:pStyle w:val="Ttulo2"/>
        <w:numPr>
          <w:ilvl w:val="1"/>
          <w:numId w:val="3"/>
        </w:numPr>
        <w:pBdr>
          <w:top w:val="nil"/>
          <w:left w:val="nil"/>
          <w:bottom w:val="nil"/>
          <w:right w:val="nil"/>
          <w:between w:val="nil"/>
        </w:pBdr>
        <w:spacing w:before="360" w:after="120" w:line="360" w:lineRule="auto"/>
        <w:contextualSpacing/>
      </w:pPr>
      <w:bookmarkStart w:id="124" w:name="_Toc497384635"/>
      <w:bookmarkStart w:id="125" w:name="_Toc497921685"/>
      <w:bookmarkStart w:id="126" w:name="_Toc497977899"/>
      <w:bookmarkStart w:id="127" w:name="_Toc497978340"/>
      <w:bookmarkStart w:id="128" w:name="_Toc498412270"/>
      <w:bookmarkStart w:id="129" w:name="_Toc499759014"/>
      <w:bookmarkStart w:id="130" w:name="_Toc502813715"/>
      <w:r>
        <w:t>Línea base de indicadores en la apertura de datos</w:t>
      </w:r>
      <w:bookmarkEnd w:id="124"/>
      <w:bookmarkEnd w:id="125"/>
      <w:bookmarkEnd w:id="126"/>
      <w:bookmarkEnd w:id="127"/>
      <w:bookmarkEnd w:id="128"/>
      <w:bookmarkEnd w:id="129"/>
      <w:bookmarkEnd w:id="130"/>
    </w:p>
    <w:p w:rsidR="0028439F" w:rsidRDefault="0028439F" w:rsidP="0028439F">
      <w:pPr>
        <w:spacing w:line="360" w:lineRule="auto"/>
        <w:ind w:left="720"/>
        <w:rPr>
          <w:sz w:val="24"/>
          <w:szCs w:val="24"/>
        </w:rPr>
      </w:pPr>
    </w:p>
    <w:p w:rsidR="0028439F" w:rsidRDefault="0028439F" w:rsidP="0028439F">
      <w:pPr>
        <w:spacing w:line="360" w:lineRule="auto"/>
        <w:ind w:left="720"/>
        <w:rPr>
          <w:sz w:val="24"/>
          <w:szCs w:val="24"/>
        </w:rPr>
      </w:pPr>
      <w:r>
        <w:rPr>
          <w:sz w:val="24"/>
          <w:szCs w:val="24"/>
        </w:rPr>
        <w:lastRenderedPageBreak/>
        <w:t>Se tendrán como indicadores principales de medición de éxito del proceso de apertura de datos:</w:t>
      </w:r>
    </w:p>
    <w:p w:rsidR="0028439F" w:rsidRDefault="0028439F" w:rsidP="0028439F">
      <w:pPr>
        <w:numPr>
          <w:ilvl w:val="0"/>
          <w:numId w:val="4"/>
        </w:numPr>
        <w:pBdr>
          <w:top w:val="nil"/>
          <w:left w:val="nil"/>
          <w:bottom w:val="nil"/>
          <w:right w:val="nil"/>
          <w:between w:val="nil"/>
        </w:pBdr>
        <w:spacing w:after="0" w:line="360" w:lineRule="auto"/>
        <w:contextualSpacing/>
        <w:rPr>
          <w:sz w:val="24"/>
          <w:szCs w:val="24"/>
        </w:rPr>
      </w:pPr>
      <w:r>
        <w:rPr>
          <w:sz w:val="24"/>
          <w:szCs w:val="24"/>
        </w:rPr>
        <w:t>El número de estadísticas de uso de los conjuntos de datos generados por la página web del portal de datos legislativos; número de descargas, visualizaciones, etc.</w:t>
      </w:r>
    </w:p>
    <w:p w:rsidR="0028439F" w:rsidRDefault="0028439F" w:rsidP="0028439F">
      <w:pPr>
        <w:numPr>
          <w:ilvl w:val="0"/>
          <w:numId w:val="4"/>
        </w:numPr>
        <w:pBdr>
          <w:top w:val="nil"/>
          <w:left w:val="nil"/>
          <w:bottom w:val="nil"/>
          <w:right w:val="nil"/>
          <w:between w:val="nil"/>
        </w:pBdr>
        <w:spacing w:after="0" w:line="360" w:lineRule="auto"/>
        <w:contextualSpacing/>
        <w:rPr>
          <w:sz w:val="24"/>
          <w:szCs w:val="24"/>
        </w:rPr>
      </w:pPr>
      <w:r>
        <w:rPr>
          <w:sz w:val="24"/>
          <w:szCs w:val="24"/>
        </w:rPr>
        <w:t>El número y tipo de evaluaciones y retroalimentación de las organizaciones de sociedad civil y ciudadanos que participen de la Mesa Técnica de Innovación Tecnológica Legislativa.</w:t>
      </w:r>
    </w:p>
    <w:p w:rsidR="0028439F" w:rsidRDefault="0028439F" w:rsidP="0028439F">
      <w:pPr>
        <w:numPr>
          <w:ilvl w:val="0"/>
          <w:numId w:val="4"/>
        </w:numPr>
        <w:pBdr>
          <w:top w:val="nil"/>
          <w:left w:val="nil"/>
          <w:bottom w:val="nil"/>
          <w:right w:val="nil"/>
          <w:between w:val="nil"/>
        </w:pBdr>
        <w:spacing w:after="0" w:line="360" w:lineRule="auto"/>
        <w:contextualSpacing/>
        <w:rPr>
          <w:sz w:val="24"/>
          <w:szCs w:val="24"/>
        </w:rPr>
      </w:pPr>
      <w:r>
        <w:rPr>
          <w:sz w:val="24"/>
          <w:szCs w:val="24"/>
        </w:rPr>
        <w:t xml:space="preserve">El nivel de satisfacción de los usuarios que respondan a las encuestas de satisfacción del portal de datos abiertos legislativos. </w:t>
      </w:r>
    </w:p>
    <w:p w:rsidR="0028439F" w:rsidRDefault="0028439F" w:rsidP="0028439F">
      <w:pPr>
        <w:spacing w:line="360" w:lineRule="auto"/>
        <w:ind w:left="720"/>
      </w:pPr>
    </w:p>
    <w:p w:rsidR="0028439F" w:rsidRDefault="0028439F" w:rsidP="0028439F">
      <w:pPr>
        <w:spacing w:line="360" w:lineRule="auto"/>
        <w:ind w:left="720"/>
      </w:pPr>
      <w:r>
        <w:br w:type="page"/>
      </w:r>
    </w:p>
    <w:p w:rsidR="0028439F" w:rsidRDefault="0028439F" w:rsidP="0028439F">
      <w:pPr>
        <w:spacing w:line="360" w:lineRule="auto"/>
        <w:ind w:left="720"/>
      </w:pPr>
    </w:p>
    <w:p w:rsidR="0028439F" w:rsidRDefault="0028439F" w:rsidP="0028439F">
      <w:pPr>
        <w:pStyle w:val="Ttulo1"/>
        <w:ind w:left="720"/>
        <w:jc w:val="center"/>
      </w:pPr>
      <w:bookmarkStart w:id="131" w:name="_Toc497384636"/>
      <w:bookmarkStart w:id="132" w:name="_Toc497977900"/>
      <w:bookmarkStart w:id="133" w:name="_Toc497978341"/>
      <w:bookmarkStart w:id="134" w:name="_Toc498412271"/>
      <w:bookmarkStart w:id="135" w:name="_Toc499759015"/>
      <w:bookmarkStart w:id="136" w:name="_Toc502813716"/>
      <w:r>
        <w:t>VII. Fuentes de referencia</w:t>
      </w:r>
      <w:bookmarkEnd w:id="131"/>
      <w:bookmarkEnd w:id="132"/>
      <w:bookmarkEnd w:id="133"/>
      <w:bookmarkEnd w:id="134"/>
      <w:bookmarkEnd w:id="135"/>
      <w:bookmarkEnd w:id="136"/>
    </w:p>
    <w:p w:rsidR="0028439F" w:rsidRDefault="0028439F" w:rsidP="0028439F"/>
    <w:p w:rsidR="0028439F" w:rsidRDefault="0028439F" w:rsidP="0028439F">
      <w:pPr>
        <w:jc w:val="both"/>
      </w:pPr>
    </w:p>
    <w:p w:rsidR="0028439F" w:rsidRDefault="0028439F" w:rsidP="0028439F">
      <w:pPr>
        <w:jc w:val="both"/>
      </w:pPr>
    </w:p>
    <w:p w:rsidR="0028439F" w:rsidRDefault="0028439F" w:rsidP="0028439F">
      <w:pPr>
        <w:jc w:val="both"/>
      </w:pPr>
    </w:p>
    <w:p w:rsidR="0028439F" w:rsidRDefault="0028439F" w:rsidP="0028439F">
      <w:pPr>
        <w:jc w:val="both"/>
        <w:rPr>
          <w:rFonts w:ascii="Calibri" w:eastAsia="Calibri" w:hAnsi="Calibri" w:cs="Calibri"/>
        </w:rPr>
      </w:pPr>
    </w:p>
    <w:p w:rsidR="0028439F" w:rsidRPr="00DC2B86" w:rsidRDefault="0028439F" w:rsidP="0028439F">
      <w:pPr>
        <w:jc w:val="both"/>
        <w:rPr>
          <w:rFonts w:ascii="Calibri" w:eastAsia="Calibri" w:hAnsi="Calibri" w:cs="Calibri"/>
        </w:rPr>
      </w:pPr>
      <w:r w:rsidRPr="00A33B77">
        <w:rPr>
          <w:rFonts w:ascii="Calibri" w:eastAsia="Calibri" w:hAnsi="Calibri" w:cs="Calibri"/>
        </w:rPr>
        <w:t xml:space="preserve">Open Data Charter. </w:t>
      </w:r>
      <w:r w:rsidRPr="00DC2B86">
        <w:rPr>
          <w:rFonts w:ascii="Calibri" w:eastAsia="Calibri" w:hAnsi="Calibri" w:cs="Calibri"/>
        </w:rPr>
        <w:t>(28 de octubre de 2015) Carta I</w:t>
      </w:r>
      <w:r>
        <w:rPr>
          <w:rFonts w:ascii="Calibri" w:eastAsia="Calibri" w:hAnsi="Calibri" w:cs="Calibri"/>
        </w:rPr>
        <w:t xml:space="preserve">nternacional de Datos Abiertos. Recuperado el 13 de octubre de 2017 de </w:t>
      </w:r>
      <w:r w:rsidRPr="00DC2B86">
        <w:rPr>
          <w:rFonts w:ascii="Calibri" w:eastAsia="Calibri" w:hAnsi="Calibri" w:cs="Calibri"/>
        </w:rPr>
        <w:t>https://opendatacharter.net/principles-es/</w:t>
      </w:r>
    </w:p>
    <w:p w:rsidR="0028439F" w:rsidRDefault="0028439F" w:rsidP="0028439F">
      <w:pPr>
        <w:jc w:val="both"/>
        <w:rPr>
          <w:rFonts w:ascii="Calibri" w:eastAsia="Calibri" w:hAnsi="Calibri" w:cs="Calibri"/>
          <w:color w:val="1155CC"/>
          <w:u w:val="single"/>
        </w:rPr>
      </w:pPr>
      <w:r w:rsidRPr="00DC2B86">
        <w:rPr>
          <w:rFonts w:ascii="Calibri" w:eastAsia="Calibri" w:hAnsi="Calibri" w:cs="Calibri"/>
        </w:rPr>
        <w:t xml:space="preserve">Open Knowledge International. </w:t>
      </w:r>
      <w:r>
        <w:rPr>
          <w:rFonts w:ascii="Calibri" w:eastAsia="Calibri" w:hAnsi="Calibri" w:cs="Calibri"/>
        </w:rPr>
        <w:t xml:space="preserve">(s.f.) </w:t>
      </w:r>
      <w:r>
        <w:rPr>
          <w:rFonts w:ascii="Calibri" w:eastAsia="Calibri" w:hAnsi="Calibri" w:cs="Calibri"/>
          <w:i/>
        </w:rPr>
        <w:t>¿Qué son los datos abiertos?.</w:t>
      </w:r>
      <w:r>
        <w:rPr>
          <w:rFonts w:ascii="Calibri" w:eastAsia="Calibri" w:hAnsi="Calibri" w:cs="Calibri"/>
        </w:rPr>
        <w:t xml:space="preserve">Recuperado el 13 de octubre del 2017 de </w:t>
      </w:r>
      <w:hyperlink r:id="rId8">
        <w:r>
          <w:rPr>
            <w:rFonts w:ascii="Calibri" w:eastAsia="Calibri" w:hAnsi="Calibri" w:cs="Calibri"/>
            <w:color w:val="1155CC"/>
            <w:u w:val="single"/>
          </w:rPr>
          <w:t>http://opendatahandbook.org/guide/es/what-is-open-data/</w:t>
        </w:r>
      </w:hyperlink>
    </w:p>
    <w:p w:rsidR="0028439F" w:rsidRDefault="0028439F" w:rsidP="0028439F">
      <w:pPr>
        <w:jc w:val="both"/>
        <w:rPr>
          <w:rFonts w:ascii="Calibri" w:eastAsia="Calibri" w:hAnsi="Calibri" w:cs="Calibri"/>
          <w:color w:val="1155CC"/>
          <w:u w:val="single"/>
        </w:rPr>
      </w:pPr>
    </w:p>
    <w:p w:rsidR="0028439F" w:rsidRPr="00413593" w:rsidRDefault="0028439F" w:rsidP="0028439F">
      <w:pPr>
        <w:jc w:val="both"/>
        <w:rPr>
          <w:rFonts w:ascii="Calibri" w:eastAsia="Calibri" w:hAnsi="Calibri" w:cs="Calibri"/>
        </w:rPr>
      </w:pPr>
      <w:r>
        <w:rPr>
          <w:rFonts w:ascii="Calibri" w:eastAsia="Calibri" w:hAnsi="Calibri" w:cs="Calibri"/>
        </w:rPr>
        <w:t xml:space="preserve">Ramírez-Alujas, Á. V. (septiembre de 2011). </w:t>
      </w:r>
      <w:r>
        <w:rPr>
          <w:rFonts w:ascii="Calibri" w:eastAsia="Calibri" w:hAnsi="Calibri" w:cs="Calibri"/>
          <w:i/>
        </w:rPr>
        <w:t>Open Government y Gobernanza Colaborativa.</w:t>
      </w:r>
      <w:r>
        <w:rPr>
          <w:rFonts w:ascii="Calibri" w:eastAsia="Calibri" w:hAnsi="Calibri" w:cs="Calibri"/>
        </w:rPr>
        <w:t xml:space="preserve"> Recuperado el 24 de julio de 2017, de </w:t>
      </w:r>
      <w:r>
        <w:rPr>
          <w:rFonts w:ascii="Calibri" w:eastAsia="Calibri" w:hAnsi="Calibri" w:cs="Calibri"/>
          <w:color w:val="1155CC"/>
          <w:u w:val="single"/>
        </w:rPr>
        <w:t>http://www.aecpa.es/uploads/files/modules/congress/10/papers/555.pdf</w:t>
      </w:r>
    </w:p>
    <w:p w:rsidR="0028439F" w:rsidRDefault="0028439F" w:rsidP="0028439F">
      <w:pPr>
        <w:jc w:val="both"/>
        <w:rPr>
          <w:rFonts w:ascii="Calibri" w:eastAsia="Calibri" w:hAnsi="Calibri" w:cs="Calibri"/>
          <w:color w:val="1155CC"/>
          <w:u w:val="single"/>
        </w:rPr>
      </w:pPr>
    </w:p>
    <w:p w:rsidR="0028439F" w:rsidRDefault="0028439F" w:rsidP="0028439F">
      <w:r>
        <w:t>Segeplan (junio, 2015). Guía para formulación de políticas públicas.</w:t>
      </w:r>
      <w:r w:rsidRPr="00B34436">
        <w:t xml:space="preserve"> file:///C:/Users/User/Downloads/Guia_para_formulacion_de_Politicas_Publicas.pdf</w:t>
      </w:r>
    </w:p>
    <w:p w:rsidR="0028439F" w:rsidRDefault="0028439F" w:rsidP="0028439F">
      <w:pPr>
        <w:pStyle w:val="Prrafodelista"/>
      </w:pPr>
    </w:p>
    <w:p w:rsidR="0028439F" w:rsidRPr="00757D13" w:rsidRDefault="0028439F" w:rsidP="0028439F">
      <w:r>
        <w:t xml:space="preserve">Segeplan. (febrero, 2017). LINEAMIENTOS GENERALES DE POLÍTICA 2018-2022.     </w:t>
      </w:r>
      <w:r w:rsidRPr="00B34436">
        <w:t>file:///C:/Users/User/Downloads/Lineamientos_generales_de_politica_2018-2022.pdf</w:t>
      </w:r>
    </w:p>
    <w:p w:rsidR="0028439F" w:rsidRDefault="0028439F" w:rsidP="0028439F">
      <w:pPr>
        <w:pStyle w:val="Ttulo1"/>
        <w:spacing w:line="360" w:lineRule="auto"/>
        <w:jc w:val="both"/>
      </w:pPr>
    </w:p>
    <w:p w:rsidR="003F0BA2" w:rsidRDefault="003F0BA2"/>
    <w:sectPr w:rsidR="003F0BA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6A7" w:rsidRDefault="00C056A7" w:rsidP="0028439F">
      <w:pPr>
        <w:spacing w:after="0" w:line="240" w:lineRule="auto"/>
      </w:pPr>
      <w:r>
        <w:separator/>
      </w:r>
    </w:p>
  </w:endnote>
  <w:endnote w:type="continuationSeparator" w:id="0">
    <w:p w:rsidR="00C056A7" w:rsidRDefault="00C056A7" w:rsidP="0028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6A7" w:rsidRDefault="00C056A7" w:rsidP="0028439F">
      <w:pPr>
        <w:spacing w:after="0" w:line="240" w:lineRule="auto"/>
      </w:pPr>
      <w:r>
        <w:separator/>
      </w:r>
    </w:p>
  </w:footnote>
  <w:footnote w:type="continuationSeparator" w:id="0">
    <w:p w:rsidR="00C056A7" w:rsidRDefault="00C056A7" w:rsidP="0028439F">
      <w:pPr>
        <w:spacing w:after="0" w:line="240" w:lineRule="auto"/>
      </w:pPr>
      <w:r>
        <w:continuationSeparator/>
      </w:r>
    </w:p>
  </w:footnote>
  <w:footnote w:id="1">
    <w:p w:rsidR="0028439F" w:rsidRDefault="0028439F" w:rsidP="0028439F">
      <w:pPr>
        <w:spacing w:line="240" w:lineRule="auto"/>
        <w:rPr>
          <w:sz w:val="20"/>
          <w:szCs w:val="20"/>
        </w:rPr>
      </w:pPr>
      <w:r>
        <w:rPr>
          <w:vertAlign w:val="superscript"/>
        </w:rPr>
        <w:footnoteRef/>
      </w:r>
      <w:r>
        <w:rPr>
          <w:sz w:val="24"/>
          <w:szCs w:val="24"/>
        </w:rPr>
        <w:t>(Ramírez-Alujas, 2011)</w:t>
      </w:r>
    </w:p>
  </w:footnote>
  <w:footnote w:id="2">
    <w:p w:rsidR="0028439F" w:rsidRPr="00CF4A3C" w:rsidRDefault="0028439F" w:rsidP="0028439F">
      <w:pPr>
        <w:spacing w:line="240" w:lineRule="auto"/>
        <w:rPr>
          <w:sz w:val="20"/>
          <w:szCs w:val="20"/>
        </w:rPr>
      </w:pPr>
      <w:r w:rsidRPr="00CF4A3C">
        <w:rPr>
          <w:vertAlign w:val="superscript"/>
        </w:rPr>
        <w:footnoteRef/>
      </w:r>
      <w:r>
        <w:rPr>
          <w:rFonts w:eastAsia="Times New Roman"/>
          <w:sz w:val="24"/>
          <w:szCs w:val="24"/>
        </w:rPr>
        <w:t xml:space="preserve"> </w:t>
      </w:r>
      <w:r w:rsidRPr="00CF4A3C">
        <w:rPr>
          <w:rFonts w:eastAsia="Times New Roman"/>
          <w:sz w:val="24"/>
          <w:szCs w:val="24"/>
        </w:rPr>
        <w:t>Organización para la Cooperación y el Desarrollo Económicos</w:t>
      </w:r>
    </w:p>
  </w:footnote>
  <w:footnote w:id="3">
    <w:p w:rsidR="0028439F" w:rsidRDefault="0028439F" w:rsidP="0028439F">
      <w:pPr>
        <w:spacing w:line="240" w:lineRule="auto"/>
        <w:rPr>
          <w:sz w:val="20"/>
          <w:szCs w:val="20"/>
        </w:rPr>
      </w:pPr>
      <w:r>
        <w:rPr>
          <w:vertAlign w:val="superscript"/>
        </w:rPr>
        <w:footnoteRef/>
      </w:r>
      <w:r>
        <w:rPr>
          <w:sz w:val="20"/>
          <w:szCs w:val="20"/>
        </w:rPr>
        <w:t xml:space="preserve"> Decreto Número 57-2008 del Congreso de la República, Ley de Acceso a la Información Pública</w:t>
      </w:r>
    </w:p>
  </w:footnote>
  <w:footnote w:id="4">
    <w:p w:rsidR="0028439F" w:rsidRDefault="0028439F" w:rsidP="0028439F">
      <w:pPr>
        <w:spacing w:line="240" w:lineRule="auto"/>
        <w:rPr>
          <w:sz w:val="20"/>
          <w:szCs w:val="20"/>
        </w:rPr>
      </w:pPr>
      <w:r>
        <w:rPr>
          <w:vertAlign w:val="superscript"/>
        </w:rPr>
        <w:footnoteRef/>
      </w:r>
      <w:r>
        <w:rPr>
          <w:sz w:val="20"/>
          <w:szCs w:val="20"/>
        </w:rPr>
        <w:t xml:space="preserve">  Decreto Número 57-2008</w:t>
      </w:r>
      <w:r w:rsidRPr="00646F58">
        <w:rPr>
          <w:sz w:val="20"/>
          <w:szCs w:val="20"/>
        </w:rPr>
        <w:t xml:space="preserve"> </w:t>
      </w:r>
      <w:r>
        <w:rPr>
          <w:sz w:val="20"/>
          <w:szCs w:val="20"/>
        </w:rPr>
        <w:t>del Congreso de la República, Ley de Acceso a la Información Pública</w:t>
      </w:r>
    </w:p>
  </w:footnote>
  <w:footnote w:id="5">
    <w:p w:rsidR="0028439F" w:rsidRDefault="0028439F" w:rsidP="0028439F">
      <w:pPr>
        <w:spacing w:line="240" w:lineRule="auto"/>
        <w:rPr>
          <w:sz w:val="20"/>
          <w:szCs w:val="20"/>
        </w:rPr>
      </w:pPr>
      <w:r>
        <w:rPr>
          <w:vertAlign w:val="superscript"/>
        </w:rPr>
        <w:footnoteRef/>
      </w:r>
      <w:r>
        <w:rPr>
          <w:sz w:val="20"/>
          <w:szCs w:val="20"/>
        </w:rPr>
        <w:t xml:space="preserve">  Decreto Número 57-2008</w:t>
      </w:r>
      <w:r w:rsidRPr="00646F58">
        <w:rPr>
          <w:sz w:val="20"/>
          <w:szCs w:val="20"/>
        </w:rPr>
        <w:t xml:space="preserve"> </w:t>
      </w:r>
      <w:r>
        <w:rPr>
          <w:sz w:val="20"/>
          <w:szCs w:val="20"/>
        </w:rPr>
        <w:t>del Congreso de la República, Ley de Acceso a la Información Pública</w:t>
      </w:r>
    </w:p>
  </w:footnote>
  <w:footnote w:id="6">
    <w:p w:rsidR="0028439F" w:rsidRDefault="0028439F" w:rsidP="0028439F">
      <w:pPr>
        <w:spacing w:line="240" w:lineRule="auto"/>
        <w:rPr>
          <w:sz w:val="20"/>
          <w:szCs w:val="20"/>
        </w:rPr>
      </w:pPr>
      <w:r>
        <w:rPr>
          <w:vertAlign w:val="superscript"/>
        </w:rPr>
        <w:footnoteRef/>
      </w:r>
      <w:r>
        <w:rPr>
          <w:sz w:val="20"/>
          <w:szCs w:val="20"/>
        </w:rPr>
        <w:t xml:space="preserve"> Decreto Número 57-2008</w:t>
      </w:r>
      <w:r w:rsidRPr="00646F58">
        <w:rPr>
          <w:sz w:val="20"/>
          <w:szCs w:val="20"/>
        </w:rPr>
        <w:t xml:space="preserve"> </w:t>
      </w:r>
      <w:r>
        <w:rPr>
          <w:sz w:val="20"/>
          <w:szCs w:val="20"/>
        </w:rPr>
        <w:t>del Congreso de la República, Ley de Acceso a la Información Pública</w:t>
      </w:r>
    </w:p>
  </w:footnote>
  <w:footnote w:id="7">
    <w:p w:rsidR="0028439F" w:rsidRDefault="0028439F" w:rsidP="0028439F">
      <w:r>
        <w:rPr>
          <w:rStyle w:val="Refdenotaalpie"/>
        </w:rPr>
        <w:footnoteRef/>
      </w:r>
      <w:r>
        <w:t xml:space="preserve"> Segeplan (junio, 2015). Guía para formulación de políticas públicas.</w:t>
      </w:r>
      <w:r w:rsidRPr="00B34436">
        <w:t xml:space="preserve"> file:///C:/Users/User/Downloads/Guia_para_formulacion_de_Politicas_Publicas.pdf</w:t>
      </w:r>
    </w:p>
    <w:p w:rsidR="0028439F" w:rsidRPr="000C7F45" w:rsidRDefault="0028439F" w:rsidP="0028439F">
      <w:pPr>
        <w:pStyle w:val="Textonotapie"/>
      </w:pPr>
    </w:p>
  </w:footnote>
  <w:footnote w:id="8">
    <w:p w:rsidR="0028439F" w:rsidRPr="00757D13" w:rsidRDefault="0028439F" w:rsidP="0028439F">
      <w:r>
        <w:rPr>
          <w:rStyle w:val="Refdenotaalpie"/>
        </w:rPr>
        <w:footnoteRef/>
      </w:r>
      <w:r>
        <w:t xml:space="preserve"> Segeplan. (febrero, 2017). LINEAMIENTOS GENERALES DE POLÍTICA 2018-2022.     </w:t>
      </w:r>
      <w:r w:rsidRPr="00B34436">
        <w:t>file:///C:/Users/User/Downloads/Lineamientos_generales_de_politica_2018-2022.pdf</w:t>
      </w:r>
    </w:p>
    <w:p w:rsidR="0028439F" w:rsidRPr="000C7F45" w:rsidRDefault="0028439F" w:rsidP="0028439F">
      <w:pPr>
        <w:pStyle w:val="Textonotapie"/>
      </w:pPr>
    </w:p>
  </w:footnote>
  <w:footnote w:id="9">
    <w:p w:rsidR="0028439F" w:rsidRDefault="0028439F" w:rsidP="0028439F">
      <w:pPr>
        <w:spacing w:line="240" w:lineRule="auto"/>
        <w:rPr>
          <w:sz w:val="20"/>
          <w:szCs w:val="20"/>
        </w:rPr>
      </w:pPr>
      <w:r>
        <w:rPr>
          <w:vertAlign w:val="superscript"/>
        </w:rPr>
        <w:footnoteRef/>
      </w:r>
      <w:r>
        <w:rPr>
          <w:sz w:val="20"/>
          <w:szCs w:val="20"/>
        </w:rPr>
        <w:t xml:space="preserve"> Ley Orgánica del Organismo Legislativo. Decreto 63-94 y sus reformas. Artículo 6.</w:t>
      </w:r>
    </w:p>
  </w:footnote>
  <w:footnote w:id="10">
    <w:p w:rsidR="0028439F" w:rsidRDefault="0028439F" w:rsidP="0028439F">
      <w:pPr>
        <w:spacing w:line="240" w:lineRule="auto"/>
        <w:rPr>
          <w:sz w:val="20"/>
          <w:szCs w:val="20"/>
        </w:rPr>
      </w:pPr>
      <w:r>
        <w:rPr>
          <w:vertAlign w:val="superscript"/>
        </w:rPr>
        <w:footnoteRef/>
      </w:r>
      <w:r>
        <w:rPr>
          <w:sz w:val="20"/>
          <w:szCs w:val="20"/>
        </w:rPr>
        <w:t xml:space="preserve"> Ley Orgánica del Organismo Legislativo. Decreto 63-94 y sus reformas. Artículo 7.</w:t>
      </w:r>
    </w:p>
    <w:p w:rsidR="0028439F" w:rsidRDefault="0028439F" w:rsidP="0028439F">
      <w:pPr>
        <w:spacing w:line="240" w:lineRule="auto"/>
        <w:rPr>
          <w:sz w:val="20"/>
          <w:szCs w:val="20"/>
        </w:rPr>
      </w:pPr>
    </w:p>
  </w:footnote>
  <w:footnote w:id="11">
    <w:p w:rsidR="0028439F" w:rsidRPr="00F1140F" w:rsidRDefault="0028439F" w:rsidP="0028439F">
      <w:pPr>
        <w:spacing w:line="240" w:lineRule="auto"/>
        <w:rPr>
          <w:sz w:val="20"/>
          <w:szCs w:val="20"/>
          <w:lang w:val="en-US"/>
        </w:rPr>
      </w:pPr>
      <w:r>
        <w:rPr>
          <w:vertAlign w:val="superscript"/>
        </w:rPr>
        <w:footnoteRef/>
      </w:r>
      <w:r w:rsidRPr="00F1140F">
        <w:rPr>
          <w:sz w:val="20"/>
          <w:szCs w:val="20"/>
          <w:lang w:val="en-US"/>
        </w:rPr>
        <w:t>(s.f., Open Knowledge International)</w:t>
      </w:r>
    </w:p>
  </w:footnote>
  <w:footnote w:id="12">
    <w:p w:rsidR="0028439F" w:rsidRDefault="0028439F" w:rsidP="0028439F">
      <w:pPr>
        <w:pStyle w:val="Textonotapie"/>
      </w:pPr>
      <w:r>
        <w:rPr>
          <w:rStyle w:val="Refdenotaalpie"/>
        </w:rPr>
        <w:footnoteRef/>
      </w:r>
      <w:r>
        <w:t xml:space="preserve"> (28 de octubre de 2015, Open Data Charter)</w:t>
      </w:r>
    </w:p>
  </w:footnote>
  <w:footnote w:id="13">
    <w:p w:rsidR="0028439F" w:rsidRDefault="0028439F" w:rsidP="0028439F">
      <w:pPr>
        <w:pStyle w:val="Textonotapie"/>
      </w:pPr>
      <w:r>
        <w:rPr>
          <w:rStyle w:val="Refdenotaalpie"/>
        </w:rPr>
        <w:footnoteRef/>
      </w:r>
      <w:r>
        <w:t xml:space="preserve"> Dirección de Recursos Humanos, Unidad de Acceso a la Información Pública, Dirección Legislativa, Dirección de Informática y Comunicaciones, Dirección de Comunicación Social y Relaciones Públicas.  </w:t>
      </w:r>
    </w:p>
  </w:footnote>
  <w:footnote w:id="14">
    <w:p w:rsidR="0028439F" w:rsidRDefault="0028439F" w:rsidP="0028439F">
      <w:pPr>
        <w:pStyle w:val="Textonotapie"/>
        <w:jc w:val="both"/>
      </w:pPr>
      <w:r>
        <w:rPr>
          <w:rStyle w:val="Refdenotaalpie"/>
        </w:rPr>
        <w:footnoteRef/>
      </w:r>
      <w:r>
        <w:t xml:space="preserve"> Las responsabilidades asignadas, fueron establecidas con base en las atribuciones que las direcciones técnicas, en la Ley Orgánica del Congreso, ya detentan y el rol que organizaciones de sociedad civil juegan en este proceso.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14873"/>
    <w:multiLevelType w:val="multilevel"/>
    <w:tmpl w:val="4F968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B804E0"/>
    <w:multiLevelType w:val="multilevel"/>
    <w:tmpl w:val="783C22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980D06"/>
    <w:multiLevelType w:val="hybridMultilevel"/>
    <w:tmpl w:val="94F2991E"/>
    <w:lvl w:ilvl="0" w:tplc="100A0001">
      <w:start w:val="1"/>
      <w:numFmt w:val="bullet"/>
      <w:lvlText w:val=""/>
      <w:lvlJc w:val="left"/>
      <w:pPr>
        <w:ind w:left="1580" w:hanging="720"/>
      </w:pPr>
      <w:rPr>
        <w:rFonts w:ascii="Symbol" w:hAnsi="Symbol" w:hint="default"/>
        <w:b/>
      </w:rPr>
    </w:lvl>
    <w:lvl w:ilvl="1" w:tplc="0C0A0019" w:tentative="1">
      <w:start w:val="1"/>
      <w:numFmt w:val="lowerLetter"/>
      <w:lvlText w:val="%2."/>
      <w:lvlJc w:val="left"/>
      <w:pPr>
        <w:ind w:left="1940" w:hanging="360"/>
      </w:pPr>
    </w:lvl>
    <w:lvl w:ilvl="2" w:tplc="0C0A001B" w:tentative="1">
      <w:start w:val="1"/>
      <w:numFmt w:val="lowerRoman"/>
      <w:lvlText w:val="%3."/>
      <w:lvlJc w:val="right"/>
      <w:pPr>
        <w:ind w:left="2660" w:hanging="180"/>
      </w:pPr>
    </w:lvl>
    <w:lvl w:ilvl="3" w:tplc="0C0A000F" w:tentative="1">
      <w:start w:val="1"/>
      <w:numFmt w:val="decimal"/>
      <w:lvlText w:val="%4."/>
      <w:lvlJc w:val="left"/>
      <w:pPr>
        <w:ind w:left="3380" w:hanging="360"/>
      </w:pPr>
    </w:lvl>
    <w:lvl w:ilvl="4" w:tplc="0C0A0019" w:tentative="1">
      <w:start w:val="1"/>
      <w:numFmt w:val="lowerLetter"/>
      <w:lvlText w:val="%5."/>
      <w:lvlJc w:val="left"/>
      <w:pPr>
        <w:ind w:left="4100" w:hanging="360"/>
      </w:pPr>
    </w:lvl>
    <w:lvl w:ilvl="5" w:tplc="0C0A001B" w:tentative="1">
      <w:start w:val="1"/>
      <w:numFmt w:val="lowerRoman"/>
      <w:lvlText w:val="%6."/>
      <w:lvlJc w:val="right"/>
      <w:pPr>
        <w:ind w:left="4820" w:hanging="180"/>
      </w:pPr>
    </w:lvl>
    <w:lvl w:ilvl="6" w:tplc="0C0A000F" w:tentative="1">
      <w:start w:val="1"/>
      <w:numFmt w:val="decimal"/>
      <w:lvlText w:val="%7."/>
      <w:lvlJc w:val="left"/>
      <w:pPr>
        <w:ind w:left="5540" w:hanging="360"/>
      </w:pPr>
    </w:lvl>
    <w:lvl w:ilvl="7" w:tplc="0C0A0019" w:tentative="1">
      <w:start w:val="1"/>
      <w:numFmt w:val="lowerLetter"/>
      <w:lvlText w:val="%8."/>
      <w:lvlJc w:val="left"/>
      <w:pPr>
        <w:ind w:left="6260" w:hanging="360"/>
      </w:pPr>
    </w:lvl>
    <w:lvl w:ilvl="8" w:tplc="0C0A001B" w:tentative="1">
      <w:start w:val="1"/>
      <w:numFmt w:val="lowerRoman"/>
      <w:lvlText w:val="%9."/>
      <w:lvlJc w:val="right"/>
      <w:pPr>
        <w:ind w:left="6980" w:hanging="180"/>
      </w:pPr>
    </w:lvl>
  </w:abstractNum>
  <w:abstractNum w:abstractNumId="3" w15:restartNumberingAfterBreak="0">
    <w:nsid w:val="21A90BF5"/>
    <w:multiLevelType w:val="multilevel"/>
    <w:tmpl w:val="CE5092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81D2251"/>
    <w:multiLevelType w:val="multilevel"/>
    <w:tmpl w:val="56EE3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AE2DE4"/>
    <w:multiLevelType w:val="multilevel"/>
    <w:tmpl w:val="E31AE1B6"/>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45384411"/>
    <w:multiLevelType w:val="multilevel"/>
    <w:tmpl w:val="F2903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652E76"/>
    <w:multiLevelType w:val="multilevel"/>
    <w:tmpl w:val="2C9A5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C626B3"/>
    <w:multiLevelType w:val="multilevel"/>
    <w:tmpl w:val="9AA8898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C00706"/>
    <w:multiLevelType w:val="multilevel"/>
    <w:tmpl w:val="465811E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9"/>
  </w:num>
  <w:num w:numId="4">
    <w:abstractNumId w:val="3"/>
  </w:num>
  <w:num w:numId="5">
    <w:abstractNumId w:val="5"/>
  </w:num>
  <w:num w:numId="6">
    <w:abstractNumId w:val="6"/>
  </w:num>
  <w:num w:numId="7">
    <w:abstractNumId w:val="0"/>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9F"/>
    <w:rsid w:val="0028439F"/>
    <w:rsid w:val="003F0BA2"/>
    <w:rsid w:val="00C056A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3542"/>
  <w15:chartTrackingRefBased/>
  <w15:docId w15:val="{21148557-9EB2-43DE-AF99-CDF27FBB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439F"/>
  </w:style>
  <w:style w:type="paragraph" w:styleId="Ttulo1">
    <w:name w:val="heading 1"/>
    <w:basedOn w:val="Normal"/>
    <w:next w:val="Normal"/>
    <w:link w:val="Ttulo1Car"/>
    <w:uiPriority w:val="9"/>
    <w:qFormat/>
    <w:rsid w:val="00284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84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439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8439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8439F"/>
    <w:pPr>
      <w:ind w:left="720"/>
      <w:contextualSpacing/>
    </w:pPr>
  </w:style>
  <w:style w:type="paragraph" w:styleId="Textonotapie">
    <w:name w:val="footnote text"/>
    <w:basedOn w:val="Normal"/>
    <w:link w:val="TextonotapieCar"/>
    <w:uiPriority w:val="99"/>
    <w:unhideWhenUsed/>
    <w:rsid w:val="0028439F"/>
    <w:pPr>
      <w:spacing w:after="0" w:line="240" w:lineRule="auto"/>
    </w:pPr>
    <w:rPr>
      <w:sz w:val="20"/>
      <w:szCs w:val="20"/>
    </w:rPr>
  </w:style>
  <w:style w:type="character" w:customStyle="1" w:styleId="TextonotapieCar">
    <w:name w:val="Texto nota pie Car"/>
    <w:basedOn w:val="Fuentedeprrafopredeter"/>
    <w:link w:val="Textonotapie"/>
    <w:uiPriority w:val="99"/>
    <w:rsid w:val="0028439F"/>
    <w:rPr>
      <w:sz w:val="20"/>
      <w:szCs w:val="20"/>
    </w:rPr>
  </w:style>
  <w:style w:type="character" w:styleId="Refdenotaalpie">
    <w:name w:val="footnote reference"/>
    <w:basedOn w:val="Fuentedeprrafopredeter"/>
    <w:uiPriority w:val="99"/>
    <w:unhideWhenUsed/>
    <w:rsid w:val="0028439F"/>
    <w:rPr>
      <w:vertAlign w:val="superscript"/>
    </w:rPr>
  </w:style>
  <w:style w:type="paragraph" w:styleId="TDC1">
    <w:name w:val="toc 1"/>
    <w:basedOn w:val="Normal"/>
    <w:next w:val="Normal"/>
    <w:autoRedefine/>
    <w:uiPriority w:val="39"/>
    <w:unhideWhenUsed/>
    <w:rsid w:val="0028439F"/>
    <w:pPr>
      <w:spacing w:after="100"/>
    </w:pPr>
  </w:style>
  <w:style w:type="character" w:styleId="Hipervnculo">
    <w:name w:val="Hyperlink"/>
    <w:basedOn w:val="Fuentedeprrafopredeter"/>
    <w:uiPriority w:val="99"/>
    <w:unhideWhenUsed/>
    <w:rsid w:val="0028439F"/>
    <w:rPr>
      <w:color w:val="0563C1" w:themeColor="hyperlink"/>
      <w:u w:val="single"/>
    </w:rPr>
  </w:style>
  <w:style w:type="paragraph" w:styleId="TDC2">
    <w:name w:val="toc 2"/>
    <w:basedOn w:val="Normal"/>
    <w:next w:val="Normal"/>
    <w:autoRedefine/>
    <w:uiPriority w:val="39"/>
    <w:unhideWhenUsed/>
    <w:rsid w:val="002843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atahandbook.org/guide/es/what-is-open-dat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3458</Words>
  <Characters>19024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2018-01-05T23:08:00Z</dcterms:created>
  <dcterms:modified xsi:type="dcterms:W3CDTF">2018-01-05T23:08:00Z</dcterms:modified>
</cp:coreProperties>
</file>