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885" w:rsidRDefault="005E5A46" w:rsidP="005E5A46">
      <w:pPr>
        <w:pStyle w:val="Ttulo"/>
        <w:jc w:val="center"/>
      </w:pPr>
      <w:r>
        <w:t xml:space="preserve">Informe </w:t>
      </w:r>
    </w:p>
    <w:p w:rsidR="003F0BA2" w:rsidRDefault="00567885" w:rsidP="005E5A46">
      <w:pPr>
        <w:pStyle w:val="Ttulo"/>
        <w:jc w:val="center"/>
      </w:pPr>
      <w:r>
        <w:t>Compromiso 1</w:t>
      </w:r>
    </w:p>
    <w:p w:rsidR="0002128C" w:rsidRDefault="0002128C" w:rsidP="0002128C"/>
    <w:p w:rsidR="0002128C" w:rsidRDefault="0002128C" w:rsidP="0002128C"/>
    <w:p w:rsidR="00872A55" w:rsidRDefault="00872A55" w:rsidP="0002128C"/>
    <w:p w:rsidR="0002128C" w:rsidRDefault="0002128C" w:rsidP="0002128C"/>
    <w:p w:rsidR="001478B5" w:rsidRPr="00650859" w:rsidRDefault="0002128C" w:rsidP="0002128C">
      <w:pPr>
        <w:jc w:val="both"/>
        <w:rPr>
          <w:b/>
          <w:sz w:val="32"/>
          <w:szCs w:val="24"/>
        </w:rPr>
      </w:pPr>
      <w:r w:rsidRPr="00650859">
        <w:rPr>
          <w:b/>
          <w:sz w:val="32"/>
          <w:szCs w:val="24"/>
        </w:rPr>
        <w:t>Compromisos Innovación institucional</w:t>
      </w:r>
    </w:p>
    <w:p w:rsidR="0002128C" w:rsidRPr="0002128C" w:rsidRDefault="00650859" w:rsidP="0002128C">
      <w:pPr>
        <w:jc w:val="both"/>
        <w:rPr>
          <w:sz w:val="24"/>
          <w:szCs w:val="24"/>
        </w:rPr>
      </w:pPr>
      <w:r>
        <w:rPr>
          <w:sz w:val="24"/>
          <w:szCs w:val="24"/>
        </w:rPr>
        <w:t>“</w:t>
      </w:r>
      <w:r w:rsidR="0002128C" w:rsidRPr="0002128C">
        <w:rPr>
          <w:sz w:val="24"/>
          <w:szCs w:val="24"/>
        </w:rPr>
        <w:t>El eje de innovación institucional tiene como objetivo impulsar una agenda progresiva de cambios dentro del Congreso de la República enfocada en la mejora de los procesos de apertura y manejo de datos abiertos, fortalecimiento de la capacidad técnica en uso de tecnologías, consolidación de herramientas de registro de información, entre otras. La innovación institucional permanente permitirá al Congreso de la República actualizar sus diferentes procesos para que estos cada vez estén ajustados a las mejores prácticas internacionales en manejo de información legislativa, así como ser un referente en la región sobre la relevancia de las políticas de apertura como un modelo de administración pública y gestión de la información.</w:t>
      </w:r>
      <w:r>
        <w:rPr>
          <w:sz w:val="24"/>
          <w:szCs w:val="24"/>
        </w:rPr>
        <w:t>”</w:t>
      </w:r>
      <w:r>
        <w:rPr>
          <w:rStyle w:val="Refdenotaalpie"/>
          <w:sz w:val="24"/>
          <w:szCs w:val="24"/>
        </w:rPr>
        <w:footnoteReference w:id="1"/>
      </w:r>
    </w:p>
    <w:p w:rsidR="0002128C" w:rsidRDefault="0002128C" w:rsidP="0002128C">
      <w:pPr>
        <w:jc w:val="both"/>
        <w:rPr>
          <w:sz w:val="24"/>
          <w:szCs w:val="24"/>
        </w:rPr>
      </w:pPr>
      <w:r w:rsidRPr="0002128C">
        <w:rPr>
          <w:sz w:val="24"/>
          <w:szCs w:val="24"/>
        </w:rPr>
        <w:t xml:space="preserve">Objetivo principal del compromiso: Fomentar y publicar de forma sistemática información en Datos Abiertos (editables) a través del diseño e institucionalización de una política con certeza jurídica, que establezca lineamientos básicos, formatos y estándares de producción, difusión y acceso a la información producida dentro del Congreso de la República. </w:t>
      </w:r>
    </w:p>
    <w:p w:rsidR="0002128C" w:rsidRPr="0002128C" w:rsidRDefault="0002128C" w:rsidP="0002128C">
      <w:pPr>
        <w:jc w:val="both"/>
        <w:rPr>
          <w:sz w:val="24"/>
          <w:szCs w:val="24"/>
        </w:rPr>
      </w:pPr>
    </w:p>
    <w:p w:rsidR="00E476B7" w:rsidRDefault="00E476B7">
      <w:r>
        <w:br w:type="page"/>
      </w:r>
    </w:p>
    <w:p w:rsidR="00E476B7" w:rsidRDefault="00E476B7" w:rsidP="00E476B7">
      <w:pPr>
        <w:pStyle w:val="Sinespaciado"/>
        <w:jc w:val="center"/>
        <w:rPr>
          <w:sz w:val="40"/>
          <w:szCs w:val="40"/>
        </w:rPr>
      </w:pPr>
      <w:r w:rsidRPr="00D72AA3">
        <w:rPr>
          <w:sz w:val="40"/>
          <w:szCs w:val="40"/>
        </w:rPr>
        <w:lastRenderedPageBreak/>
        <w:t>ACCIONES – ACTIVIDADES – HITOS</w:t>
      </w:r>
    </w:p>
    <w:p w:rsidR="0002128C" w:rsidRDefault="0002128C" w:rsidP="0002128C"/>
    <w:tbl>
      <w:tblPr>
        <w:tblStyle w:val="Tablaconcuadrcula"/>
        <w:tblW w:w="0" w:type="auto"/>
        <w:tblLook w:val="04A0" w:firstRow="1" w:lastRow="0" w:firstColumn="1" w:lastColumn="0" w:noHBand="0" w:noVBand="1"/>
      </w:tblPr>
      <w:tblGrid>
        <w:gridCol w:w="3042"/>
        <w:gridCol w:w="3163"/>
        <w:gridCol w:w="2623"/>
      </w:tblGrid>
      <w:tr w:rsidR="00E476B7" w:rsidTr="00E476B7">
        <w:tc>
          <w:tcPr>
            <w:tcW w:w="3042" w:type="dxa"/>
          </w:tcPr>
          <w:p w:rsidR="00E476B7" w:rsidRDefault="00E476B7" w:rsidP="0002128C">
            <w:r>
              <w:t>ACTIVIDAD</w:t>
            </w:r>
          </w:p>
        </w:tc>
        <w:tc>
          <w:tcPr>
            <w:tcW w:w="3163" w:type="dxa"/>
          </w:tcPr>
          <w:p w:rsidR="00E476B7" w:rsidRDefault="00E476B7" w:rsidP="0002128C">
            <w:r>
              <w:t xml:space="preserve">MEDIO DE VERIFICACIÓN </w:t>
            </w:r>
          </w:p>
        </w:tc>
        <w:tc>
          <w:tcPr>
            <w:tcW w:w="2623" w:type="dxa"/>
          </w:tcPr>
          <w:p w:rsidR="00E476B7" w:rsidRDefault="00E476B7" w:rsidP="0002128C">
            <w:r>
              <w:t>LINK</w:t>
            </w:r>
          </w:p>
        </w:tc>
      </w:tr>
      <w:tr w:rsidR="00E476B7" w:rsidTr="00E476B7">
        <w:tc>
          <w:tcPr>
            <w:tcW w:w="3042" w:type="dxa"/>
            <w:vMerge w:val="restart"/>
          </w:tcPr>
          <w:p w:rsidR="00E476B7" w:rsidRDefault="00E476B7" w:rsidP="00E476B7">
            <w:pPr>
              <w:pStyle w:val="Ttulo1"/>
              <w:outlineLvl w:val="0"/>
            </w:pPr>
            <w:r>
              <w:t>A. ACAG desarrolla espacios que convoquen a la ciudadanía para investigar qué datos del Congreso son de mayor consumo e interés.</w:t>
            </w:r>
          </w:p>
          <w:p w:rsidR="00E476B7" w:rsidRDefault="00E476B7" w:rsidP="0002128C"/>
        </w:tc>
        <w:tc>
          <w:tcPr>
            <w:tcW w:w="3163" w:type="dxa"/>
          </w:tcPr>
          <w:p w:rsidR="00E476B7" w:rsidRDefault="00E476B7" w:rsidP="0002128C">
            <w:r w:rsidRPr="00E476B7">
              <w:t>1.</w:t>
            </w:r>
            <w:r w:rsidRPr="00E476B7">
              <w:tab/>
              <w:t>DIAGNÓSTICO DE DATOS DEL CONGRESO DE LA REPÚBLICA (LINK AL DOCUMENTO O COLOCAR ESTE RESUMEN QUE ELABORÉ PARA EL HITO 6.1)</w:t>
            </w:r>
          </w:p>
        </w:tc>
        <w:tc>
          <w:tcPr>
            <w:tcW w:w="2623" w:type="dxa"/>
          </w:tcPr>
          <w:p w:rsidR="00E476B7" w:rsidRDefault="00E476B7" w:rsidP="0002128C"/>
        </w:tc>
      </w:tr>
      <w:tr w:rsidR="00E476B7" w:rsidTr="00E476B7">
        <w:tc>
          <w:tcPr>
            <w:tcW w:w="3042" w:type="dxa"/>
            <w:vMerge/>
          </w:tcPr>
          <w:p w:rsidR="00E476B7" w:rsidRDefault="00E476B7" w:rsidP="0002128C"/>
        </w:tc>
        <w:tc>
          <w:tcPr>
            <w:tcW w:w="3163" w:type="dxa"/>
          </w:tcPr>
          <w:p w:rsidR="00E476B7" w:rsidRDefault="00E476B7" w:rsidP="0002128C">
            <w:r w:rsidRPr="00E476B7">
              <w:t>2.</w:t>
            </w:r>
            <w:r w:rsidRPr="00E476B7">
              <w:tab/>
              <w:t xml:space="preserve">Resultados encuesta online </w:t>
            </w:r>
          </w:p>
        </w:tc>
        <w:tc>
          <w:tcPr>
            <w:tcW w:w="2623" w:type="dxa"/>
          </w:tcPr>
          <w:p w:rsidR="00E476B7" w:rsidRDefault="00E476B7" w:rsidP="0002128C"/>
        </w:tc>
      </w:tr>
      <w:tr w:rsidR="00E476B7" w:rsidTr="00E476B7">
        <w:tc>
          <w:tcPr>
            <w:tcW w:w="3042" w:type="dxa"/>
            <w:vMerge/>
          </w:tcPr>
          <w:p w:rsidR="00E476B7" w:rsidRDefault="00E476B7" w:rsidP="0002128C"/>
        </w:tc>
        <w:tc>
          <w:tcPr>
            <w:tcW w:w="3163" w:type="dxa"/>
          </w:tcPr>
          <w:p w:rsidR="00E476B7" w:rsidRDefault="00E476B7" w:rsidP="0002128C">
            <w:r w:rsidRPr="00E476B7">
              <w:t>3.</w:t>
            </w:r>
            <w:r w:rsidRPr="00E476B7">
              <w:tab/>
              <w:t>Transcripción grupo focal con organizaciones de sociedad civil que representan a grupos vulnerables</w:t>
            </w:r>
          </w:p>
        </w:tc>
        <w:tc>
          <w:tcPr>
            <w:tcW w:w="2623" w:type="dxa"/>
          </w:tcPr>
          <w:p w:rsidR="00E476B7" w:rsidRDefault="00E476B7" w:rsidP="0002128C">
            <w:r>
              <w:t xml:space="preserve">Anexo A </w:t>
            </w:r>
          </w:p>
        </w:tc>
      </w:tr>
      <w:tr w:rsidR="0041580B" w:rsidTr="00E476B7">
        <w:tc>
          <w:tcPr>
            <w:tcW w:w="3042" w:type="dxa"/>
            <w:vMerge w:val="restart"/>
          </w:tcPr>
          <w:p w:rsidR="0041580B" w:rsidRDefault="0041580B" w:rsidP="00E476B7">
            <w:pPr>
              <w:pStyle w:val="Ttulo1"/>
              <w:outlineLvl w:val="0"/>
            </w:pPr>
            <w:r>
              <w:t>B. Reuniones de mesa técnica (sociedad civil, funcionarios de Congreso y asesores) para elaboración de inventario de datos institucionales priorizados y el diseño de la política de Datos Abiertos del Congreso</w:t>
            </w:r>
          </w:p>
          <w:p w:rsidR="0041580B" w:rsidRDefault="0041580B" w:rsidP="0002128C"/>
        </w:tc>
        <w:tc>
          <w:tcPr>
            <w:tcW w:w="3163" w:type="dxa"/>
          </w:tcPr>
          <w:p w:rsidR="0041580B" w:rsidRDefault="0041580B" w:rsidP="0002128C">
            <w:r w:rsidRPr="00E476B7">
              <w:t>1. Minutas de las mesas técnicas e inventario de datos institucionales</w:t>
            </w:r>
          </w:p>
        </w:tc>
        <w:tc>
          <w:tcPr>
            <w:tcW w:w="2623" w:type="dxa"/>
          </w:tcPr>
          <w:p w:rsidR="0041580B" w:rsidRDefault="0041580B" w:rsidP="0002128C">
            <w:r>
              <w:t>Anexo B</w:t>
            </w:r>
          </w:p>
        </w:tc>
      </w:tr>
      <w:tr w:rsidR="0041580B" w:rsidTr="00E476B7">
        <w:tc>
          <w:tcPr>
            <w:tcW w:w="3042" w:type="dxa"/>
            <w:vMerge/>
          </w:tcPr>
          <w:p w:rsidR="0041580B" w:rsidRDefault="0041580B" w:rsidP="0002128C"/>
        </w:tc>
        <w:tc>
          <w:tcPr>
            <w:tcW w:w="3163" w:type="dxa"/>
          </w:tcPr>
          <w:p w:rsidR="0041580B" w:rsidRDefault="0041580B" w:rsidP="0002128C">
            <w:r w:rsidRPr="00E476B7">
              <w:t>2. Borrador Acuerdo de Junta Directiva para institucionalización de la guía de apertura de datos</w:t>
            </w:r>
          </w:p>
        </w:tc>
        <w:tc>
          <w:tcPr>
            <w:tcW w:w="2623" w:type="dxa"/>
          </w:tcPr>
          <w:p w:rsidR="0041580B" w:rsidRDefault="0041580B" w:rsidP="0002128C">
            <w:r>
              <w:t>Anexo C</w:t>
            </w:r>
          </w:p>
        </w:tc>
      </w:tr>
      <w:tr w:rsidR="0041580B" w:rsidTr="0041580B">
        <w:tc>
          <w:tcPr>
            <w:tcW w:w="3042" w:type="dxa"/>
            <w:vMerge w:val="restart"/>
            <w:vAlign w:val="center"/>
          </w:tcPr>
          <w:p w:rsidR="0041580B" w:rsidRDefault="0041580B" w:rsidP="0041580B">
            <w:pPr>
              <w:pStyle w:val="Ttulo1"/>
              <w:jc w:val="center"/>
              <w:outlineLvl w:val="0"/>
            </w:pPr>
            <w:r>
              <w:t>C. Mesa técnica discute la experiencia comparada, la ruta de implementación de la política de datos abiertos, y los contenidos en la guía del uso de datos abiertos</w:t>
            </w:r>
          </w:p>
          <w:p w:rsidR="0041580B" w:rsidRDefault="0041580B" w:rsidP="0041580B">
            <w:pPr>
              <w:jc w:val="center"/>
            </w:pPr>
          </w:p>
        </w:tc>
        <w:tc>
          <w:tcPr>
            <w:tcW w:w="3163" w:type="dxa"/>
          </w:tcPr>
          <w:p w:rsidR="0041580B" w:rsidRPr="0041580B" w:rsidRDefault="0041580B" w:rsidP="0041580B">
            <w:r w:rsidRPr="0041580B">
              <w:t>1. Mesas de diálogo de la guía de apertura de datos abiertos del Congreso de la República</w:t>
            </w:r>
          </w:p>
          <w:p w:rsidR="0041580B" w:rsidRDefault="0041580B" w:rsidP="0002128C"/>
        </w:tc>
        <w:tc>
          <w:tcPr>
            <w:tcW w:w="2623" w:type="dxa"/>
          </w:tcPr>
          <w:p w:rsidR="0041580B" w:rsidRDefault="0041580B" w:rsidP="0002128C">
            <w:r>
              <w:t>Anexo D</w:t>
            </w:r>
          </w:p>
        </w:tc>
      </w:tr>
      <w:tr w:rsidR="0041580B" w:rsidTr="00E476B7">
        <w:tc>
          <w:tcPr>
            <w:tcW w:w="3042" w:type="dxa"/>
            <w:vMerge/>
          </w:tcPr>
          <w:p w:rsidR="0041580B" w:rsidRDefault="0041580B" w:rsidP="0002128C"/>
        </w:tc>
        <w:tc>
          <w:tcPr>
            <w:tcW w:w="3163" w:type="dxa"/>
          </w:tcPr>
          <w:p w:rsidR="0041580B" w:rsidRDefault="0041580B" w:rsidP="0041580B">
            <w:pPr>
              <w:jc w:val="center"/>
            </w:pPr>
            <w:r w:rsidRPr="0041580B">
              <w:t>2. Mesa de validación de la guía de apertura de datos abiertos del Congreso de la República</w:t>
            </w:r>
          </w:p>
        </w:tc>
        <w:tc>
          <w:tcPr>
            <w:tcW w:w="2623" w:type="dxa"/>
          </w:tcPr>
          <w:p w:rsidR="0041580B" w:rsidRDefault="0041580B" w:rsidP="0002128C">
            <w:r>
              <w:t>Anexo E</w:t>
            </w:r>
          </w:p>
        </w:tc>
      </w:tr>
      <w:tr w:rsidR="0041580B" w:rsidTr="00E476B7">
        <w:tc>
          <w:tcPr>
            <w:tcW w:w="3042" w:type="dxa"/>
            <w:vMerge/>
          </w:tcPr>
          <w:p w:rsidR="0041580B" w:rsidRDefault="0041580B" w:rsidP="0002128C"/>
        </w:tc>
        <w:tc>
          <w:tcPr>
            <w:tcW w:w="3163" w:type="dxa"/>
          </w:tcPr>
          <w:p w:rsidR="0041580B" w:rsidRDefault="0041580B" w:rsidP="0002128C">
            <w:r w:rsidRPr="0041580B">
              <w:t>3. Borrador Guía de apertura de datos abiertos del Congreso de la República</w:t>
            </w:r>
          </w:p>
        </w:tc>
        <w:tc>
          <w:tcPr>
            <w:tcW w:w="2623" w:type="dxa"/>
          </w:tcPr>
          <w:p w:rsidR="0041580B" w:rsidRDefault="0041580B" w:rsidP="0002128C">
            <w:r>
              <w:t>Anexo F</w:t>
            </w:r>
          </w:p>
        </w:tc>
      </w:tr>
      <w:tr w:rsidR="00E476B7" w:rsidTr="00E476B7">
        <w:tc>
          <w:tcPr>
            <w:tcW w:w="3042" w:type="dxa"/>
          </w:tcPr>
          <w:p w:rsidR="0041580B" w:rsidRDefault="0041580B" w:rsidP="0041580B">
            <w:pPr>
              <w:pStyle w:val="Ttulo1"/>
              <w:outlineLvl w:val="0"/>
            </w:pPr>
            <w:r>
              <w:lastRenderedPageBreak/>
              <w:t>D. Producción de la Guía de apertura de datos abiertos del Congreso de la República</w:t>
            </w:r>
          </w:p>
          <w:p w:rsidR="00E476B7" w:rsidRDefault="00E476B7" w:rsidP="0002128C"/>
        </w:tc>
        <w:tc>
          <w:tcPr>
            <w:tcW w:w="3163" w:type="dxa"/>
          </w:tcPr>
          <w:p w:rsidR="0041580B" w:rsidRDefault="0041580B" w:rsidP="0002128C">
            <w:r w:rsidRPr="0041580B">
              <w:t xml:space="preserve">1. </w:t>
            </w:r>
            <w:r>
              <w:t>Publicación de la Guía de apertura de datos:</w:t>
            </w:r>
          </w:p>
          <w:p w:rsidR="00E476B7" w:rsidRDefault="0041580B" w:rsidP="0002128C">
            <w:r w:rsidRPr="0041580B">
              <w:t>En espera de aprobación del borrador del Acuerdo de Junta Directiva para la institucionalización de la Guía a través del Departamento de Planificación, Manuales y Procedimientos del Congreso de la República.</w:t>
            </w:r>
          </w:p>
        </w:tc>
        <w:tc>
          <w:tcPr>
            <w:tcW w:w="2623" w:type="dxa"/>
          </w:tcPr>
          <w:p w:rsidR="00E476B7" w:rsidRDefault="00E476B7" w:rsidP="0002128C"/>
        </w:tc>
      </w:tr>
      <w:tr w:rsidR="00E476B7" w:rsidTr="00E476B7">
        <w:tc>
          <w:tcPr>
            <w:tcW w:w="3042" w:type="dxa"/>
          </w:tcPr>
          <w:p w:rsidR="0041580B" w:rsidRDefault="0041580B" w:rsidP="0041580B">
            <w:pPr>
              <w:pStyle w:val="Ttulo1"/>
              <w:outlineLvl w:val="0"/>
            </w:pPr>
            <w:r>
              <w:t>F. Socialización y capacitación sobre el manual y política de datos abiertos con las diferentes direcciones del Congreso</w:t>
            </w:r>
          </w:p>
          <w:p w:rsidR="00E476B7" w:rsidRDefault="00E476B7" w:rsidP="0002128C"/>
        </w:tc>
        <w:tc>
          <w:tcPr>
            <w:tcW w:w="3163" w:type="dxa"/>
          </w:tcPr>
          <w:p w:rsidR="0041580B" w:rsidRPr="007E4DDD" w:rsidRDefault="0041580B" w:rsidP="0041580B">
            <w:pPr>
              <w:rPr>
                <w:b/>
                <w:color w:val="FF0000"/>
                <w:sz w:val="32"/>
                <w:szCs w:val="32"/>
              </w:rPr>
            </w:pPr>
            <w:r w:rsidRPr="0041580B">
              <w:t>1. Debido al retraso en los procesos a lo interno del Congreso de la República, se apostó por un proceso de capacitaciones alterno con las direcciones el viernes 8 de septiembre de 2017 en los temas de Datos Abiertos.</w:t>
            </w:r>
            <w:r w:rsidRPr="007E4DDD">
              <w:rPr>
                <w:b/>
                <w:color w:val="FF0000"/>
                <w:sz w:val="32"/>
                <w:szCs w:val="32"/>
              </w:rPr>
              <w:t xml:space="preserve"> </w:t>
            </w:r>
          </w:p>
          <w:p w:rsidR="00E476B7" w:rsidRDefault="00E476B7" w:rsidP="0002128C"/>
        </w:tc>
        <w:tc>
          <w:tcPr>
            <w:tcW w:w="2623" w:type="dxa"/>
          </w:tcPr>
          <w:p w:rsidR="00E476B7" w:rsidRDefault="0041580B" w:rsidP="0002128C">
            <w:r>
              <w:t xml:space="preserve">Anexo G </w:t>
            </w:r>
          </w:p>
        </w:tc>
      </w:tr>
      <w:tr w:rsidR="00E476B7" w:rsidTr="00E476B7">
        <w:tc>
          <w:tcPr>
            <w:tcW w:w="3042" w:type="dxa"/>
          </w:tcPr>
          <w:p w:rsidR="0041580B" w:rsidRDefault="0041580B" w:rsidP="0041580B">
            <w:pPr>
              <w:pStyle w:val="Ttulo1"/>
              <w:outlineLvl w:val="0"/>
            </w:pPr>
            <w:r>
              <w:t>G. Proceso de retroalimentación y recomendaciones para mejorar la implementación de la política.</w:t>
            </w:r>
          </w:p>
          <w:p w:rsidR="00E476B7" w:rsidRDefault="00E476B7" w:rsidP="0002128C"/>
        </w:tc>
        <w:tc>
          <w:tcPr>
            <w:tcW w:w="3163" w:type="dxa"/>
          </w:tcPr>
          <w:p w:rsidR="00E476B7" w:rsidRDefault="0041580B" w:rsidP="0002128C">
            <w:r w:rsidRPr="0041580B">
              <w:t>En espera de aprobación del borrador del Acuerdo de Junta Directiva para la institucionalización de la Guía a través del Departamento de Planificación, Manuales y Procedimientos del Congreso de la República.</w:t>
            </w:r>
          </w:p>
        </w:tc>
        <w:tc>
          <w:tcPr>
            <w:tcW w:w="2623" w:type="dxa"/>
          </w:tcPr>
          <w:p w:rsidR="00E476B7" w:rsidRDefault="00E476B7" w:rsidP="0002128C"/>
        </w:tc>
      </w:tr>
    </w:tbl>
    <w:p w:rsidR="00E476B7" w:rsidRPr="0002128C" w:rsidRDefault="00E476B7" w:rsidP="0002128C">
      <w:bookmarkStart w:id="0" w:name="_GoBack"/>
      <w:bookmarkEnd w:id="0"/>
    </w:p>
    <w:sectPr w:rsidR="00E476B7" w:rsidRPr="0002128C" w:rsidSect="0041580B">
      <w:pgSz w:w="12240" w:h="15840"/>
      <w:pgMar w:top="1417" w:right="1701" w:bottom="56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FC9" w:rsidRDefault="00E87FC9" w:rsidP="00650859">
      <w:pPr>
        <w:spacing w:after="0" w:line="240" w:lineRule="auto"/>
      </w:pPr>
      <w:r>
        <w:separator/>
      </w:r>
    </w:p>
  </w:endnote>
  <w:endnote w:type="continuationSeparator" w:id="0">
    <w:p w:rsidR="00E87FC9" w:rsidRDefault="00E87FC9" w:rsidP="00650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FC9" w:rsidRDefault="00E87FC9" w:rsidP="00650859">
      <w:pPr>
        <w:spacing w:after="0" w:line="240" w:lineRule="auto"/>
      </w:pPr>
      <w:r>
        <w:separator/>
      </w:r>
    </w:p>
  </w:footnote>
  <w:footnote w:type="continuationSeparator" w:id="0">
    <w:p w:rsidR="00E87FC9" w:rsidRDefault="00E87FC9" w:rsidP="00650859">
      <w:pPr>
        <w:spacing w:after="0" w:line="240" w:lineRule="auto"/>
      </w:pPr>
      <w:r>
        <w:continuationSeparator/>
      </w:r>
    </w:p>
  </w:footnote>
  <w:footnote w:id="1">
    <w:p w:rsidR="00650859" w:rsidRDefault="00650859">
      <w:pPr>
        <w:pStyle w:val="Textonotapie"/>
      </w:pPr>
      <w:r>
        <w:rPr>
          <w:rStyle w:val="Refdenotaalpie"/>
        </w:rPr>
        <w:footnoteRef/>
      </w:r>
      <w:r>
        <w:t xml:space="preserve"> </w:t>
      </w:r>
      <w:r w:rsidR="00E476B7">
        <w:t>(2016, Primer Plan de Acción ACAG)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46"/>
    <w:rsid w:val="0002128C"/>
    <w:rsid w:val="001478B5"/>
    <w:rsid w:val="003D2279"/>
    <w:rsid w:val="003F0BA2"/>
    <w:rsid w:val="0041580B"/>
    <w:rsid w:val="00567885"/>
    <w:rsid w:val="005E5A46"/>
    <w:rsid w:val="00650859"/>
    <w:rsid w:val="00872A55"/>
    <w:rsid w:val="00E476B7"/>
    <w:rsid w:val="00E87FC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A0B1"/>
  <w15:chartTrackingRefBased/>
  <w15:docId w15:val="{63F6FCEA-44EB-4348-A211-C4A257B3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7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E5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A46"/>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65085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0859"/>
    <w:rPr>
      <w:sz w:val="20"/>
      <w:szCs w:val="20"/>
    </w:rPr>
  </w:style>
  <w:style w:type="character" w:styleId="Refdenotaalpie">
    <w:name w:val="footnote reference"/>
    <w:basedOn w:val="Fuentedeprrafopredeter"/>
    <w:uiPriority w:val="99"/>
    <w:semiHidden/>
    <w:unhideWhenUsed/>
    <w:rsid w:val="00650859"/>
    <w:rPr>
      <w:vertAlign w:val="superscript"/>
    </w:rPr>
  </w:style>
  <w:style w:type="paragraph" w:styleId="Sinespaciado">
    <w:name w:val="No Spacing"/>
    <w:link w:val="SinespaciadoCar"/>
    <w:uiPriority w:val="1"/>
    <w:qFormat/>
    <w:rsid w:val="00E476B7"/>
    <w:pPr>
      <w:spacing w:after="0" w:line="240" w:lineRule="auto"/>
    </w:pPr>
  </w:style>
  <w:style w:type="character" w:customStyle="1" w:styleId="SinespaciadoCar">
    <w:name w:val="Sin espaciado Car"/>
    <w:basedOn w:val="Fuentedeprrafopredeter"/>
    <w:link w:val="Sinespaciado"/>
    <w:uiPriority w:val="1"/>
    <w:rsid w:val="00E476B7"/>
  </w:style>
  <w:style w:type="table" w:styleId="Tablaconcuadrcula">
    <w:name w:val="Table Grid"/>
    <w:basedOn w:val="Tablanormal"/>
    <w:uiPriority w:val="39"/>
    <w:rsid w:val="00E4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476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3</Pages>
  <Words>536</Words>
  <Characters>2952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2018-01-04T21:04:00Z</dcterms:created>
  <dcterms:modified xsi:type="dcterms:W3CDTF">2018-01-05T23:14:00Z</dcterms:modified>
</cp:coreProperties>
</file>