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Técnico y de Arquitectura - Sistema DUAL (Edición Extendida)</w:t>
      </w:r>
    </w:p>
    <w:p>
      <w:r>
        <w:br w:type="page"/>
      </w:r>
    </w:p>
    <w:p>
      <w:pPr>
        <w:pStyle w:val="Heading1"/>
      </w:pPr>
      <w:r>
        <w:t>1. Arquitectura Base y Stack Tecnológico</w:t>
      </w:r>
    </w:p>
    <w:p>
      <w:pPr>
        <w:jc w:val="both"/>
      </w:pPr>
      <w:r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  <w:t xml:space="preserve">El Sistema de Gestión DUAL opera bajo una arquitectura monolítica web usando Framework Python. </w:t>
        <w:br/>
        <w:br/>
        <w:t>1.1 Frontend y Presentación</w:t>
        <w:br/>
        <w:t>Se utiliza Streamlit (v1.30+) para renderizar la UI de manera reactiva y componentes personalizados de HTML/CSS. Se dividen en sub-módulos:</w:t>
        <w:br/>
        <w:t>- `sistema_dual/app.py`: El portal administrativo.</w:t>
        <w:br/>
        <w:t>- `sistema_dual_alumnos/app.py`: El portal de estudiantes.</w:t>
        <w:br/>
        <w:br/>
        <w:t>1.2 Backend y Lógica</w:t>
        <w:br/>
        <w:t>El ruteo y lógica de negocio (CRUDs) están codificados nativamente en Python, utilizando `st.session_state` para la gestión de estados globales.</w:t>
        <w:br/>
        <w:br/>
      </w:r>
    </w:p>
    <w:p>
      <w:r>
        <w:br w:type="page"/>
      </w:r>
    </w:p>
    <w:p>
      <w:pPr>
        <w:pStyle w:val="Heading1"/>
      </w:pPr>
      <w:r>
        <w:t>2. Bases de Datos: Supabase y PostgreSQL</w:t>
      </w:r>
    </w:p>
    <w:p>
      <w:pPr>
        <w:jc w:val="both"/>
      </w:pPr>
      <w:r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  <w:t xml:space="preserve">La persistencia de datos recae sobre Supabase, ofreciendo una base PostgreSQL administrada y APIs tipo REST nativas. </w:t>
        <w:br/>
        <w:br/>
        <w:t>2.1 Estructura Relacional</w:t>
        <w:br/>
        <w:t xml:space="preserve">El modelo estrella tiene a `alumnos` y `proyectos_dual` como centro. Los catálogos satelitales son `maestros`, `unidades_economicas` y `asignaturas`. </w:t>
        <w:br/>
        <w:br/>
        <w:t>2.2 Políticas RLS (Row Level Security)</w:t>
        <w:br/>
        <w:t>Supabase restringe el acceso mediante roles anónimos que solo pueden consultar vistas permitidas, mientras que la Auth API tokeniza los accesos administrativos garantizando seguridad a nivel de tuple.</w:t>
        <w:br/>
        <w:br/>
      </w:r>
    </w:p>
    <w:p>
      <w:r>
        <w:br w:type="page"/>
      </w:r>
    </w:p>
    <w:p>
      <w:pPr>
        <w:pStyle w:val="Heading1"/>
      </w:pPr>
      <w:r>
        <w:t>3. Motor de Conversión de Documentos (DOCX-PDF)</w:t>
      </w:r>
    </w:p>
    <w:p>
      <w:pPr>
        <w:jc w:val="both"/>
      </w:pPr>
      <w:r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  <w:t xml:space="preserve">El sistema implementa una fusión de `docxtpl` (Jinja2) para incrustar datos en plantillas de Word `.docx` vírgenes. </w:t>
        <w:br/>
        <w:br/>
        <w:t>3.1 Generación de Anexos (5.1, 5.4, 5.5)</w:t>
        <w:br/>
        <w:t xml:space="preserve">Los diccionarios de Python (el contexto) son inyectados en marcadores como `{{ alumno_nombre }}`. Para ciclos de tablas se usan bucles internos `{%tr for c in lista %}`. </w:t>
        <w:br/>
        <w:br/>
        <w:t>3.2 Servidor COM y Conversión a PDF</w:t>
        <w:br/>
        <w:t>Crítico: La conversión a PDF se realiza ejecutando instanciaciones `comtypes.client.CreateObject('Word.Application')`. Esto significa que el sistema debe hostearse en una máquina virtual o servidor contenedor Windows que posea el motor de MS Word instalado. En Linux, esta librería falla y requerirá una transición a LibreOffice CLI u otro motor web.</w:t>
        <w:br/>
        <w:br/>
      </w:r>
    </w:p>
    <w:p>
      <w:r>
        <w:br w:type="page"/>
      </w:r>
    </w:p>
    <w:p>
      <w:pPr>
        <w:pStyle w:val="Heading1"/>
      </w:pPr>
      <w:r>
        <w:t>4. Autenticación y Criptografía</w:t>
      </w:r>
    </w:p>
    <w:p>
      <w:pPr>
        <w:jc w:val="both"/>
      </w:pPr>
      <w:r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  <w:t>Para el nivel administrativo, los passwords son ofuscados usando la librería `bcrypt`. El proceso inserta un hash en la base de datos (generalmente la tabla coordinadores o usuarios), mitigando riesgos de lectura en claro.</w:t>
        <w:br/>
        <w:br/>
        <w:t>Para los alumnos, la fase 1 genera claves temporales a partir de la CURP o la matrícula, las cuales el estudiante puede actualizar remotamente. Los token de Mentor UE son hashes UUID temporales insertados vía Mail API.</w:t>
        <w:br/>
        <w:br/>
      </w:r>
    </w:p>
    <w:p>
      <w:r>
        <w:br w:type="page"/>
      </w:r>
    </w:p>
    <w:p>
      <w:pPr>
        <w:pStyle w:val="Heading1"/>
      </w:pPr>
      <w:r>
        <w:t>5. Módulo de Envío de Correos (SMTP)</w:t>
      </w:r>
    </w:p>
    <w:p>
      <w:pPr>
        <w:jc w:val="both"/>
      </w:pPr>
      <w:r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  <w:t>Implementado en `envios_correos.py`. Usa `smtplib` con candados TLS en el puerto 587. Se lee del `.env` las credenciales SMTP institucionales. Se encarga de disparar contraseñas autogeneradas a los Mentores Institucionales y los enlaces tokenizados a los Mentores Ejecutivos.</w:t>
        <w:br/>
        <w:br/>
      </w:r>
    </w:p>
    <w:p>
      <w:r>
        <w:br w:type="page"/>
      </w:r>
    </w:p>
    <w:p>
      <w:pPr>
        <w:pStyle w:val="Heading1"/>
      </w:pPr>
      <w:r>
        <w:t>6. Estructura de Proyecto y Refactorización</w:t>
      </w:r>
    </w:p>
    <w:p>
      <w:pPr>
        <w:jc w:val="both"/>
      </w:pPr>
      <w:r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  <w:t>6.1 Directorio `src/views/`</w:t>
        <w:br/>
        <w:t xml:space="preserve">Cada script representa una pantalla del dashboard. `maestros.py`, `asignaturas.py`, `periodos.py` son controladores autónomos de UI y Lógica de Supabase. </w:t>
        <w:br/>
        <w:br/>
        <w:t>6.2 Mantenibilidad</w:t>
        <w:br/>
        <w:t>Para futuras iteraciones, es crítico preservar el `session_state` de Streamlit en navegaciones inter-pantallas para evitar repintados y pérdidas del Contexto de Carrera.</w:t>
        <w:br/>
        <w:br/>
      </w:r>
    </w:p>
    <w:p>
      <w:r>
        <w:br w:type="page"/>
      </w:r>
    </w:p>
    <w:p>
      <w:pPr>
        <w:pStyle w:val="Heading1"/>
      </w:pPr>
      <w:r>
        <w:t>7. Referencia de Tablas Clave</w:t>
      </w:r>
    </w:p>
    <w:p>
      <w:pPr>
        <w:jc w:val="both"/>
      </w:pPr>
      <w:r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  <w:t>Listado exaustivo de campos en `proyectos_dual`:</w:t>
        <w:br/>
        <w:t>- `id` UUID primary key</w:t>
        <w:br/>
        <w:t>- `alumno_id` FK a `alumnos(id)`</w:t>
        <w:br/>
        <w:t>- `ue_id` FK a `unidades_economicas(id)`</w:t>
        <w:br/>
        <w:t>- `mentor_ue_id` FK a `mentores_ue(id)`</w:t>
        <w:br/>
        <w:t>- `periodo_id` FK a `periodos(id)`</w:t>
        <w:br/>
        <w:t>- `calificacion_ue` (Agregado en parche Feb 20)</w:t>
        <w:br/>
        <w:t>- `calificacion_ie` (Agregado en parche Feb 20)</w:t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