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22" w:rsidRDefault="00403B22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000"/>
      </w:tblPr>
      <w:tblGrid>
        <w:gridCol w:w="1700"/>
        <w:gridCol w:w="6522"/>
        <w:gridCol w:w="1701"/>
      </w:tblGrid>
      <w:tr w:rsidR="00403B22">
        <w:trPr>
          <w:trHeight w:val="1700"/>
        </w:trPr>
        <w:tc>
          <w:tcPr>
            <w:tcW w:w="1700" w:type="dxa"/>
            <w:shd w:val="clear" w:color="auto" w:fill="auto"/>
          </w:tcPr>
          <w:p w:rsidR="00403B22" w:rsidRDefault="007772AB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403B22" w:rsidRDefault="007772AB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:rsidR="00403B22" w:rsidRDefault="007772AB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:rsidR="00403B22" w:rsidRDefault="007772AB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3B22" w:rsidRDefault="007772AB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8070F" w:rsidRDefault="007772AB" w:rsidP="00B23262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Grupa </w:t>
      </w:r>
      <w:r w:rsidR="00C8070F">
        <w:rPr>
          <w:rFonts w:ascii="Arial" w:eastAsia="Arial" w:hAnsi="Arial" w:cs="Arial"/>
          <w:sz w:val="40"/>
          <w:szCs w:val="40"/>
        </w:rPr>
        <w:t>5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Jovan Davidović, PR 13/2015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Slobodan Brdar</w:t>
      </w:r>
      <w:r w:rsidR="00B23262">
        <w:rPr>
          <w:rFonts w:ascii="Arial" w:eastAsia="Arial" w:hAnsi="Arial" w:cs="Arial"/>
          <w:sz w:val="40"/>
          <w:szCs w:val="40"/>
        </w:rPr>
        <w:t>,</w:t>
      </w:r>
      <w:r>
        <w:rPr>
          <w:rFonts w:ascii="Arial" w:eastAsia="Arial" w:hAnsi="Arial" w:cs="Arial"/>
          <w:sz w:val="40"/>
          <w:szCs w:val="40"/>
        </w:rPr>
        <w:t xml:space="preserve"> PR 14/2015</w:t>
      </w:r>
    </w:p>
    <w:p w:rsidR="00403B22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Dunja Bursać, </w:t>
      </w:r>
      <w:proofErr w:type="gramStart"/>
      <w:r>
        <w:rPr>
          <w:rFonts w:ascii="Arial" w:eastAsia="Arial" w:hAnsi="Arial" w:cs="Arial"/>
          <w:sz w:val="40"/>
          <w:szCs w:val="40"/>
        </w:rPr>
        <w:t xml:space="preserve">PR </w:t>
      </w:r>
      <w:r w:rsidR="00B23262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22</w:t>
      </w:r>
      <w:proofErr w:type="gramEnd"/>
      <w:r>
        <w:rPr>
          <w:rFonts w:ascii="Arial" w:eastAsia="Arial" w:hAnsi="Arial" w:cs="Arial"/>
          <w:sz w:val="40"/>
          <w:szCs w:val="40"/>
        </w:rPr>
        <w:t xml:space="preserve">/2015 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Dimitrije Mitić, PR 27/2015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7772AB">
      <w:pPr>
        <w:spacing w:before="60" w:after="0"/>
        <w:jc w:val="center"/>
      </w:pPr>
      <w:r>
        <w:rPr>
          <w:rFonts w:ascii="Arial" w:eastAsia="Arial" w:hAnsi="Arial" w:cs="Arial"/>
          <w:sz w:val="40"/>
          <w:szCs w:val="40"/>
        </w:rPr>
        <w:t xml:space="preserve">Zadatak </w:t>
      </w:r>
      <w:r w:rsidR="00B23262">
        <w:rPr>
          <w:rFonts w:ascii="Arial" w:eastAsia="Arial" w:hAnsi="Arial" w:cs="Arial"/>
          <w:sz w:val="40"/>
          <w:szCs w:val="40"/>
        </w:rPr>
        <w:t>18</w:t>
      </w:r>
    </w:p>
    <w:p w:rsidR="00403B22" w:rsidRDefault="00403B22">
      <w:pPr>
        <w:spacing w:before="60" w:after="0"/>
        <w:jc w:val="center"/>
      </w:pPr>
    </w:p>
    <w:p w:rsidR="00403B22" w:rsidRDefault="00403B22">
      <w:pPr>
        <w:spacing w:before="60" w:after="0"/>
        <w:jc w:val="center"/>
      </w:pPr>
    </w:p>
    <w:p w:rsidR="00403B22" w:rsidRDefault="00403B22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:rsidR="00403B22" w:rsidRDefault="007772AB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Sigurnost i bezbednost u elektroenergetskim sistemima</w:t>
      </w:r>
    </w:p>
    <w:p w:rsidR="00403B22" w:rsidRDefault="007772AB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Primenjeno softversko inženjerstvo -</w:t>
      </w:r>
    </w:p>
    <w:p w:rsidR="00403B22" w:rsidRDefault="00403B22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3262" w:rsidRDefault="007772AB" w:rsidP="00B2326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sz w:val="32"/>
          <w:szCs w:val="32"/>
        </w:rPr>
        <w:t xml:space="preserve">Novi Sad, </w:t>
      </w:r>
      <w:r w:rsidR="00B23262">
        <w:rPr>
          <w:rFonts w:ascii="Arial" w:eastAsia="Arial" w:hAnsi="Arial" w:cs="Arial"/>
          <w:sz w:val="32"/>
          <w:szCs w:val="32"/>
        </w:rPr>
        <w:t>13.</w:t>
      </w:r>
      <w:proofErr w:type="gramEnd"/>
      <w:r w:rsidR="00B23262">
        <w:rPr>
          <w:rFonts w:ascii="Arial" w:eastAsia="Arial" w:hAnsi="Arial" w:cs="Arial"/>
          <w:sz w:val="32"/>
          <w:szCs w:val="32"/>
        </w:rPr>
        <w:t xml:space="preserve"> </w:t>
      </w:r>
      <w:proofErr w:type="gramStart"/>
      <w:r w:rsidR="00B23262">
        <w:rPr>
          <w:rFonts w:ascii="Arial" w:eastAsia="Arial" w:hAnsi="Arial" w:cs="Arial"/>
          <w:sz w:val="32"/>
          <w:szCs w:val="32"/>
        </w:rPr>
        <w:t>novembar</w:t>
      </w:r>
      <w:proofErr w:type="gramEnd"/>
      <w:r w:rsidR="00B23262">
        <w:rPr>
          <w:rFonts w:ascii="Arial" w:eastAsia="Arial" w:hAnsi="Arial" w:cs="Arial"/>
          <w:sz w:val="32"/>
          <w:szCs w:val="32"/>
        </w:rPr>
        <w:t xml:space="preserve"> 2018.</w:t>
      </w:r>
    </w:p>
    <w:p w:rsidR="00403B22" w:rsidRDefault="007772AB" w:rsidP="00B23262">
      <w:pPr>
        <w:spacing w:after="0"/>
        <w:jc w:val="center"/>
      </w:pPr>
      <w:r>
        <w:lastRenderedPageBreak/>
        <w:t>Sadrzaj</w:t>
      </w:r>
    </w:p>
    <w:sdt>
      <w:sdtPr>
        <w:id w:val="25453545"/>
        <w:docPartObj>
          <w:docPartGallery w:val="Table of Contents"/>
          <w:docPartUnique/>
        </w:docPartObj>
      </w:sdtPr>
      <w:sdtEndPr>
        <w:rPr>
          <w:rFonts w:ascii="Times;Times New Roman" w:eastAsia="Times;Times New Roman" w:hAnsi="Times;Times New Roman" w:cs="Times;Times New Roman"/>
          <w:b w:val="0"/>
          <w:bCs w:val="0"/>
          <w:color w:val="000000"/>
          <w:kern w:val="2"/>
          <w:shd w:val="clear" w:color="auto" w:fill="FFFFFF"/>
          <w:lang w:eastAsia="zh-CN" w:bidi="hi-IN"/>
        </w:rPr>
      </w:sdtEndPr>
      <w:sdtContent>
        <w:p w:rsidR="00C122F3" w:rsidRDefault="00C122F3">
          <w:pPr>
            <w:pStyle w:val="TOCHeading"/>
          </w:pPr>
          <w:r>
            <w:t>Table of Contents</w:t>
          </w:r>
        </w:p>
        <w:p w:rsidR="00C122F3" w:rsidRDefault="00C122F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shd w:val="clear" w:color="auto" w:fill="auto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08641" w:history="1">
            <w:r w:rsidRPr="000F381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shd w:val="clear" w:color="auto" w:fill="auto"/>
                <w:lang w:eastAsia="en-US" w:bidi="ar-SA"/>
              </w:rPr>
              <w:tab/>
            </w:r>
            <w:r w:rsidRPr="000F381F">
              <w:rPr>
                <w:rStyle w:val="Hyperlink"/>
                <w:noProof/>
              </w:rPr>
              <w:t>OPIS REŠAVANOG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F3" w:rsidRDefault="00C122F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shd w:val="clear" w:color="auto" w:fill="auto"/>
              <w:lang w:eastAsia="en-US" w:bidi="ar-SA"/>
            </w:rPr>
          </w:pPr>
          <w:hyperlink w:anchor="_Toc529808642" w:history="1">
            <w:r w:rsidRPr="000F381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shd w:val="clear" w:color="auto" w:fill="auto"/>
                <w:lang w:eastAsia="en-US" w:bidi="ar-SA"/>
              </w:rPr>
              <w:tab/>
            </w:r>
            <w:r w:rsidRPr="000F381F">
              <w:rPr>
                <w:rStyle w:val="Hyperlink"/>
                <w:noProof/>
              </w:rPr>
              <w:t>TEORIJSKE OSNOVE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F3" w:rsidRDefault="00C122F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shd w:val="clear" w:color="auto" w:fill="auto"/>
              <w:lang w:eastAsia="en-US" w:bidi="ar-SA"/>
            </w:rPr>
          </w:pPr>
          <w:hyperlink w:anchor="_Toc529808643" w:history="1">
            <w:r w:rsidRPr="000F381F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shd w:val="clear" w:color="auto" w:fill="auto"/>
                <w:lang w:eastAsia="en-US" w:bidi="ar-SA"/>
              </w:rPr>
              <w:tab/>
            </w:r>
            <w:r w:rsidRPr="000F381F">
              <w:rPr>
                <w:rStyle w:val="Hyperlink"/>
                <w:rFonts w:eastAsia="Times New Roman"/>
                <w:noProof/>
              </w:rPr>
              <w:t>DIZAJN IMPLEMENTIRANOG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F3" w:rsidRDefault="00C122F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shd w:val="clear" w:color="auto" w:fill="auto"/>
              <w:lang w:eastAsia="en-US" w:bidi="ar-SA"/>
            </w:rPr>
          </w:pPr>
          <w:hyperlink w:anchor="_Toc529808644" w:history="1">
            <w:r w:rsidRPr="000F381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shd w:val="clear" w:color="auto" w:fill="auto"/>
                <w:lang w:eastAsia="en-US" w:bidi="ar-SA"/>
              </w:rPr>
              <w:tab/>
            </w:r>
            <w:r w:rsidRPr="000F381F">
              <w:rPr>
                <w:rStyle w:val="Hyperlink"/>
                <w:noProof/>
              </w:rPr>
              <w:t>TESTIRANJE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F3" w:rsidRDefault="00C122F3">
          <w:r>
            <w:fldChar w:fldCharType="end"/>
          </w:r>
        </w:p>
      </w:sdtContent>
    </w:sdt>
    <w:p w:rsidR="00C122F3" w:rsidRDefault="00C122F3" w:rsidP="00B23262">
      <w:pPr>
        <w:spacing w:after="0"/>
        <w:jc w:val="center"/>
      </w:pPr>
    </w:p>
    <w:p w:rsidR="00403B22" w:rsidRDefault="00403B22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403B22" w:rsidRDefault="007772AB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:rsidR="00403B22" w:rsidRDefault="007772AB">
      <w:pPr>
        <w:pStyle w:val="Heading1"/>
        <w:ind w:left="449" w:right="180" w:hanging="449"/>
      </w:pPr>
      <w:bookmarkStart w:id="0" w:name="__RefHeading___Toc209_3190288126"/>
      <w:bookmarkEnd w:id="0"/>
      <w:r>
        <w:lastRenderedPageBreak/>
        <w:t xml:space="preserve"> </w:t>
      </w:r>
      <w:bookmarkStart w:id="1" w:name="_Toc529808641"/>
      <w:r>
        <w:t>OPIS REŠAVANOG PROBLEMA</w:t>
      </w:r>
      <w:bookmarkEnd w:id="1"/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31CC2" w:rsidRDefault="00B23262" w:rsidP="00C36970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Implementacija servisa koji ima ulogu Malware Scanning alata (</w:t>
      </w:r>
      <w:r w:rsidRPr="00B232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MST komponenta po svom pokretanju </w:t>
      </w:r>
      <w:r w:rsidR="00A753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kreira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posebnu nit koja periodično (svakih N sekundi koje se podešavaju u konfiguraciji)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B232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lazi kroz listu trenutno aktivnih procesa i proverava imali nedozvoljenih. Nedozvoljeni procesi se definišu  u </w:t>
      </w:r>
      <w:r w:rsidR="00831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unapred popunjenoj listi (Backlist.xml konfiguraciji) kao proces pokrenut pod određenim korisničkim nalogom ili nalogom koji pripada odredjenoj korisničkoj grupi.</w:t>
      </w:r>
    </w:p>
    <w:p w:rsidR="00831CC2" w:rsidRDefault="00831CC2" w:rsidP="00C36970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23262" w:rsidRDefault="00831CC2" w:rsidP="00C36970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MST komunicira sa sistemom za prevenciju napada – Intrusion Prevention System (</w:t>
      </w:r>
      <w:r w:rsidRPr="00831C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preko sertifikata. MST komponenta ima zadatak</w:t>
      </w:r>
      <w:r w:rsidR="00901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po detekciji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neo</w:t>
      </w:r>
      <w:r w:rsidR="00901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vlašćeno pokrenutog procesa po</w:t>
      </w:r>
      <w:r w:rsidR="00901D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šalje alarm IPS komponenti. IPS</w:t>
      </w:r>
      <w:r w:rsidR="00901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komponenta evidentira nivo kritičnosti prijavljenih procesa i vreme </w:t>
      </w:r>
      <w:r w:rsidR="00501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detekcije</w:t>
      </w:r>
      <w:r w:rsidR="003353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Nivoi kritičnosti su: </w:t>
      </w:r>
      <w:r w:rsidR="00501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INFORMATION, WARNING i CRITICAL. </w:t>
      </w:r>
      <w:proofErr w:type="gramStart"/>
      <w:r w:rsidR="00501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Kada </w:t>
      </w:r>
      <w:r w:rsidR="00E9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</w:t>
      </w:r>
      <w:r w:rsidR="00501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dostigne nivo kritičnosti CRITICAL, IPS komponeta šalje zahtev za gašenje </w:t>
      </w:r>
      <w:proofErr w:type="spellStart"/>
      <w:r w:rsidR="00501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tog</w:t>
      </w:r>
      <w:proofErr w:type="spellEnd"/>
      <w:r w:rsidR="00501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procesa MST komponenti</w:t>
      </w:r>
      <w:r w:rsidR="005B4B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205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205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MST i IPS </w:t>
      </w:r>
      <w:proofErr w:type="spellStart"/>
      <w:r w:rsidR="00205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komponente</w:t>
      </w:r>
      <w:proofErr w:type="spellEnd"/>
      <w:r w:rsidR="00205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05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komuniciraju</w:t>
      </w:r>
      <w:proofErr w:type="spellEnd"/>
      <w:r w:rsidR="00205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preko sertifikata.</w:t>
      </w:r>
      <w:proofErr w:type="gramEnd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Svaka</w:t>
      </w:r>
      <w:proofErr w:type="spellEnd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promena</w:t>
      </w:r>
      <w:proofErr w:type="spellEnd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nivoa</w:t>
      </w:r>
      <w:proofErr w:type="spellEnd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kritičnosti se </w:t>
      </w:r>
      <w:proofErr w:type="spellStart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beleži</w:t>
      </w:r>
      <w:proofErr w:type="spellEnd"/>
      <w:r w:rsidR="00920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 Windows Event Log-u.</w:t>
      </w:r>
      <w:proofErr w:type="gramEnd"/>
    </w:p>
    <w:p w:rsidR="00920003" w:rsidRDefault="00920003" w:rsidP="00C36970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03B22" w:rsidRPr="00EA12C2" w:rsidRDefault="00920003" w:rsidP="00C36970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Obezbeđuje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provera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integriteta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blacklist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konfiguracije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svaka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ručna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izmena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nevalidnu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autorizovanim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pozivom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MST servisa je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moguće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napraviti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izmenu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772AB">
        <w:br w:type="page"/>
      </w:r>
    </w:p>
    <w:p w:rsidR="00403B22" w:rsidRDefault="007772AB">
      <w:pPr>
        <w:pStyle w:val="Heading1"/>
        <w:ind w:left="449" w:right="180" w:hanging="449"/>
      </w:pPr>
      <w:bookmarkStart w:id="2" w:name="__RefHeading___Toc211_3190288126"/>
      <w:bookmarkStart w:id="3" w:name="_Toc529808642"/>
      <w:bookmarkEnd w:id="2"/>
      <w:r>
        <w:lastRenderedPageBreak/>
        <w:t>TEORIJSKE OSNOVE</w:t>
      </w:r>
      <w:bookmarkEnd w:id="3"/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DB2535" w:rsidRDefault="00DB2535" w:rsidP="00C2739C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izradu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korišćeni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sledeći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bezbedonosni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mehanizmi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:</w:t>
      </w:r>
    </w:p>
    <w:p w:rsidR="00DB2535" w:rsidRDefault="00DB2535" w:rsidP="00C2739C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WCF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komunikacija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preko sertifikata</w:t>
      </w:r>
    </w:p>
    <w:p w:rsidR="00336698" w:rsidRPr="00336698" w:rsidRDefault="00DB2535" w:rsidP="00336698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Provera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</w:t>
      </w:r>
      <w:r w:rsidR="005327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tegriteta</w:t>
      </w:r>
      <w:proofErr w:type="spellEnd"/>
      <w:r w:rsidR="005327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blacklist </w:t>
      </w:r>
      <w:proofErr w:type="spellStart"/>
      <w:r w:rsidR="005327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konfiguracionog</w:t>
      </w:r>
      <w:proofErr w:type="spellEnd"/>
      <w:r w:rsidR="005327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5327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fajla</w:t>
      </w:r>
      <w:proofErr w:type="spellEnd"/>
    </w:p>
    <w:p w:rsidR="00C36970" w:rsidRDefault="00532711" w:rsidP="007646D5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/>
        </w:rPr>
        <w:t>š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konfigurabilnost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adrese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nazivi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 i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.)</w:t>
      </w:r>
    </w:p>
    <w:p w:rsidR="007646D5" w:rsidRPr="007646D5" w:rsidRDefault="007646D5" w:rsidP="00074AE7">
      <w:pPr>
        <w:pStyle w:val="ListParagraph"/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182194" w:rsidRDefault="00182194" w:rsidP="00182194">
      <w:pPr>
        <w:pStyle w:val="ListParagraph"/>
        <w:spacing w:after="240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WCF </w:t>
      </w:r>
      <w:proofErr w:type="spellStart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komunikacija</w:t>
      </w:r>
      <w:proofErr w:type="spellEnd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preko sertifikata</w:t>
      </w:r>
    </w:p>
    <w:p w:rsidR="00182194" w:rsidRPr="00182194" w:rsidRDefault="00182194" w:rsidP="00182194">
      <w:pPr>
        <w:pStyle w:val="ListParagraph"/>
        <w:spacing w:after="240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</w:p>
    <w:p w:rsidR="00C36970" w:rsidRDefault="00C36970" w:rsidP="00C2739C">
      <w:pPr>
        <w:pStyle w:val="ListParagraph"/>
        <w:spacing w:after="240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Kako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bi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obezbedila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adekvatna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autentifikacija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učesnika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komunikaciji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MST i IPS komponenti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korišćeni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sertifikati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RootCert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MSTCert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IPSCert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F15026" w:rsidRDefault="00F15026" w:rsidP="00C2739C">
      <w:pPr>
        <w:pStyle w:val="ListParagraph"/>
        <w:spacing w:after="240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845B85" w:rsidRPr="00845B85" w:rsidRDefault="00C36970" w:rsidP="00C2739C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proofErr w:type="spellStart"/>
      <w:r w:rsidRPr="00C3697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RootCert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–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sastoji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proofErr w:type="gram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od</w:t>
      </w:r>
      <w:proofErr w:type="spellEnd"/>
      <w:proofErr w:type="gram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privatnog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javnog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dela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 (RootCert.pvk i RootCert.cer)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predstavlja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samopotpisani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sertifikat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čiji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javni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instalira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u </w:t>
      </w:r>
      <w:r w:rsidRPr="00C3697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Trusted Root Certification Authorities</w:t>
      </w:r>
      <w:r w:rsidR="00256AA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(TRCA)</w:t>
      </w:r>
      <w:r w:rsidR="00845B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folderu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svim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računrima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gde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je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potrebno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obezbediti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komunikaciju</w:t>
      </w:r>
      <w:proofErr w:type="spellEnd"/>
      <w:r w:rsidR="00845B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preko sertifikata.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Ostali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sertifikati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potpisuju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njegovim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privatnim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klju</w:t>
      </w:r>
      <w:proofErr w:type="spellEnd"/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/>
        </w:rPr>
        <w:t xml:space="preserve">čem, dok komponete koje komuniciraju proveravaju verodostojnost sertifikata preko kojih se ostvaruje komunikacija pomoću javnog dela RootCert-a koji imaju instaliran u </w:t>
      </w:r>
      <w:r w:rsidR="00F15026" w:rsidRPr="00F1502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/>
        </w:rPr>
        <w:t>TRCA</w:t>
      </w:r>
      <w:r w:rsidR="00F1502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/>
        </w:rPr>
        <w:t xml:space="preserve"> folderu</w:t>
      </w:r>
      <w:r w:rsidR="00BC68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/>
        </w:rPr>
        <w:t xml:space="preserve"> (primenjujući </w:t>
      </w:r>
      <w:proofErr w:type="spellStart"/>
      <w:r w:rsidR="00BC68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ChainTrust</w:t>
      </w:r>
      <w:proofErr w:type="spellEnd"/>
      <w:r w:rsidR="00BC68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BC68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princip</w:t>
      </w:r>
      <w:proofErr w:type="spellEnd"/>
      <w:r w:rsidR="00BC68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/>
        </w:rPr>
        <w:t>).</w:t>
      </w:r>
    </w:p>
    <w:p w:rsidR="00845B85" w:rsidRPr="00845B85" w:rsidRDefault="00845B85" w:rsidP="00C2739C">
      <w:pPr>
        <w:pStyle w:val="ListParagraph"/>
        <w:spacing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36970" w:rsidRPr="000C0EA7" w:rsidRDefault="00845B85" w:rsidP="00C2739C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MSTCert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sastoji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od</w:t>
      </w:r>
      <w:proofErr w:type="spellEnd"/>
      <w:proofErr w:type="gram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privatnog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javnog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dela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 </w:t>
      </w:r>
      <w:r w:rsidR="0051043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MST sertifikata </w:t>
      </w:r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MSTCert.pvk i MSTCert.cer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faljova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).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Mašina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kojoj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pokreće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MST komponenta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imaće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instaliran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MSTCert.pfx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fajl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(koji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predstavlja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privatni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javni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sertifikata) u svom </w:t>
      </w:r>
      <w:proofErr w:type="gramStart"/>
      <w:r w:rsidR="00787583" w:rsidRPr="0078758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Personal</w:t>
      </w:r>
      <w:r w:rsidR="0078758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</w:t>
      </w:r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folderu</w:t>
      </w:r>
      <w:proofErr w:type="spellEnd"/>
      <w:proofErr w:type="gram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Mašina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proofErr w:type="gram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</w:t>
      </w:r>
      <w:proofErr w:type="spellEnd"/>
      <w:proofErr w:type="gram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kojoj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porkeće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IPS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koponenta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imaće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instaliran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MST</w:t>
      </w:r>
      <w:r w:rsidR="00E1646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Cert</w:t>
      </w:r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.cer (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samo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javni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 w:rsidR="0078758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sertifikata) u svom </w:t>
      </w:r>
      <w:r w:rsidR="00787583" w:rsidRPr="0078758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Trusted People</w:t>
      </w:r>
      <w:r w:rsidR="000C0E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0C0EA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folderu</w:t>
      </w:r>
      <w:proofErr w:type="spellEnd"/>
      <w:r w:rsidR="000C0EA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0C0EA7" w:rsidRPr="000C0EA7" w:rsidRDefault="000C0EA7" w:rsidP="00C2739C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C0EA7" w:rsidRPr="00F15026" w:rsidRDefault="000C0EA7" w:rsidP="00C2739C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IPSCert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sastoji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privatnog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javnog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 IPS sertifikata (IPSCert.pvk i </w:t>
      </w:r>
      <w:r w:rsidR="0054469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IPSCert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.cer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faljova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Mašina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pokreće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4A6A0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komponenta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imaće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instaliran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54469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IPSCert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.pfx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fajl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(koji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predstavlja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sertifikata) u svom </w:t>
      </w:r>
      <w:proofErr w:type="gramStart"/>
      <w:r w:rsidRPr="0078758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Personal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folderu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Mašina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porkeće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34402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koponenta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imaće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instaliran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B907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IPS</w:t>
      </w:r>
      <w:r w:rsidR="00E1646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Cert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.cer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samo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sertifikata) u svom </w:t>
      </w:r>
      <w:r w:rsidRPr="0078758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Trusted People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folderu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F15026" w:rsidRPr="00F15026" w:rsidRDefault="00F15026" w:rsidP="00F15026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F15026" w:rsidRDefault="00F15026" w:rsidP="00F15026">
      <w:pPr>
        <w:pStyle w:val="ListParagraph"/>
        <w:spacing w:after="240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primeru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komunikacije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MST komponenta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predstavlja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klijenta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IPS komponenta server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upotreba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 je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sledeća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: </w:t>
      </w:r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MST-u je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od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značaja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IPS-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ov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javni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sertifiakta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a IPS-u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njegov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privatni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sadržan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u .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pfx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fajlu</w:t>
      </w:r>
      <w:proofErr w:type="spellEnd"/>
      <w:r w:rsidR="009C578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9C578F" w:rsidRPr="00F15026" w:rsidRDefault="009C578F" w:rsidP="00F15026">
      <w:pPr>
        <w:pStyle w:val="ListParagraph"/>
        <w:spacing w:after="240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9C578F" w:rsidRPr="00F15026" w:rsidRDefault="009C578F" w:rsidP="009C578F">
      <w:pPr>
        <w:pStyle w:val="ListParagraph"/>
        <w:spacing w:after="240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primeru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komunikacije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IPS komponenta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predstavlja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klijenta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a MST komponenta server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upotreba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sertifikata je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sledeća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: IPS-u je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značaja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MST-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javni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sertifiakta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a MST-u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njegov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privatni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sadržan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u 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pfx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fajlu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9C578F" w:rsidRDefault="009C578F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2194" w:rsidRPr="00182194" w:rsidRDefault="00182194" w:rsidP="00182194">
      <w:pPr>
        <w:spacing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Provera</w:t>
      </w:r>
      <w:proofErr w:type="spellEnd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</w:t>
      </w:r>
      <w:proofErr w:type="spellStart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integriteta</w:t>
      </w:r>
      <w:proofErr w:type="spellEnd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blacklist </w:t>
      </w:r>
      <w:proofErr w:type="spellStart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konfiguracionog</w:t>
      </w:r>
      <w:proofErr w:type="spellEnd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</w:t>
      </w:r>
      <w:proofErr w:type="spellStart"/>
      <w:r w:rsidRPr="001821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fajla</w:t>
      </w:r>
      <w:proofErr w:type="spellEnd"/>
    </w:p>
    <w:p w:rsidR="00336698" w:rsidRDefault="00336698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Upotrebom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ugrađene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.NET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GetHashCode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izračunava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vrednost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konfiguracionog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koja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upisuje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lokalnu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promenljivu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Prilikom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čitanja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blacklist.xml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ili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zahtev,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vrednost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izračunava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način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poredi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vrednošću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sačuvanoj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lokalnoj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promenljivoj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ručno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(neovlašćeno)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izmeni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konfiguracioni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prilikom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narednog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pristupa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provera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pokazati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je .xml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korumpiran</w:t>
      </w:r>
      <w:proofErr w:type="spellEnd"/>
      <w:r w:rsidR="00012B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12BD5" w:rsidRDefault="00012BD5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12BD5" w:rsidRPr="00012BD5" w:rsidRDefault="00012BD5">
      <w:pPr>
        <w:spacing w:after="0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012BD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Opšta</w:t>
      </w:r>
      <w:proofErr w:type="spellEnd"/>
      <w:r w:rsidRPr="00012BD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012BD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konfigurabilnost</w:t>
      </w:r>
      <w:proofErr w:type="spellEnd"/>
    </w:p>
    <w:p w:rsidR="00336698" w:rsidRDefault="00336698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31CC2" w:rsidRPr="00336698" w:rsidRDefault="00DE4C17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osetljivi</w:t>
      </w:r>
      <w:proofErr w:type="spellEnd"/>
      <w:r w:rsidR="00064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parametri</w:t>
      </w:r>
      <w:proofErr w:type="spellEnd"/>
      <w:r w:rsidR="00064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064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adrese</w:t>
      </w:r>
      <w:proofErr w:type="spellEnd"/>
      <w:r w:rsidR="00064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64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nazivi</w:t>
      </w:r>
      <w:proofErr w:type="spellEnd"/>
      <w:r w:rsidR="00064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sertifikata i sl.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se ne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nalaze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zakodirani</w:t>
      </w:r>
      <w:proofErr w:type="spellEnd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 .</w:t>
      </w:r>
      <w:proofErr w:type="spellStart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fajlovima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izdvojeni</w:t>
      </w:r>
      <w:proofErr w:type="spellEnd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App.config</w:t>
      </w:r>
      <w:proofErr w:type="spellEnd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fajlove</w:t>
      </w:r>
      <w:proofErr w:type="spellEnd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odakle</w:t>
      </w:r>
      <w:proofErr w:type="spellEnd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ištitavaju</w:t>
      </w:r>
      <w:proofErr w:type="spellEnd"/>
      <w:r w:rsidR="008C4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Pored toga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olakašava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izmena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paramatera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obezbeđuje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njihova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zaštita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malicozne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Sadršaj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fajlova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moguće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dodatno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zaštititi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336698" w:rsidRDefault="00336698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403B22" w:rsidRDefault="007772AB">
      <w:pPr>
        <w:spacing w:after="0"/>
        <w:jc w:val="left"/>
      </w:pPr>
      <w:r>
        <w:br w:type="page"/>
      </w:r>
    </w:p>
    <w:p w:rsidR="00403B22" w:rsidRDefault="007772AB">
      <w:pPr>
        <w:pStyle w:val="Heading1"/>
        <w:ind w:left="449" w:right="180" w:hanging="449"/>
        <w:rPr>
          <w:rFonts w:eastAsia="Times New Roman"/>
        </w:rPr>
      </w:pPr>
      <w:bookmarkStart w:id="4" w:name="__RefHeading___Toc321_3190288126"/>
      <w:bookmarkStart w:id="5" w:name="_Toc529808643"/>
      <w:bookmarkEnd w:id="4"/>
      <w:r>
        <w:rPr>
          <w:rFonts w:eastAsia="Times New Roman"/>
        </w:rPr>
        <w:lastRenderedPageBreak/>
        <w:t>DIZAJN IMPLEMENTIRANOG SISTEMA</w:t>
      </w:r>
      <w:bookmarkEnd w:id="5"/>
    </w:p>
    <w:p w:rsidR="00403B22" w:rsidRDefault="00403B22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31CC2" w:rsidRPr="001B7C0E" w:rsidRDefault="00875089">
      <w:pPr>
        <w:spacing w:before="120" w:after="0"/>
        <w:ind w:right="142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proofErr w:type="spellStart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Komunikacija</w:t>
      </w:r>
      <w:proofErr w:type="spell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MST (</w:t>
      </w:r>
      <w:proofErr w:type="spellStart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klijent</w:t>
      </w:r>
      <w:proofErr w:type="spell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), IPS (server)</w:t>
      </w:r>
    </w:p>
    <w:p w:rsidR="00875089" w:rsidRDefault="00875089" w:rsidP="004D0B29">
      <w:pPr>
        <w:spacing w:before="120" w:after="0"/>
        <w:ind w:right="142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6181725" cy="2352675"/>
            <wp:effectExtent l="19050" t="0" r="9525" b="0"/>
            <wp:docPr id="7" name="Picture 6" descr="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45" cy="23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89" w:rsidRDefault="00875089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prilošenoj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IPS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izlaže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implementiranu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metodu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IIPS_Service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-a. U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okviru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te</w:t>
      </w:r>
      <w:proofErr w:type="spellEnd"/>
      <w:proofErr w:type="gram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metode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evidentira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maliciozni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osnovu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prosleđenih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parametara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userID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processed,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processName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timeOfDetection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Kao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što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opisano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odeljku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1, po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prelasku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oređenog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procesa u CRITICAL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stanje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formira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zahtev za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njegovo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gašenje, koji je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enkapsuliran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metodom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ProccessShutdown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MST_Client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klase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čije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zaduženje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inicijalizuje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WCF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komunikacioni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>kanal</w:t>
      </w:r>
      <w:proofErr w:type="spellEnd"/>
      <w:r w:rsidR="004D0B2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ka MST komponenti.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875089" w:rsidRDefault="00875089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75089" w:rsidRPr="001B7C0E" w:rsidRDefault="00875089">
      <w:pPr>
        <w:spacing w:before="120" w:after="0"/>
        <w:ind w:right="142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proofErr w:type="spellStart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lastRenderedPageBreak/>
        <w:t>Komunikacija</w:t>
      </w:r>
      <w:proofErr w:type="spell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</w:t>
      </w:r>
      <w:proofErr w:type="gramStart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IPS(</w:t>
      </w:r>
      <w:proofErr w:type="spellStart"/>
      <w:proofErr w:type="gram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klijent</w:t>
      </w:r>
      <w:proofErr w:type="spell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), MST(</w:t>
      </w:r>
      <w:proofErr w:type="spellStart"/>
      <w:r w:rsidR="00102B16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mst_</w:t>
      </w:r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server</w:t>
      </w:r>
      <w:proofErr w:type="spell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)</w:t>
      </w:r>
    </w:p>
    <w:p w:rsidR="00875089" w:rsidRDefault="00875089" w:rsidP="00875089">
      <w:pPr>
        <w:spacing w:before="120" w:after="0"/>
        <w:ind w:right="142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5908898" cy="3305175"/>
            <wp:effectExtent l="19050" t="0" r="0" b="0"/>
            <wp:docPr id="8" name="Picture 7" descr="MST_communication_to_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T_communication_to_ip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143" cy="3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0" w:rsidRDefault="006A69E0" w:rsidP="006A69E0">
      <w:pPr>
        <w:spacing w:before="120" w:after="0"/>
        <w:ind w:right="142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prilošenoj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MST_Server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izlaže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implementiranu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metodu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IMST_Service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-a.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okviru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proces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naznačenim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processID-jem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Kao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odeljku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1, po detekciji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malicioznog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aktivnim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procesima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periodično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upoređuju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opisom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malicioznih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blacklist-e)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zahtev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njegovim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evidentiranjem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koji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enkapsuliran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metodom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MalwareDetection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IPS_Client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čije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zaduženje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inicijalizuje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WCF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komunikacioni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ka IPS komponenti. </w:t>
      </w:r>
    </w:p>
    <w:p w:rsidR="006A69E0" w:rsidRDefault="006A69E0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IPS i MST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komponente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komuniciraju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preko WCF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kanala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korišćenje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sertifikata, kao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objašnjeno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odeljku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2.</w:t>
      </w:r>
      <w:proofErr w:type="gramEnd"/>
    </w:p>
    <w:p w:rsidR="006A69E0" w:rsidRDefault="006A69E0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70C82" w:rsidRDefault="00D70C82" w:rsidP="00D70C82">
      <w:pPr>
        <w:spacing w:before="120" w:after="0"/>
        <w:ind w:right="142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lastRenderedPageBreak/>
        <w:t>Komunikacija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</w:t>
      </w:r>
      <w:proofErr w:type="gramStart"/>
      <w:r w:rsidR="00102B16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Client</w:t>
      </w:r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(</w:t>
      </w:r>
      <w:proofErr w:type="spellStart"/>
      <w:proofErr w:type="gramEnd"/>
      <w:r w:rsidR="00A460C8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xml_</w:t>
      </w:r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klijent</w:t>
      </w:r>
      <w:proofErr w:type="spell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), MST(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xml_</w:t>
      </w:r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server</w:t>
      </w:r>
      <w:proofErr w:type="spellEnd"/>
      <w:r w:rsidRPr="001B7C0E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)</w:t>
      </w:r>
    </w:p>
    <w:p w:rsidR="00D335F3" w:rsidRDefault="00D335F3" w:rsidP="00D70C82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Na MST komponenti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podiže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host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izlaže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IXMLConfiguration_Service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interfejsa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D335F3" w:rsidRPr="00D335F3" w:rsidRDefault="00D335F3" w:rsidP="00D70C82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koje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obezbeđuju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validne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izmene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blacklist</w:t>
      </w:r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xml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fajla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Client komponenta </w:t>
      </w:r>
      <w:proofErr w:type="spellStart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obezbeđuje</w:t>
      </w:r>
      <w:proofErr w:type="spell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jednostavan</w:t>
      </w:r>
      <w:proofErr w:type="spell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console </w:t>
      </w:r>
      <w:proofErr w:type="spellStart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meni</w:t>
      </w:r>
      <w:proofErr w:type="spell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za </w:t>
      </w:r>
      <w:proofErr w:type="spellStart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izbor</w:t>
      </w:r>
      <w:proofErr w:type="spell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izmena</w:t>
      </w:r>
      <w:proofErr w:type="spell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proofErr w:type="gram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xml </w:t>
      </w:r>
      <w:proofErr w:type="spellStart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fajlu</w:t>
      </w:r>
      <w:proofErr w:type="spellEnd"/>
      <w:r w:rsidR="00B00F1E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Ova </w:t>
      </w:r>
      <w:proofErr w:type="spellStart"/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>komunikacija</w:t>
      </w:r>
      <w:proofErr w:type="spellEnd"/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ka MST </w:t>
      </w:r>
      <w:proofErr w:type="spellStart"/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>skomponenti</w:t>
      </w:r>
      <w:proofErr w:type="spellEnd"/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ne </w:t>
      </w:r>
      <w:proofErr w:type="spellStart"/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>realizuje</w:t>
      </w:r>
      <w:proofErr w:type="spellEnd"/>
      <w:r w:rsidR="00D948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preko sertifikata.</w:t>
      </w:r>
      <w:proofErr w:type="gramEnd"/>
    </w:p>
    <w:p w:rsidR="00D70C82" w:rsidRDefault="00D70C82" w:rsidP="00D70C82">
      <w:pPr>
        <w:spacing w:before="120" w:after="0"/>
        <w:ind w:right="142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en-US" w:bidi="ar-SA"/>
        </w:rPr>
        <w:drawing>
          <wp:inline distT="0" distB="0" distL="0" distR="0">
            <wp:extent cx="5895975" cy="3657896"/>
            <wp:effectExtent l="19050" t="0" r="9525" b="0"/>
            <wp:docPr id="9" name="Picture 8" descr="XML_Client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_Client_Serv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52" cy="36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3" w:rsidRDefault="00D94833" w:rsidP="00D94833">
      <w:pPr>
        <w:spacing w:before="120" w:after="0"/>
        <w:ind w:right="142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94833" w:rsidRPr="00D94833" w:rsidRDefault="00D94833" w:rsidP="00D94833">
      <w:pPr>
        <w:spacing w:before="120" w:after="0"/>
        <w:ind w:right="142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prilože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D94833">
        <w:rPr>
          <w:rFonts w:ascii="Times New Roman" w:eastAsia="Times New Roman" w:hAnsi="Times New Roman" w:cs="Times New Roman"/>
          <w:sz w:val="24"/>
          <w:szCs w:val="24"/>
        </w:rPr>
        <w:t>SBES1819_MST.EAP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uzimani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prilozeni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screenshot-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  <w:proofErr w:type="gramEnd"/>
    </w:p>
    <w:p w:rsidR="006A69E0" w:rsidRDefault="006A69E0" w:rsidP="006A69E0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03B22" w:rsidRDefault="007772AB">
      <w:r>
        <w:br w:type="page"/>
      </w:r>
    </w:p>
    <w:p w:rsidR="00403B22" w:rsidRDefault="007772AB">
      <w:pPr>
        <w:pStyle w:val="Heading1"/>
        <w:ind w:left="449" w:right="180" w:hanging="449"/>
      </w:pPr>
      <w:bookmarkStart w:id="6" w:name="__RefHeading___Toc215_3190288126"/>
      <w:bookmarkStart w:id="7" w:name="_Toc529808644"/>
      <w:bookmarkEnd w:id="6"/>
      <w:r>
        <w:lastRenderedPageBreak/>
        <w:t>TESTIRANJE SISTEMA</w:t>
      </w:r>
      <w:bookmarkEnd w:id="7"/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7D30" w:rsidRDefault="00875089" w:rsidP="00197D30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dokaz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validnosti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rešenja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korišćeni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sledeći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slučajev</w:t>
      </w:r>
      <w:r w:rsidR="000B7B7B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="000B7B7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:rsidR="00197D30" w:rsidRDefault="00197D30" w:rsidP="00197D30">
      <w:pPr>
        <w:pStyle w:val="ListParagraph"/>
        <w:numPr>
          <w:ilvl w:val="0"/>
          <w:numId w:val="6"/>
        </w:num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Pokretanje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black list-i</w:t>
      </w:r>
    </w:p>
    <w:p w:rsidR="00197D30" w:rsidRDefault="00197D30" w:rsidP="00197D30">
      <w:pPr>
        <w:pStyle w:val="ListParagraph"/>
        <w:numPr>
          <w:ilvl w:val="0"/>
          <w:numId w:val="6"/>
        </w:num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Pokretanje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koji je u grupi koja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black list-i</w:t>
      </w:r>
    </w:p>
    <w:p w:rsidR="00197D30" w:rsidRDefault="00197D30" w:rsidP="00197D30">
      <w:pPr>
        <w:pStyle w:val="ListParagraph"/>
        <w:numPr>
          <w:ilvl w:val="0"/>
          <w:numId w:val="6"/>
        </w:num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Pokretanje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određenog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određene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kombinacija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 black list-i</w:t>
      </w:r>
    </w:p>
    <w:p w:rsidR="00197D30" w:rsidRDefault="00197D30" w:rsidP="00197D30">
      <w:pPr>
        <w:pStyle w:val="ListParagraph"/>
        <w:numPr>
          <w:ilvl w:val="0"/>
          <w:numId w:val="6"/>
        </w:num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Ručna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black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validnosti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zahtev </w:t>
      </w:r>
    </w:p>
    <w:p w:rsidR="006A69E0" w:rsidRDefault="006A69E0" w:rsidP="006A69E0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69E0" w:rsidRDefault="006A69E0" w:rsidP="006A69E0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gubeći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opštosti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prilikom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testiranja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koristiće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program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pokreću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jedan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složeni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pokreću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procesa koji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kasnije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zatvarati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određenom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redosledu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poznat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6A69E0" w:rsidRPr="006A69E0" w:rsidRDefault="006A69E0" w:rsidP="006A69E0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03B22" w:rsidRDefault="007772AB">
      <w:pPr>
        <w:spacing w:after="0"/>
        <w:ind w:firstLine="112"/>
        <w:jc w:val="left"/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Prikaz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rezultata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testiranja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Očekuju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prikazi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pozitivnih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negativnih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npr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neuspešna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autentifikacija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neuspešna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autorizacija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itd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.) test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403B22" w:rsidRDefault="00403B22">
      <w:pPr>
        <w:spacing w:after="0"/>
        <w:ind w:left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403B22" w:rsidSect="00F15026">
      <w:headerReference w:type="default" r:id="rId13"/>
      <w:footerReference w:type="default" r:id="rId14"/>
      <w:headerReference w:type="first" r:id="rId15"/>
      <w:pgSz w:w="11906" w:h="16838"/>
      <w:pgMar w:top="1440" w:right="1080" w:bottom="1440" w:left="1080" w:header="567" w:footer="0" w:gutter="0"/>
      <w:pgNumType w:start="54"/>
      <w:cols w:space="720"/>
      <w:formProt w:val="0"/>
      <w:titlePg/>
      <w:docGrid w:linePitch="381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D0C" w:rsidRDefault="00890D0C" w:rsidP="00403B22">
      <w:pPr>
        <w:spacing w:after="0"/>
      </w:pPr>
      <w:r>
        <w:separator/>
      </w:r>
    </w:p>
  </w:endnote>
  <w:endnote w:type="continuationSeparator" w:id="0">
    <w:p w:rsidR="00890D0C" w:rsidRDefault="00890D0C" w:rsidP="00403B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53537"/>
      <w:docPartObj>
        <w:docPartGallery w:val="Page Numbers (Bottom of Page)"/>
        <w:docPartUnique/>
      </w:docPartObj>
    </w:sdtPr>
    <w:sdtContent>
      <w:p w:rsidR="00C122F3" w:rsidRDefault="00C122F3">
        <w:pPr>
          <w:pStyle w:val="Footer"/>
          <w:jc w:val="center"/>
        </w:pPr>
      </w:p>
    </w:sdtContent>
  </w:sdt>
  <w:p w:rsidR="00C122F3" w:rsidRDefault="00C122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D0C" w:rsidRDefault="00890D0C" w:rsidP="00403B22">
      <w:pPr>
        <w:spacing w:after="0"/>
      </w:pPr>
      <w:r>
        <w:separator/>
      </w:r>
    </w:p>
  </w:footnote>
  <w:footnote w:type="continuationSeparator" w:id="0">
    <w:p w:rsidR="00890D0C" w:rsidRDefault="00890D0C" w:rsidP="00403B2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B22" w:rsidRDefault="00403B22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B22" w:rsidRDefault="00403B22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403B22" w:rsidRDefault="00403B22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3D10"/>
    <w:multiLevelType w:val="multilevel"/>
    <w:tmpl w:val="881861C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1">
    <w:nsid w:val="55F72489"/>
    <w:multiLevelType w:val="multilevel"/>
    <w:tmpl w:val="FA9865D0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A0E11FC"/>
    <w:multiLevelType w:val="hybridMultilevel"/>
    <w:tmpl w:val="655C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9567A"/>
    <w:multiLevelType w:val="hybridMultilevel"/>
    <w:tmpl w:val="A630EAC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E0C2FC1"/>
    <w:multiLevelType w:val="hybridMultilevel"/>
    <w:tmpl w:val="5DA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62E29"/>
    <w:multiLevelType w:val="hybridMultilevel"/>
    <w:tmpl w:val="2FDA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03B22"/>
    <w:rsid w:val="00012BD5"/>
    <w:rsid w:val="000644A9"/>
    <w:rsid w:val="00074AE7"/>
    <w:rsid w:val="000B7B7B"/>
    <w:rsid w:val="000C0EA7"/>
    <w:rsid w:val="00102B16"/>
    <w:rsid w:val="00182194"/>
    <w:rsid w:val="00197D30"/>
    <w:rsid w:val="001B7C0E"/>
    <w:rsid w:val="0020515E"/>
    <w:rsid w:val="00256AAE"/>
    <w:rsid w:val="003353EF"/>
    <w:rsid w:val="00336698"/>
    <w:rsid w:val="00344027"/>
    <w:rsid w:val="00403B22"/>
    <w:rsid w:val="004A6A09"/>
    <w:rsid w:val="004D0B29"/>
    <w:rsid w:val="005010B2"/>
    <w:rsid w:val="00510432"/>
    <w:rsid w:val="00532711"/>
    <w:rsid w:val="00544699"/>
    <w:rsid w:val="00557290"/>
    <w:rsid w:val="005B4BBE"/>
    <w:rsid w:val="006A69E0"/>
    <w:rsid w:val="00706001"/>
    <w:rsid w:val="007646D5"/>
    <w:rsid w:val="007772AB"/>
    <w:rsid w:val="00787583"/>
    <w:rsid w:val="00831CC2"/>
    <w:rsid w:val="00845B85"/>
    <w:rsid w:val="00875089"/>
    <w:rsid w:val="00890D0C"/>
    <w:rsid w:val="008C4B00"/>
    <w:rsid w:val="00901D5F"/>
    <w:rsid w:val="00920003"/>
    <w:rsid w:val="009C578F"/>
    <w:rsid w:val="009E4FB1"/>
    <w:rsid w:val="00A460C8"/>
    <w:rsid w:val="00A75395"/>
    <w:rsid w:val="00B00F1E"/>
    <w:rsid w:val="00B23262"/>
    <w:rsid w:val="00B90711"/>
    <w:rsid w:val="00B95881"/>
    <w:rsid w:val="00BC6850"/>
    <w:rsid w:val="00C122F3"/>
    <w:rsid w:val="00C2739C"/>
    <w:rsid w:val="00C36970"/>
    <w:rsid w:val="00C8070F"/>
    <w:rsid w:val="00D335F3"/>
    <w:rsid w:val="00D70C82"/>
    <w:rsid w:val="00D94833"/>
    <w:rsid w:val="00DB2535"/>
    <w:rsid w:val="00DE0265"/>
    <w:rsid w:val="00DE4C17"/>
    <w:rsid w:val="00E16463"/>
    <w:rsid w:val="00E92753"/>
    <w:rsid w:val="00EA12C2"/>
    <w:rsid w:val="00F1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22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403B22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403B22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403B22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403B22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403B22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403B22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403B22"/>
  </w:style>
  <w:style w:type="character" w:customStyle="1" w:styleId="WW8Num1z1">
    <w:name w:val="WW8Num1z1"/>
    <w:qFormat/>
    <w:rsid w:val="00403B22"/>
  </w:style>
  <w:style w:type="character" w:customStyle="1" w:styleId="WW8Num1z2">
    <w:name w:val="WW8Num1z2"/>
    <w:qFormat/>
    <w:rsid w:val="00403B22"/>
  </w:style>
  <w:style w:type="character" w:customStyle="1" w:styleId="WW8Num1z3">
    <w:name w:val="WW8Num1z3"/>
    <w:qFormat/>
    <w:rsid w:val="00403B22"/>
  </w:style>
  <w:style w:type="character" w:customStyle="1" w:styleId="WW8Num1z4">
    <w:name w:val="WW8Num1z4"/>
    <w:qFormat/>
    <w:rsid w:val="00403B22"/>
  </w:style>
  <w:style w:type="character" w:customStyle="1" w:styleId="WW8Num1z5">
    <w:name w:val="WW8Num1z5"/>
    <w:qFormat/>
    <w:rsid w:val="00403B22"/>
  </w:style>
  <w:style w:type="character" w:customStyle="1" w:styleId="WW8Num1z6">
    <w:name w:val="WW8Num1z6"/>
    <w:qFormat/>
    <w:rsid w:val="00403B22"/>
  </w:style>
  <w:style w:type="character" w:customStyle="1" w:styleId="WW8Num1z7">
    <w:name w:val="WW8Num1z7"/>
    <w:qFormat/>
    <w:rsid w:val="00403B22"/>
  </w:style>
  <w:style w:type="character" w:customStyle="1" w:styleId="WW8Num1z8">
    <w:name w:val="WW8Num1z8"/>
    <w:qFormat/>
    <w:rsid w:val="00403B22"/>
  </w:style>
  <w:style w:type="character" w:customStyle="1" w:styleId="WW8Num2z0">
    <w:name w:val="WW8Num2z0"/>
    <w:qFormat/>
    <w:rsid w:val="00403B22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403B22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403B22"/>
  </w:style>
  <w:style w:type="character" w:customStyle="1" w:styleId="WW8Num3z1">
    <w:name w:val="WW8Num3z1"/>
    <w:qFormat/>
    <w:rsid w:val="00403B22"/>
  </w:style>
  <w:style w:type="character" w:customStyle="1" w:styleId="WW8Num3z2">
    <w:name w:val="WW8Num3z2"/>
    <w:qFormat/>
    <w:rsid w:val="00403B22"/>
  </w:style>
  <w:style w:type="character" w:customStyle="1" w:styleId="WW8Num3z3">
    <w:name w:val="WW8Num3z3"/>
    <w:qFormat/>
    <w:rsid w:val="00403B22"/>
  </w:style>
  <w:style w:type="character" w:customStyle="1" w:styleId="WW8Num3z4">
    <w:name w:val="WW8Num3z4"/>
    <w:qFormat/>
    <w:rsid w:val="00403B22"/>
  </w:style>
  <w:style w:type="character" w:customStyle="1" w:styleId="WW8Num3z5">
    <w:name w:val="WW8Num3z5"/>
    <w:qFormat/>
    <w:rsid w:val="00403B22"/>
  </w:style>
  <w:style w:type="character" w:customStyle="1" w:styleId="WW8Num3z6">
    <w:name w:val="WW8Num3z6"/>
    <w:qFormat/>
    <w:rsid w:val="00403B22"/>
  </w:style>
  <w:style w:type="character" w:customStyle="1" w:styleId="WW8Num3z7">
    <w:name w:val="WW8Num3z7"/>
    <w:qFormat/>
    <w:rsid w:val="00403B22"/>
  </w:style>
  <w:style w:type="character" w:customStyle="1" w:styleId="WW8Num3z8">
    <w:name w:val="WW8Num3z8"/>
    <w:qFormat/>
    <w:rsid w:val="00403B22"/>
  </w:style>
  <w:style w:type="character" w:customStyle="1" w:styleId="ListLabel1">
    <w:name w:val="ListLabel 1"/>
    <w:qFormat/>
    <w:rsid w:val="00403B22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403B22"/>
    <w:rPr>
      <w:u w:val="none"/>
    </w:rPr>
  </w:style>
  <w:style w:type="character" w:customStyle="1" w:styleId="ListLabel3">
    <w:name w:val="ListLabel 3"/>
    <w:qFormat/>
    <w:rsid w:val="00403B22"/>
    <w:rPr>
      <w:u w:val="none"/>
    </w:rPr>
  </w:style>
  <w:style w:type="character" w:customStyle="1" w:styleId="ListLabel4">
    <w:name w:val="ListLabel 4"/>
    <w:qFormat/>
    <w:rsid w:val="00403B22"/>
    <w:rPr>
      <w:u w:val="none"/>
    </w:rPr>
  </w:style>
  <w:style w:type="character" w:customStyle="1" w:styleId="ListLabel5">
    <w:name w:val="ListLabel 5"/>
    <w:qFormat/>
    <w:rsid w:val="00403B22"/>
    <w:rPr>
      <w:u w:val="none"/>
    </w:rPr>
  </w:style>
  <w:style w:type="character" w:customStyle="1" w:styleId="ListLabel6">
    <w:name w:val="ListLabel 6"/>
    <w:qFormat/>
    <w:rsid w:val="00403B22"/>
    <w:rPr>
      <w:u w:val="none"/>
    </w:rPr>
  </w:style>
  <w:style w:type="character" w:customStyle="1" w:styleId="ListLabel7">
    <w:name w:val="ListLabel 7"/>
    <w:qFormat/>
    <w:rsid w:val="00403B22"/>
    <w:rPr>
      <w:u w:val="none"/>
    </w:rPr>
  </w:style>
  <w:style w:type="character" w:customStyle="1" w:styleId="ListLabel8">
    <w:name w:val="ListLabel 8"/>
    <w:qFormat/>
    <w:rsid w:val="00403B22"/>
    <w:rPr>
      <w:u w:val="none"/>
    </w:rPr>
  </w:style>
  <w:style w:type="character" w:customStyle="1" w:styleId="ListLabel9">
    <w:name w:val="ListLabel 9"/>
    <w:qFormat/>
    <w:rsid w:val="00403B22"/>
    <w:rPr>
      <w:u w:val="none"/>
    </w:rPr>
  </w:style>
  <w:style w:type="character" w:customStyle="1" w:styleId="ListLabel10">
    <w:name w:val="ListLabel 10"/>
    <w:qFormat/>
    <w:rsid w:val="00403B22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403B22"/>
    <w:rPr>
      <w:u w:val="none"/>
    </w:rPr>
  </w:style>
  <w:style w:type="character" w:customStyle="1" w:styleId="ListLabel12">
    <w:name w:val="ListLabel 12"/>
    <w:qFormat/>
    <w:rsid w:val="00403B22"/>
    <w:rPr>
      <w:u w:val="none"/>
    </w:rPr>
  </w:style>
  <w:style w:type="character" w:customStyle="1" w:styleId="ListLabel13">
    <w:name w:val="ListLabel 13"/>
    <w:qFormat/>
    <w:rsid w:val="00403B22"/>
    <w:rPr>
      <w:u w:val="none"/>
    </w:rPr>
  </w:style>
  <w:style w:type="character" w:customStyle="1" w:styleId="ListLabel14">
    <w:name w:val="ListLabel 14"/>
    <w:qFormat/>
    <w:rsid w:val="00403B22"/>
    <w:rPr>
      <w:u w:val="none"/>
    </w:rPr>
  </w:style>
  <w:style w:type="character" w:customStyle="1" w:styleId="ListLabel15">
    <w:name w:val="ListLabel 15"/>
    <w:qFormat/>
    <w:rsid w:val="00403B22"/>
    <w:rPr>
      <w:u w:val="none"/>
    </w:rPr>
  </w:style>
  <w:style w:type="character" w:customStyle="1" w:styleId="ListLabel16">
    <w:name w:val="ListLabel 16"/>
    <w:qFormat/>
    <w:rsid w:val="00403B22"/>
    <w:rPr>
      <w:u w:val="none"/>
    </w:rPr>
  </w:style>
  <w:style w:type="character" w:customStyle="1" w:styleId="ListLabel17">
    <w:name w:val="ListLabel 17"/>
    <w:qFormat/>
    <w:rsid w:val="00403B22"/>
    <w:rPr>
      <w:u w:val="none"/>
    </w:rPr>
  </w:style>
  <w:style w:type="character" w:customStyle="1" w:styleId="ListLabel18">
    <w:name w:val="ListLabel 18"/>
    <w:qFormat/>
    <w:rsid w:val="00403B22"/>
    <w:rPr>
      <w:u w:val="none"/>
    </w:rPr>
  </w:style>
  <w:style w:type="character" w:customStyle="1" w:styleId="NumberingSymbols">
    <w:name w:val="Numbering Symbols"/>
    <w:qFormat/>
    <w:rsid w:val="00403B22"/>
  </w:style>
  <w:style w:type="character" w:customStyle="1" w:styleId="InternetLink">
    <w:name w:val="Internet Link"/>
    <w:rsid w:val="00403B22"/>
    <w:rPr>
      <w:color w:val="000080"/>
      <w:u w:val="single"/>
    </w:rPr>
  </w:style>
  <w:style w:type="character" w:customStyle="1" w:styleId="IndexLink">
    <w:name w:val="Index Link"/>
    <w:qFormat/>
    <w:rsid w:val="00403B22"/>
  </w:style>
  <w:style w:type="paragraph" w:customStyle="1" w:styleId="Heading">
    <w:name w:val="Heading"/>
    <w:basedOn w:val="Normal"/>
    <w:next w:val="BodyText"/>
    <w:qFormat/>
    <w:rsid w:val="00403B22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403B22"/>
    <w:pPr>
      <w:spacing w:after="140" w:line="288" w:lineRule="auto"/>
    </w:pPr>
  </w:style>
  <w:style w:type="paragraph" w:styleId="List">
    <w:name w:val="List"/>
    <w:basedOn w:val="BodyText"/>
    <w:rsid w:val="00403B22"/>
    <w:rPr>
      <w:rFonts w:cs="Lucida Sans"/>
    </w:rPr>
  </w:style>
  <w:style w:type="paragraph" w:styleId="Caption">
    <w:name w:val="caption"/>
    <w:basedOn w:val="Normal"/>
    <w:qFormat/>
    <w:rsid w:val="00403B22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03B22"/>
    <w:pPr>
      <w:suppressLineNumbers/>
    </w:pPr>
    <w:rPr>
      <w:rFonts w:cs="Lucida Sans"/>
    </w:rPr>
  </w:style>
  <w:style w:type="paragraph" w:customStyle="1" w:styleId="LO-normal">
    <w:name w:val="LO-normal"/>
    <w:qFormat/>
    <w:rsid w:val="00403B22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403B2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403B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rsid w:val="00403B22"/>
  </w:style>
  <w:style w:type="paragraph" w:customStyle="1" w:styleId="TableContents">
    <w:name w:val="Table Contents"/>
    <w:basedOn w:val="Normal"/>
    <w:qFormat/>
    <w:rsid w:val="00403B22"/>
    <w:pPr>
      <w:suppressLineNumbers/>
    </w:pPr>
  </w:style>
  <w:style w:type="paragraph" w:customStyle="1" w:styleId="TableHeading">
    <w:name w:val="Table Heading"/>
    <w:basedOn w:val="TableContents"/>
    <w:qFormat/>
    <w:rsid w:val="00403B22"/>
    <w:pPr>
      <w:jc w:val="center"/>
    </w:pPr>
    <w:rPr>
      <w:b/>
      <w:bCs/>
    </w:rPr>
  </w:style>
  <w:style w:type="paragraph" w:styleId="TOAHeading">
    <w:name w:val="toa heading"/>
    <w:basedOn w:val="Heading"/>
    <w:rsid w:val="00403B22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qFormat/>
    <w:rsid w:val="00403B22"/>
    <w:pPr>
      <w:tabs>
        <w:tab w:val="right" w:leader="dot" w:pos="9921"/>
      </w:tabs>
    </w:pPr>
  </w:style>
  <w:style w:type="numbering" w:customStyle="1" w:styleId="WW8Num1">
    <w:name w:val="WW8Num1"/>
    <w:qFormat/>
    <w:rsid w:val="00403B22"/>
  </w:style>
  <w:style w:type="numbering" w:customStyle="1" w:styleId="WW8Num2">
    <w:name w:val="WW8Num2"/>
    <w:qFormat/>
    <w:rsid w:val="00403B22"/>
  </w:style>
  <w:style w:type="paragraph" w:styleId="BalloonText">
    <w:name w:val="Balloon Text"/>
    <w:basedOn w:val="Normal"/>
    <w:link w:val="BalloonTextChar"/>
    <w:uiPriority w:val="99"/>
    <w:semiHidden/>
    <w:unhideWhenUsed/>
    <w:rsid w:val="00C8070F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0F"/>
    <w:rPr>
      <w:rFonts w:ascii="Tahoma" w:eastAsia="Times;Times New Roman" w:hAnsi="Tahoma" w:cs="Mangal"/>
      <w:color w:val="000000"/>
      <w:kern w:val="2"/>
      <w:sz w:val="16"/>
      <w:szCs w:val="14"/>
    </w:rPr>
  </w:style>
  <w:style w:type="paragraph" w:styleId="ListParagraph">
    <w:name w:val="List Paragraph"/>
    <w:basedOn w:val="Normal"/>
    <w:uiPriority w:val="34"/>
    <w:qFormat/>
    <w:rsid w:val="00920003"/>
    <w:pPr>
      <w:ind w:left="720"/>
      <w:contextualSpacing/>
    </w:pPr>
    <w:rPr>
      <w:rFonts w:cs="Mangal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C122F3"/>
    <w:pPr>
      <w:keepLines/>
      <w:numPr>
        <w:numId w:val="0"/>
      </w:numPr>
      <w:suppressAutoHyphens w:val="0"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kern w:val="0"/>
      <w:shd w:val="clear" w:color="auto" w:fill="auto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C122F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22F3"/>
    <w:pPr>
      <w:tabs>
        <w:tab w:val="center" w:pos="4680"/>
        <w:tab w:val="right" w:pos="9360"/>
      </w:tabs>
      <w:spacing w:after="0"/>
    </w:pPr>
    <w:rPr>
      <w:rFonts w:cs="Mangal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C122F3"/>
    <w:rPr>
      <w:rFonts w:ascii="Times;Times New Roman" w:eastAsia="Times;Times New Roman" w:hAnsi="Times;Times New Roman" w:cs="Mangal"/>
      <w:color w:val="000000"/>
      <w:kern w:val="2"/>
      <w:sz w:val="28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C122F3"/>
    <w:rPr>
      <w:rFonts w:ascii="Times;Times New Roman" w:eastAsia="Times;Times New Roman" w:hAnsi="Times;Times New Roman" w:cs="Times;Times New Roman"/>
      <w:color w:val="000000"/>
      <w:kern w:val="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122F3"/>
    <w:pPr>
      <w:suppressAutoHyphens w:val="0"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shd w:val="clear" w:color="auto" w:fill="auto"/>
      <w:lang w:eastAsia="en-US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122F3"/>
    <w:pPr>
      <w:suppressAutoHyphens w:val="0"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shd w:val="clear" w:color="auto" w:fill="auto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2A1A"/>
    <w:rsid w:val="00DF2A1A"/>
    <w:rsid w:val="00EB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AF50E37B44DC69D2D2F635C32EC7A">
    <w:name w:val="091AF50E37B44DC69D2D2F635C32EC7A"/>
    <w:rsid w:val="00DF2A1A"/>
  </w:style>
  <w:style w:type="paragraph" w:customStyle="1" w:styleId="BF1CC7CF6FE1465DAB22ADE32E6DFB89">
    <w:name w:val="BF1CC7CF6FE1465DAB22ADE32E6DFB89"/>
    <w:rsid w:val="00DF2A1A"/>
  </w:style>
  <w:style w:type="paragraph" w:customStyle="1" w:styleId="1CBC9C3FA517485A8F68A2F5BF3B9A29">
    <w:name w:val="1CBC9C3FA517485A8F68A2F5BF3B9A29"/>
    <w:rsid w:val="00DF2A1A"/>
  </w:style>
  <w:style w:type="paragraph" w:customStyle="1" w:styleId="D36B397CEDD6429CA053EC052E899E5D">
    <w:name w:val="D36B397CEDD6429CA053EC052E899E5D"/>
    <w:rsid w:val="00DF2A1A"/>
  </w:style>
  <w:style w:type="paragraph" w:customStyle="1" w:styleId="14604DD990F04DD0B367E511D2DC78C8">
    <w:name w:val="14604DD990F04DD0B367E511D2DC78C8"/>
    <w:rsid w:val="00DF2A1A"/>
  </w:style>
  <w:style w:type="paragraph" w:customStyle="1" w:styleId="653088FD85054393ADA68D4226554B76">
    <w:name w:val="653088FD85054393ADA68D4226554B76"/>
    <w:rsid w:val="00DF2A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31F8F-3F49-4E78-8A91-360C22071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2018-11-09T16:38:00Z</dcterms:created>
  <dcterms:modified xsi:type="dcterms:W3CDTF">2018-11-12T16:55:00Z</dcterms:modified>
  <dc:language>en-US</dc:language>
</cp:coreProperties>
</file>