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06FF" w14:textId="77777777" w:rsidR="006D449A" w:rsidRDefault="006D449A" w:rsidP="00227AB4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76762" w14:textId="205F5AC5" w:rsidR="006D449A" w:rsidRPr="006D449A" w:rsidRDefault="006D449A" w:rsidP="00227AB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NION OF SOCIETIST COMMUNES OF ENTANTHA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Commons Coordination Board</w:t>
      </w:r>
    </w:p>
    <w:p w14:paraId="4EE80736" w14:textId="7273CC09" w:rsidR="006D449A" w:rsidRPr="006D449A" w:rsidRDefault="006D449A" w:rsidP="00227AB4">
      <w:pPr>
        <w:pStyle w:val="ListParagraph"/>
        <w:numPr>
          <w:ilvl w:val="0"/>
          <w:numId w:val="11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REGULATION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On the Establishment and Operation of Interest Cooperatives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Labor Organization and Productive Collectives Act of 1923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Last Revised: January 17, 2007</w:t>
      </w:r>
    </w:p>
    <w:p w14:paraId="36699482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Approved by: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 xml:space="preserve">Commons Coordination Board of the Union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Societist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Enactment: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March 15, 1923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Confidentiality Level: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Public Document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Responsible Department: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USCE Department of Labor and Productive Organization</w:t>
      </w:r>
    </w:p>
    <w:p w14:paraId="0B731CAA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4959AEAC">
          <v:rect id="_x0000_i1674" style="width:0;height:.75pt" o:hralign="center" o:hrstd="t" o:hrnoshade="t" o:hr="t" fillcolor="#404040" stroked="f"/>
        </w:pict>
      </w:r>
    </w:p>
    <w:p w14:paraId="5A1F6CA4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1: Purpose and Scope</w:t>
      </w:r>
    </w:p>
    <w:p w14:paraId="0297A2FA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This regulation establishes the legal framework for the formation, operation, and dissolution of interest cooperatives within the Union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Societist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(USCE). Cooperatives shall serve as the primary means of organized labor, operating on principles of collective ownership, democratic management, and equitable integration with the USCE internal economy framework.</w:t>
      </w:r>
    </w:p>
    <w:p w14:paraId="0E540AAB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108ED368">
          <v:rect id="_x0000_i1675" style="width:0;height:.75pt" o:hralign="center" o:hrstd="t" o:hrnoshade="t" o:hr="t" fillcolor="#404040" stroked="f"/>
        </w:pict>
      </w:r>
    </w:p>
    <w:p w14:paraId="4929FE4A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2: Definition and Recognition</w:t>
      </w:r>
    </w:p>
    <w:p w14:paraId="6B0D4841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An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interest cooperative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is defined as:</w:t>
      </w:r>
    </w:p>
    <w:p w14:paraId="7799CA9D" w14:textId="77777777" w:rsidR="006D449A" w:rsidRPr="006D449A" w:rsidRDefault="006D449A" w:rsidP="00227A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 voluntary association of workers engaged in common production or service.</w:t>
      </w:r>
    </w:p>
    <w:p w14:paraId="61FEE38B" w14:textId="77777777" w:rsidR="006D449A" w:rsidRPr="006D449A" w:rsidRDefault="006D449A" w:rsidP="00227A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Collectively self-managed by its current workforce through democratic processes.</w:t>
      </w:r>
    </w:p>
    <w:p w14:paraId="0A6C24BD" w14:textId="77777777" w:rsidR="006D449A" w:rsidRPr="006D449A" w:rsidRDefault="006D449A" w:rsidP="00227A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Operating without external ownership (state or private).</w:t>
      </w:r>
    </w:p>
    <w:p w14:paraId="71CA26F2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Formal recognition requires:</w:t>
      </w:r>
    </w:p>
    <w:p w14:paraId="73450C45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Registration with the local labor council.</w:t>
      </w:r>
    </w:p>
    <w:p w14:paraId="3AF4A4BC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Minimum of three (3) participating workers.</w:t>
      </w:r>
    </w:p>
    <w:p w14:paraId="566088E7" w14:textId="77777777" w:rsidR="006D449A" w:rsidRPr="006D449A" w:rsidRDefault="006D449A" w:rsidP="00227AB4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Adoption of a standardized cooperative charter approved by the Commons Coordination Board.</w:t>
      </w:r>
    </w:p>
    <w:p w14:paraId="5070E022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lastRenderedPageBreak/>
        <w:pict w14:anchorId="5250E4DE">
          <v:rect id="_x0000_i2179" style="width:0;height:.75pt" o:hralign="center" o:hrstd="t" o:hrnoshade="t" o:hr="t" fillcolor="#404040" stroked="f"/>
        </w:pict>
      </w:r>
    </w:p>
    <w:p w14:paraId="15534681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3: Formation and Membership</w:t>
      </w:r>
    </w:p>
    <w:p w14:paraId="36C487A6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Establishment Process</w:t>
      </w:r>
    </w:p>
    <w:p w14:paraId="2C94BB68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Founding members shall submit a work plan and proposed charter to the local labor council.</w:t>
      </w:r>
    </w:p>
    <w:p w14:paraId="60E63EED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The council shall allocate initial resources based on demonstrated production needs and communal equity considerations.</w:t>
      </w:r>
    </w:p>
    <w:p w14:paraId="7C08E223" w14:textId="77777777" w:rsidR="006D449A" w:rsidRPr="006D449A" w:rsidRDefault="006D449A" w:rsidP="00227AB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The cooperative shall be entered into the regional registry upon approval, granting access to communal infrastructure.</w:t>
      </w:r>
    </w:p>
    <w:p w14:paraId="7BD842F6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B. Membership Rules</w:t>
      </w:r>
    </w:p>
    <w:p w14:paraId="328DC716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Admission: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By majority vote of current members, with no exclusion based on immutable characteristics.</w:t>
      </w:r>
    </w:p>
    <w:p w14:paraId="041B6A3E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Resignation: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Notice must be submitted to the cooperative records-keeper; no punitive measures permitted.</w:t>
      </w:r>
    </w:p>
    <w:p w14:paraId="2AC7786F" w14:textId="77777777" w:rsidR="006D449A" w:rsidRPr="006D449A" w:rsidRDefault="006D449A" w:rsidP="00227AB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Exclusion: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Only permissible for material harm to the cooperative (as defined in Section 4 of the Resource Allocation and Equity Act).</w:t>
      </w:r>
    </w:p>
    <w:p w14:paraId="4163FEBC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0468F94F">
          <v:rect id="_x0000_i2175" style="width:0;height:.75pt" o:hralign="center" o:hrstd="t" o:hrnoshade="t" o:hr="t" fillcolor="#404040" stroked="f"/>
        </w:pict>
      </w:r>
    </w:p>
    <w:p w14:paraId="343045EB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4: Governance Structure</w:t>
      </w:r>
    </w:p>
    <w:p w14:paraId="3AF7171F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Each cooperative shall implement:</w:t>
      </w:r>
    </w:p>
    <w:p w14:paraId="343ED66E" w14:textId="77777777" w:rsidR="006D449A" w:rsidRPr="006D449A" w:rsidRDefault="006D449A" w:rsidP="00227AB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Weekly assemblies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for major decisions (production targets, resource requests, disciplinary actions).</w:t>
      </w:r>
    </w:p>
    <w:p w14:paraId="69B50F74" w14:textId="77777777" w:rsidR="006D449A" w:rsidRPr="006D449A" w:rsidRDefault="006D449A" w:rsidP="00227AB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Rotating management committees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elected for 3-month terms to oversee daily operations.</w:t>
      </w:r>
    </w:p>
    <w:p w14:paraId="621EB8A5" w14:textId="77777777" w:rsidR="006D449A" w:rsidRPr="006D449A" w:rsidRDefault="006D449A" w:rsidP="00227AB4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production ledgers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to ensure transparency and alignment with communal planning.</w:t>
      </w:r>
    </w:p>
    <w:p w14:paraId="4F9E742C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4A310B50">
          <v:rect id="_x0000_i2176" style="width:0;height:.75pt" o:hralign="center" o:hrstd="t" o:hrnoshade="t" o:hr="t" fillcolor="#404040" stroked="f"/>
        </w:pict>
      </w:r>
    </w:p>
    <w:p w14:paraId="0CDB9AD9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5: Resource Rights and Obligations</w:t>
      </w:r>
    </w:p>
    <w:p w14:paraId="5FD028A8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Entitlements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Recognized cooperatives may:</w:t>
      </w:r>
    </w:p>
    <w:p w14:paraId="4FB4AD37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Request materials from communal stores based on approved production quotas.</w:t>
      </w:r>
    </w:p>
    <w:p w14:paraId="6165FE4E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Petition for equipment upgrades, subject to local council review.</w:t>
      </w:r>
    </w:p>
    <w:p w14:paraId="20D9E2AF" w14:textId="77777777" w:rsidR="006D449A" w:rsidRPr="006D449A" w:rsidRDefault="006D449A" w:rsidP="00227AB4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Access shared transportation pools for work-related purposes.</w:t>
      </w:r>
    </w:p>
    <w:p w14:paraId="61DA2013" w14:textId="77777777" w:rsidR="006D449A" w:rsidRPr="006D449A" w:rsidRDefault="006D449A" w:rsidP="00227AB4">
      <w:pPr>
        <w:tabs>
          <w:tab w:val="num" w:pos="720"/>
        </w:tabs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B. Member Benefits</w:t>
      </w:r>
    </w:p>
    <w:p w14:paraId="080D6434" w14:textId="77777777" w:rsidR="006D449A" w:rsidRPr="006D449A" w:rsidRDefault="006D449A" w:rsidP="00227AB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 status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in personal resource requests (per Section 4 of the Resource Allocation and Equity Act).</w:t>
      </w:r>
    </w:p>
    <w:p w14:paraId="04C9D691" w14:textId="77777777" w:rsidR="006D449A" w:rsidRPr="006D449A" w:rsidRDefault="006D449A" w:rsidP="00227AB4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Occupational bonuses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in discretionary goods points for hazardous or high-skill labor.</w:t>
      </w:r>
    </w:p>
    <w:p w14:paraId="4E392A94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568BDE11">
          <v:rect id="_x0000_i2177" style="width:0;height:.75pt" o:hralign="center" o:hrstd="t" o:hrnoshade="t" o:hr="t" fillcolor="#404040" stroked="f"/>
        </w:pict>
      </w:r>
    </w:p>
    <w:p w14:paraId="0223488F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Section 6: Reorganization and Dissolution</w:t>
      </w:r>
    </w:p>
    <w:p w14:paraId="1EA352CB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A. Mergers</w:t>
      </w:r>
    </w:p>
    <w:p w14:paraId="7AABFC1A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May be proposed by any member during a weekly assembly.</w:t>
      </w:r>
    </w:p>
    <w:p w14:paraId="32F377CB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Require a two-thirds (⅔) majority vote of all members.</w:t>
      </w:r>
    </w:p>
    <w:p w14:paraId="41477472" w14:textId="77777777" w:rsidR="006D449A" w:rsidRPr="006D449A" w:rsidRDefault="006D449A" w:rsidP="00227AB4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Must be approved by the local labor council to ensure resource continuity.</w:t>
      </w:r>
    </w:p>
    <w:p w14:paraId="6D4B211D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</w:rPr>
        <w:t>B. Dissolution</w:t>
      </w:r>
    </w:p>
    <w:p w14:paraId="76423E5B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Voluntary: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Requires unanimous member agreement and justification submitted to the labor council.</w:t>
      </w:r>
    </w:p>
    <w:p w14:paraId="665F2DC1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Assets: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All tools, materials, and facilities revert to communal stores.</w:t>
      </w:r>
    </w:p>
    <w:p w14:paraId="6C6B3953" w14:textId="77777777" w:rsidR="006D449A" w:rsidRPr="006D449A" w:rsidRDefault="006D449A" w:rsidP="00227AB4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Membership: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Former members retain employment priority in related cooperatives.</w:t>
      </w:r>
    </w:p>
    <w:p w14:paraId="68831ACA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4ED3227E">
          <v:rect id="_x0000_i2178" style="width:0;height:.75pt" o:hralign="center" o:hrstd="t" o:hrnoshade="t" o:hr="t" fillcolor="#404040" stroked="f"/>
        </w:pict>
      </w:r>
    </w:p>
    <w:p w14:paraId="08A7981E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 7: Integration with Resource Allocation System</w:t>
      </w:r>
    </w:p>
    <w:p w14:paraId="20837D7C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Cooperative employment qualifies as a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positive discretionary factor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(Resource Allocation and Equity Act, Section 4).</w:t>
      </w:r>
    </w:p>
    <w:p w14:paraId="6F71B591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Workplace infractions (e.g., sabotage, coercion) count as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anti-social behavior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(Resource Allocation and Equity Act, Section 7).</w:t>
      </w:r>
    </w:p>
    <w:p w14:paraId="784F6C5D" w14:textId="77777777" w:rsidR="006D449A" w:rsidRPr="006D449A" w:rsidRDefault="006D449A" w:rsidP="00227AB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sz w:val="28"/>
          <w:szCs w:val="28"/>
          <w:lang w:val="en-US"/>
        </w:rPr>
        <w:t>Cooperative production quotas shall be incorporated into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communal planning equations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reviewed monthly by the Commons Coordination Board.</w:t>
      </w:r>
    </w:p>
    <w:p w14:paraId="19FD332F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D449A">
        <w:rPr>
          <w:rFonts w:ascii="Times New Roman" w:hAnsi="Times New Roman" w:cs="Times New Roman"/>
          <w:sz w:val="28"/>
          <w:szCs w:val="28"/>
        </w:rPr>
        <w:pict w14:anchorId="14DF2055">
          <v:rect id="_x0000_i1681" style="width:0;height:.75pt" o:hralign="center" o:hrstd="t" o:hrnoshade="t" o:hr="t" fillcolor="#404040" stroked="f"/>
        </w:pict>
      </w:r>
    </w:p>
    <w:p w14:paraId="21A14E3E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Issued and </w:t>
      </w:r>
      <w:proofErr w:type="gramStart"/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Enacted</w:t>
      </w:r>
      <w:proofErr w:type="gramEnd"/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 xml:space="preserve">The Commons Coordination Board of the Union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Societist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t xml:space="preserve"> Communes of </w:t>
      </w:r>
      <w:proofErr w:type="spellStart"/>
      <w:r w:rsidRPr="006D449A">
        <w:rPr>
          <w:rFonts w:ascii="Times New Roman" w:hAnsi="Times New Roman" w:cs="Times New Roman"/>
          <w:sz w:val="28"/>
          <w:szCs w:val="28"/>
          <w:lang w:val="en-US"/>
        </w:rPr>
        <w:t>Entantha</w:t>
      </w:r>
      <w:proofErr w:type="spellEnd"/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Date: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 January 17, 2007</w:t>
      </w:r>
    </w:p>
    <w:p w14:paraId="444374E5" w14:textId="77777777" w:rsidR="006D449A" w:rsidRPr="006D449A" w:rsidRDefault="006D449A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Notes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br/>
        <w:t>This act operates in conjunction with the </w:t>
      </w:r>
      <w:r w:rsidRPr="006D44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 Allocation and Equity Act</w:t>
      </w:r>
      <w:r w:rsidRPr="006D449A">
        <w:rPr>
          <w:rFonts w:ascii="Times New Roman" w:hAnsi="Times New Roman" w:cs="Times New Roman"/>
          <w:sz w:val="28"/>
          <w:szCs w:val="28"/>
          <w:lang w:val="en-US"/>
        </w:rPr>
        <w:t>. Cross-referenced provisions shall be interpreted harmoniously, with precedence given to communal equity principles. Historical revisions have expanded protections for marginalized workers, removing exclusionary language from early 20th-century drafts.</w:t>
      </w:r>
    </w:p>
    <w:p w14:paraId="6FE8FB6A" w14:textId="77777777" w:rsidR="00464EC6" w:rsidRPr="006D449A" w:rsidRDefault="00464EC6" w:rsidP="00227AB4">
      <w:pPr>
        <w:tabs>
          <w:tab w:val="num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64EC6" w:rsidRPr="006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0D46FA6"/>
    <w:multiLevelType w:val="hybridMultilevel"/>
    <w:tmpl w:val="26F29554"/>
    <w:lvl w:ilvl="0" w:tplc="5002D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7E27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EB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D2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4F8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AD1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8E3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E73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0A67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E155A3"/>
    <w:multiLevelType w:val="multilevel"/>
    <w:tmpl w:val="365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D7792"/>
    <w:multiLevelType w:val="multilevel"/>
    <w:tmpl w:val="DE14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A1067"/>
    <w:multiLevelType w:val="multilevel"/>
    <w:tmpl w:val="FCF6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76E4B"/>
    <w:multiLevelType w:val="multilevel"/>
    <w:tmpl w:val="0FEE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9346D"/>
    <w:multiLevelType w:val="multilevel"/>
    <w:tmpl w:val="CFC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1E9E"/>
    <w:multiLevelType w:val="multilevel"/>
    <w:tmpl w:val="7B5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A7D4D"/>
    <w:multiLevelType w:val="multilevel"/>
    <w:tmpl w:val="72A6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A7054"/>
    <w:multiLevelType w:val="multilevel"/>
    <w:tmpl w:val="3D88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1131C"/>
    <w:multiLevelType w:val="multilevel"/>
    <w:tmpl w:val="AA96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04A8E"/>
    <w:multiLevelType w:val="multilevel"/>
    <w:tmpl w:val="D2C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485525">
    <w:abstractNumId w:val="5"/>
  </w:num>
  <w:num w:numId="2" w16cid:durableId="1001814479">
    <w:abstractNumId w:val="2"/>
  </w:num>
  <w:num w:numId="3" w16cid:durableId="441733164">
    <w:abstractNumId w:val="7"/>
  </w:num>
  <w:num w:numId="4" w16cid:durableId="1625575745">
    <w:abstractNumId w:val="9"/>
  </w:num>
  <w:num w:numId="5" w16cid:durableId="1855874760">
    <w:abstractNumId w:val="10"/>
  </w:num>
  <w:num w:numId="6" w16cid:durableId="644430682">
    <w:abstractNumId w:val="6"/>
  </w:num>
  <w:num w:numId="7" w16cid:durableId="931202035">
    <w:abstractNumId w:val="3"/>
  </w:num>
  <w:num w:numId="8" w16cid:durableId="914053489">
    <w:abstractNumId w:val="4"/>
  </w:num>
  <w:num w:numId="9" w16cid:durableId="1594628122">
    <w:abstractNumId w:val="1"/>
  </w:num>
  <w:num w:numId="10" w16cid:durableId="1029791912">
    <w:abstractNumId w:val="8"/>
  </w:num>
  <w:num w:numId="11" w16cid:durableId="98042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06"/>
    <w:rsid w:val="00016206"/>
    <w:rsid w:val="00227AB4"/>
    <w:rsid w:val="00464EC6"/>
    <w:rsid w:val="00473909"/>
    <w:rsid w:val="004C755D"/>
    <w:rsid w:val="006D449A"/>
    <w:rsid w:val="00C4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FA1D"/>
  <w15:chartTrackingRefBased/>
  <w15:docId w15:val="{D582AA2A-BAC5-4E87-81A3-B98BF665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Amber</dc:creator>
  <cp:keywords/>
  <dc:description/>
  <cp:lastModifiedBy>Render Amber</cp:lastModifiedBy>
  <cp:revision>3</cp:revision>
  <dcterms:created xsi:type="dcterms:W3CDTF">2025-07-17T21:00:00Z</dcterms:created>
  <dcterms:modified xsi:type="dcterms:W3CDTF">2025-07-17T21:03:00Z</dcterms:modified>
</cp:coreProperties>
</file>