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BC613A"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lastRenderedPageBreak/>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4"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lastRenderedPageBreak/>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lastRenderedPageBreak/>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32C66A55" w:rsidR="00166DFA" w:rsidRDefault="00166DFA" w:rsidP="00430F84">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430F84">
              <w:rPr>
                <w:rFonts w:asciiTheme="minorHAnsi" w:hAnsiTheme="minorHAnsi"/>
                <w:i/>
                <w:sz w:val="20"/>
                <w:szCs w:val="20"/>
              </w:rPr>
              <w:t>Audit log retention will be configured through third party tooling, generally a SIEM such as Splunk. This is outside the scope of OpenShift.&gt;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lastRenderedPageBreak/>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lastRenderedPageBreak/>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 xml:space="preserve">Documents, for each interconnection, the interface characteristics, security </w:t>
      </w:r>
      <w:r w:rsidRPr="00AE3199">
        <w:rPr>
          <w:rFonts w:eastAsia="Times New Roman"/>
        </w:rPr>
        <w:lastRenderedPageBreak/>
        <w:t>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lastRenderedPageBreak/>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lastRenderedPageBreak/>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conducting penetration testing at the required frequency. A successful control response will need to address the systems or components tested and outline the rules of engagement for testing (e.g. </w:t>
            </w:r>
            <w:r>
              <w:rPr>
                <w:rFonts w:asciiTheme="minorHAnsi" w:eastAsia="Calibri" w:hAnsiTheme="minorHAnsi" w:cs="Calibri"/>
                <w:i/>
                <w:sz w:val="20"/>
                <w:szCs w:val="20"/>
              </w:rPr>
              <w:lastRenderedPageBreak/>
              <w:t>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lastRenderedPageBreak/>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lastRenderedPageBreak/>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lastRenderedPageBreak/>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lastRenderedPageBreak/>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lastRenderedPageBreak/>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5"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6"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7"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8"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9"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0"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BC613A"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BC613A"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BC613A"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6"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bookmarkStart w:id="1489" w:name="_GoBack"/>
            <w:bookmarkEnd w:id="1489"/>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1"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6"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7"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8"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9"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0"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1">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BC613A" w:rsidP="0005110F">
            <w:pPr>
              <w:spacing w:before="120" w:after="120" w:line="276" w:lineRule="auto"/>
              <w:rPr>
                <w:rFonts w:asciiTheme="minorHAnsi" w:hAnsiTheme="minorHAnsi" w:cs="Arial"/>
                <w:sz w:val="20"/>
                <w:szCs w:val="20"/>
              </w:rPr>
            </w:pPr>
            <w:hyperlink r:id="rId72"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7C2A5" w14:textId="77777777" w:rsidR="005564E1" w:rsidRDefault="005564E1" w:rsidP="00B1327B">
      <w:r>
        <w:separator/>
      </w:r>
    </w:p>
  </w:endnote>
  <w:endnote w:type="continuationSeparator" w:id="0">
    <w:p w14:paraId="77373C03" w14:textId="77777777" w:rsidR="005564E1" w:rsidRDefault="005564E1" w:rsidP="00B1327B">
      <w:r>
        <w:continuationSeparator/>
      </w:r>
    </w:p>
  </w:endnote>
  <w:endnote w:type="continuationNotice" w:id="1">
    <w:p w14:paraId="12FC1A7A" w14:textId="77777777" w:rsidR="005564E1" w:rsidRDefault="00556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BC613A" w:rsidRDefault="00BC613A"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ED71CD" w:rsidRPr="00ED71CD">
      <w:rPr>
        <w:noProof/>
        <w:sz w:val="24"/>
        <w:szCs w:val="24"/>
      </w:rPr>
      <w:t>162</w:t>
    </w:r>
    <w:r>
      <w:rPr>
        <w:noProof/>
        <w:sz w:val="24"/>
        <w:szCs w:val="24"/>
      </w:rPr>
      <w:fldChar w:fldCharType="end"/>
    </w:r>
  </w:p>
  <w:p w14:paraId="6E0A9E89" w14:textId="77777777" w:rsidR="00BC613A" w:rsidRDefault="00BC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8ED6B" w14:textId="77777777" w:rsidR="005564E1" w:rsidRDefault="005564E1" w:rsidP="00B1327B">
      <w:r>
        <w:separator/>
      </w:r>
    </w:p>
  </w:footnote>
  <w:footnote w:type="continuationSeparator" w:id="0">
    <w:p w14:paraId="066409B2" w14:textId="77777777" w:rsidR="005564E1" w:rsidRDefault="005564E1" w:rsidP="00B1327B">
      <w:r>
        <w:continuationSeparator/>
      </w:r>
    </w:p>
  </w:footnote>
  <w:footnote w:type="continuationNotice" w:id="1">
    <w:p w14:paraId="65C7B3A5" w14:textId="77777777" w:rsidR="005564E1" w:rsidRDefault="005564E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BC613A" w:rsidRDefault="00BC613A"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BC613A" w:rsidRPr="002073DE" w:rsidRDefault="00BC613A"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BC613A" w:rsidRPr="00F26E9C" w:rsidRDefault="00BC613A"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0F84"/>
    <w:rsid w:val="00433158"/>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564E1"/>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349D"/>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4E5"/>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azure.microsoft.com/en-us/documentation/articles/active-directory-hybrid-identity-design-considerations-overview/" TargetMode="External"/><Relationship Id="rId65" Type="http://schemas.openxmlformats.org/officeDocument/2006/relationships/hyperlink" Target="https://technet.microsoft.com/en-us/magazine/dn250023.aspx" TargetMode="External"/><Relationship Id="rId66" Type="http://schemas.openxmlformats.org/officeDocument/2006/relationships/hyperlink" Target="https://technet.microsoft.com/en-us/windowsserver/dd448615.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msdn.microsoft.com/en-us/library/azure/dn715779.aspx" TargetMode="External"/><Relationship Id="rId69" Type="http://schemas.openxmlformats.org/officeDocument/2006/relationships/hyperlink" Target="https://www.microsoft.com/en-us/TrustCenter/Security/Identity" TargetMode="External"/><Relationship Id="rId50" Type="http://schemas.openxmlformats.org/officeDocument/2006/relationships/hyperlink" Target="https://www.microsoft.com/en-us/trustcenter/security/auditingandlogging" TargetMode="External"/><Relationship Id="rId51" Type="http://schemas.openxmlformats.org/officeDocument/2006/relationships/hyperlink" Target="https://technet.microsoft.com/en-us/magazine/dn250023.aspx" TargetMode="External"/><Relationship Id="rId52" Type="http://schemas.openxmlformats.org/officeDocument/2006/relationships/hyperlink" Target="http://scap.nist.gov/" TargetMode="External"/><Relationship Id="rId53" Type="http://schemas.openxmlformats.org/officeDocument/2006/relationships/hyperlink" Target="http://usgcb.nist.gov/usgcb_faq.html" TargetMode="External"/><Relationship Id="rId54" Type="http://schemas.openxmlformats.org/officeDocument/2006/relationships/hyperlink" Target="https://azure.microsoft.com/en-us/documentation/articles/multi-factor-authentication-security-best-practices/" TargetMode="External"/><Relationship Id="rId55" Type="http://schemas.openxmlformats.org/officeDocument/2006/relationships/hyperlink" Target="https://azure.microsoft.com/en-us/documentation/articles/sql-database-disaster-recovery-drills/" TargetMode="External"/><Relationship Id="rId56" Type="http://schemas.openxmlformats.org/officeDocument/2006/relationships/hyperlink" Target="https://docs.openshift.com/container-platform/3.3/install_config/syncing_groups_with_ldap.html"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www.microsoft.com/en-us/trustcenter/security/auditingandlogging"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access.redhat.com/documentation/en-US/Red_Hat_Enterprise_Linux/7/html/System_Administrators_Guide/s1-Configure_NTP.html" TargetMode="External"/><Relationship Id="rId45" Type="http://schemas.openxmlformats.org/officeDocument/2006/relationships/hyperlink" Target="https://www.microsoft.com/en-us/TrustCenter/Resources/" TargetMode="External"/><Relationship Id="rId46" Type="http://schemas.openxmlformats.org/officeDocument/2006/relationships/hyperlink" Target="http://tf.nist.gov/tf-cgi/servers.cgi" TargetMode="External"/><Relationship Id="rId47" Type="http://schemas.openxmlformats.org/officeDocument/2006/relationships/hyperlink" Target="http://tf.nist.gov/tf-cgi/servers.cgi" TargetMode="External"/><Relationship Id="rId48" Type="http://schemas.openxmlformats.org/officeDocument/2006/relationships/hyperlink" Target="https://azure.microsoft.com/en-us/documentation/articles/active-directory-hybrid-identity-design-considerations-overview/" TargetMode="External"/><Relationship Id="rId49" Type="http://schemas.openxmlformats.org/officeDocument/2006/relationships/hyperlink" Target="https://azure.microsoft.com/en-us/documentation/learning-paths/site-recove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technet.microsoft.com/en-us/magazine/dn250023.aspx" TargetMode="External"/><Relationship Id="rId71" Type="http://schemas.openxmlformats.org/officeDocument/2006/relationships/hyperlink" Target="https://azure.microsoft.com/en-us/documentation/articles/security-center-intro/" TargetMode="External"/><Relationship Id="rId72" Type="http://schemas.openxmlformats.org/officeDocument/2006/relationships/hyperlink" Target="https://www.redhat.com/en/technologies/industries/government/standards"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technet.microsoft.com/en-us/windowsserver/dd448615.aspx"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usgcb.nist.gov/usgcb_faq.html"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97D84FB7-DDE0-2040-9E68-5F8B55A6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356</Pages>
  <Words>103274</Words>
  <Characters>588665</Characters>
  <Application>Microsoft Macintosh Word</Application>
  <DocSecurity>0</DocSecurity>
  <Lines>4905</Lines>
  <Paragraphs>1381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93</cp:revision>
  <dcterms:created xsi:type="dcterms:W3CDTF">2016-10-14T05:27:00Z</dcterms:created>
  <dcterms:modified xsi:type="dcterms:W3CDTF">2016-11-22T22:35:00Z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