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CB4EC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lastRenderedPageBreak/>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8"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29"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lastRenderedPageBreak/>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w:t>
            </w:r>
            <w:r w:rsidR="00F3719A">
              <w:rPr>
                <w:rFonts w:asciiTheme="minorHAnsi" w:eastAsia="Calibri" w:hAnsiTheme="minorHAnsi" w:cs="Calibri"/>
                <w:i/>
                <w:sz w:val="20"/>
                <w:szCs w:val="20"/>
              </w:rPr>
              <w:lastRenderedPageBreak/>
              <w:t xml:space="preserve">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lastRenderedPageBreak/>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lastRenderedPageBreak/>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lastRenderedPageBreak/>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t>
            </w:r>
            <w:r>
              <w:rPr>
                <w:rFonts w:asciiTheme="minorHAnsi" w:eastAsia="Calibri" w:hAnsiTheme="minorHAnsi" w:cs="Calibri"/>
                <w:sz w:val="20"/>
                <w:szCs w:val="20"/>
              </w:rPr>
              <w:t xml:space="preserve">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bookmarkStart w:id="452" w:name="_GoBack"/>
            <w:bookmarkEnd w:id="452"/>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lastRenderedPageBreak/>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50EA7D5" w14:textId="2B1F34F6" w:rsidR="00501F02" w:rsidRPr="00BB487D" w:rsidRDefault="00481DBC" w:rsidP="00481DBC">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lastRenderedPageBreak/>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lastRenderedPageBreak/>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4"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5"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6"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FB954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7"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8"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lastRenderedPageBreak/>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9"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0"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1"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2"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3"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4"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5"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6"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CB4EC2" w:rsidP="0040681B">
            <w:pPr>
              <w:pStyle w:val="ListParagraph"/>
              <w:numPr>
                <w:ilvl w:val="0"/>
                <w:numId w:val="47"/>
              </w:numPr>
              <w:spacing w:before="120" w:after="120" w:line="276" w:lineRule="auto"/>
              <w:rPr>
                <w:rFonts w:asciiTheme="minorHAnsi" w:hAnsiTheme="minorHAnsi"/>
                <w:sz w:val="20"/>
                <w:szCs w:val="20"/>
              </w:rPr>
            </w:pPr>
            <w:hyperlink r:id="rId47"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8"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9"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5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2"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3"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4"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lastRenderedPageBreak/>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lastRenderedPageBreak/>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lastRenderedPageBreak/>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lastRenderedPageBreak/>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lastRenderedPageBreak/>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w:t>
            </w:r>
            <w:r>
              <w:rPr>
                <w:rFonts w:asciiTheme="minorHAnsi" w:hAnsiTheme="minorHAnsi"/>
                <w:i/>
                <w:sz w:val="20"/>
                <w:szCs w:val="22"/>
              </w:rPr>
              <w:lastRenderedPageBreak/>
              <w:t xml:space="preserve">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lastRenderedPageBreak/>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lastRenderedPageBreak/>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lastRenderedPageBreak/>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lastRenderedPageBreak/>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9"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w:t>
            </w:r>
            <w:r w:rsidRPr="00D4466D">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lastRenderedPageBreak/>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0"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1"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2"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3"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64C73" w14:textId="77777777" w:rsidR="00860D34" w:rsidRDefault="00860D34" w:rsidP="00B1327B">
      <w:r>
        <w:separator/>
      </w:r>
    </w:p>
  </w:endnote>
  <w:endnote w:type="continuationSeparator" w:id="0">
    <w:p w14:paraId="02EC9741" w14:textId="77777777" w:rsidR="00860D34" w:rsidRDefault="00860D34" w:rsidP="00B1327B">
      <w:r>
        <w:continuationSeparator/>
      </w:r>
    </w:p>
  </w:endnote>
  <w:endnote w:type="continuationNotice" w:id="1">
    <w:p w14:paraId="657A7434" w14:textId="77777777" w:rsidR="00860D34" w:rsidRDefault="00860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CB4EC2" w:rsidRDefault="00CB4EC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654769" w:rsidRPr="00654769">
      <w:rPr>
        <w:noProof/>
        <w:sz w:val="24"/>
        <w:szCs w:val="24"/>
      </w:rPr>
      <w:t>34</w:t>
    </w:r>
    <w:r>
      <w:rPr>
        <w:noProof/>
        <w:sz w:val="24"/>
        <w:szCs w:val="24"/>
      </w:rPr>
      <w:fldChar w:fldCharType="end"/>
    </w:r>
  </w:p>
  <w:p w14:paraId="6E0A9E89" w14:textId="77777777" w:rsidR="00CB4EC2" w:rsidRDefault="00CB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A3D7E" w14:textId="77777777" w:rsidR="00860D34" w:rsidRDefault="00860D34" w:rsidP="00B1327B">
      <w:r>
        <w:separator/>
      </w:r>
    </w:p>
  </w:footnote>
  <w:footnote w:type="continuationSeparator" w:id="0">
    <w:p w14:paraId="7F009EAE" w14:textId="77777777" w:rsidR="00860D34" w:rsidRDefault="00860D34" w:rsidP="00B1327B">
      <w:r>
        <w:continuationSeparator/>
      </w:r>
    </w:p>
  </w:footnote>
  <w:footnote w:type="continuationNotice" w:id="1">
    <w:p w14:paraId="52CFAE6D" w14:textId="77777777" w:rsidR="00860D34" w:rsidRDefault="00860D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CB4EC2" w:rsidRDefault="00CB4EC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CB4EC2" w:rsidRPr="002073DE" w:rsidRDefault="00CB4EC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CB4EC2" w:rsidRPr="00F26E9C" w:rsidRDefault="00CB4EC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614918"/>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6E6"/>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ldap-auth"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azure.microsoft.com/en-us/documentation/articles/security-center-intro/" TargetMode="External"/><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www.microsoft.com/en-us/TrustCenter/Security/Identity" TargetMode="External"/><Relationship Id="rId51" Type="http://schemas.openxmlformats.org/officeDocument/2006/relationships/hyperlink" Target="https://www.microsoft.com/en-us/trustcenter/security/auditingandlogging" TargetMode="External"/><Relationship Id="rId52" Type="http://schemas.openxmlformats.org/officeDocument/2006/relationships/hyperlink" Target="https://www.microsoft.com/en-us/TrustCenter/Security/Identity" TargetMode="External"/><Relationship Id="rId53" Type="http://schemas.openxmlformats.org/officeDocument/2006/relationships/hyperlink" Target="https://technet.microsoft.com/en-us/windowsserver/dd448615.aspx" TargetMode="External"/><Relationship Id="rId54" Type="http://schemas.openxmlformats.org/officeDocument/2006/relationships/hyperlink" Target="http://msdn.microsoft.com/en-us/library/azure/dn715779.aspx" TargetMode="External"/><Relationship Id="rId55" Type="http://schemas.openxmlformats.org/officeDocument/2006/relationships/hyperlink" Target="http://usgcb.nist.gov/usgcb_faq.html" TargetMode="External"/><Relationship Id="rId56" Type="http://schemas.openxmlformats.org/officeDocument/2006/relationships/hyperlink" Target="https://technet.microsoft.com/en-us/windowsserver/dd448615.aspx" TargetMode="External"/><Relationship Id="rId57" Type="http://schemas.openxmlformats.org/officeDocument/2006/relationships/hyperlink" Target="https://azure.microsoft.com/en-us/documentation/articles/active-directory-hybrid-identity-design-considerations-overview/" TargetMode="External"/><Relationship Id="rId58" Type="http://schemas.openxmlformats.org/officeDocument/2006/relationships/hyperlink" Target="https://technet.microsoft.com/en-us/magazine/dn250023.aspx"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tf.nist.gov/tf-cgi/servers.cgi" TargetMode="External"/><Relationship Id="rId41" Type="http://schemas.openxmlformats.org/officeDocument/2006/relationships/hyperlink" Target="http://tf.nist.gov/tf-cgi/servers.cgi" TargetMode="External"/><Relationship Id="rId42" Type="http://schemas.openxmlformats.org/officeDocument/2006/relationships/hyperlink" Target="https://azure.microsoft.com/en-us/documentation/articles/active-directory-hybrid-identity-design-considerations-overview/" TargetMode="External"/><Relationship Id="rId43" Type="http://schemas.openxmlformats.org/officeDocument/2006/relationships/hyperlink" Target="https://azure.microsoft.com/en-us/documentation/learning-paths/site-recovery/" TargetMode="External"/><Relationship Id="rId44" Type="http://schemas.openxmlformats.org/officeDocument/2006/relationships/hyperlink" Target="https://www.microsoft.com/en-us/trustcenter/security/auditingandlogging" TargetMode="External"/><Relationship Id="rId45" Type="http://schemas.openxmlformats.org/officeDocument/2006/relationships/hyperlink" Target="https://technet.microsoft.com/en-us/magazine/dn250023.aspx" TargetMode="External"/><Relationship Id="rId46" Type="http://schemas.openxmlformats.org/officeDocument/2006/relationships/hyperlink" Target="http://scap.nist.gov/" TargetMode="External"/><Relationship Id="rId47" Type="http://schemas.openxmlformats.org/officeDocument/2006/relationships/hyperlink" Target="http://usgcb.nist.gov/usgcb_faq.html" TargetMode="External"/><Relationship Id="rId48" Type="http://schemas.openxmlformats.org/officeDocument/2006/relationships/hyperlink" Target="https://azure.microsoft.com/en-us/documentation/articles/multi-factor-authentication-security-best-practices/" TargetMode="External"/><Relationship Id="rId49" Type="http://schemas.openxmlformats.org/officeDocument/2006/relationships/hyperlink" Target="https://azure.microsoft.com/en-us/documentation/articles/sql-database-disaster-recovery-drill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www.niap-ccevs.org/vpl" TargetMode="External"/><Relationship Id="rId32" Type="http://schemas.openxmlformats.org/officeDocument/2006/relationships/hyperlink" Target="https://www.microsoft.com/en-us/TrustCenter/Security/Identity"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usgcb.nist.gov/usgcb_faq.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tf.nist.gov/tf-cgi/servers.cgi"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www.microsoft.com/en-us/TrustCenter/Resources/" TargetMode="External"/><Relationship Id="rId20" Type="http://schemas.openxmlformats.org/officeDocument/2006/relationships/hyperlink" Target="https://docs.openshift.com/container-platform/3.3/admin_solutions/authentication.html#ldap-auth"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architecture/additional_concepts/authorization.html" TargetMode="External"/><Relationship Id="rId29" Type="http://schemas.openxmlformats.org/officeDocument/2006/relationships/hyperlink" Target="https://docs.openshift.com/container-platform/3.3/architecture/additional_concepts/networking.html" TargetMode="External"/><Relationship Id="rId60" Type="http://schemas.openxmlformats.org/officeDocument/2006/relationships/hyperlink" Target="https://www.microsoft.com/en-us/TrustCenter/Security/Identity"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s://www.microsoft.com/en-us/TrustCenter/Security/Identity"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43B583E6-8B58-2E46-A243-0A188C6C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354</Pages>
  <Words>102021</Words>
  <Characters>581526</Characters>
  <Application>Microsoft Macintosh Word</Application>
  <DocSecurity>0</DocSecurity>
  <Lines>4846</Lines>
  <Paragraphs>1364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34</cp:revision>
  <dcterms:created xsi:type="dcterms:W3CDTF">2016-10-14T05:27:00Z</dcterms:created>
  <dcterms:modified xsi:type="dcterms:W3CDTF">2016-10-18T00:16:00Z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