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4419C020" w:rsidR="008610F8" w:rsidRPr="008610F8" w:rsidRDefault="00B452E7" w:rsidP="008610F8">
            <w:pPr>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r w:rsidR="008610F8">
              <w:rPr>
                <w:rFonts w:asciiTheme="minorHAnsi" w:eastAsia="Calibri" w:hAnsiTheme="minorHAnsi" w:cs="Calibri"/>
                <w:color w:val="auto"/>
                <w:sz w:val="20"/>
                <w:szCs w:val="20"/>
              </w:rPr>
              <w:br/>
            </w:r>
            <w:r w:rsidR="008610F8">
              <w:rPr>
                <w:rFonts w:asciiTheme="minorHAnsi" w:eastAsia="Calibri" w:hAnsiTheme="minorHAnsi" w:cs="Calibri"/>
                <w:i/>
                <w:color w:val="auto"/>
                <w:sz w:val="20"/>
                <w:szCs w:val="20"/>
              </w:rPr>
              <w:t xml:space="preserve">&lt;Adding, or binding, a role to users or groups gives the user or group the relevant access granted by </w:t>
            </w:r>
            <w:r w:rsidR="008610F8">
              <w:rPr>
                <w:rFonts w:asciiTheme="minorHAnsi" w:eastAsia="Calibri" w:hAnsiTheme="minorHAnsi" w:cs="Calibri"/>
                <w:i/>
                <w:color w:val="auto"/>
                <w:sz w:val="20"/>
                <w:szCs w:val="20"/>
              </w:rPr>
              <w:lastRenderedPageBreak/>
              <w:t xml:space="preserve">the role. You can add and remove roles to and from users and groups using OpenShift commands. Documentation for the management of Role Bindings can be found at </w:t>
            </w:r>
            <w:hyperlink r:id="rId11" w:history="1">
              <w:r w:rsidR="008610F8"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sidR="008610F8">
              <w:rPr>
                <w:rFonts w:asciiTheme="minorHAnsi" w:eastAsia="Calibri" w:hAnsiTheme="minorHAnsi" w:cs="Calibri"/>
                <w:i/>
                <w:color w:val="auto"/>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lastRenderedPageBreak/>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 xml:space="preserve">the integration of cloud-based identity </w:t>
            </w:r>
            <w:r w:rsidR="00A97B49">
              <w:rPr>
                <w:rFonts w:asciiTheme="minorHAnsi" w:eastAsia="Calibri" w:hAnsiTheme="minorHAnsi" w:cs="Calibri"/>
                <w:i/>
                <w:color w:val="auto"/>
                <w:sz w:val="20"/>
                <w:szCs w:val="20"/>
              </w:rPr>
              <w:lastRenderedPageBreak/>
              <w:t>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 xml:space="preserve">address all of the procedures and mechanisms involved in </w:t>
            </w:r>
            <w:r>
              <w:rPr>
                <w:rFonts w:asciiTheme="minorHAnsi" w:eastAsia="Calibri" w:hAnsiTheme="minorHAnsi" w:cs="Calibri"/>
                <w:i/>
                <w:sz w:val="20"/>
                <w:szCs w:val="20"/>
              </w:rPr>
              <w:lastRenderedPageBreak/>
              <w:t>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bookmarkStart w:id="129" w:name="_GoBack"/>
            <w:bookmarkEnd w:id="129"/>
          </w:p>
        </w:tc>
      </w:tr>
    </w:tbl>
    <w:p w14:paraId="70D0EFFA" w14:textId="77777777" w:rsidR="00501F02" w:rsidRPr="00245164" w:rsidRDefault="00501F02" w:rsidP="00795EC4">
      <w:pPr>
        <w:pStyle w:val="eglobaltech4n"/>
        <w:spacing w:before="240"/>
      </w:pPr>
      <w:bookmarkStart w:id="130" w:name="_Toc383429264"/>
      <w:bookmarkStart w:id="131" w:name="_Toc383430513"/>
      <w:bookmarkStart w:id="132" w:name="_Toc383433197"/>
      <w:bookmarkStart w:id="133" w:name="_Toc383444429"/>
      <w:bookmarkStart w:id="134" w:name="_Toc385594068"/>
      <w:bookmarkStart w:id="135" w:name="_Toc385594460"/>
      <w:bookmarkStart w:id="136" w:name="_Toc385594848"/>
      <w:bookmarkStart w:id="137" w:name="_Toc388620703"/>
      <w:bookmarkStart w:id="138" w:name="_Toc430608549"/>
      <w:bookmarkStart w:id="139" w:name="_Ref452470046"/>
      <w:bookmarkStart w:id="140" w:name="_Ref452470605"/>
      <w:r w:rsidRPr="00245164">
        <w:lastRenderedPageBreak/>
        <w:t>Control Enhancement AC-2 (3)</w:t>
      </w:r>
      <w:bookmarkEnd w:id="130"/>
      <w:bookmarkEnd w:id="131"/>
      <w:bookmarkEnd w:id="132"/>
      <w:bookmarkEnd w:id="133"/>
      <w:bookmarkEnd w:id="134"/>
      <w:bookmarkEnd w:id="135"/>
      <w:bookmarkEnd w:id="136"/>
      <w:bookmarkEnd w:id="137"/>
      <w:bookmarkEnd w:id="138"/>
      <w:bookmarkEnd w:id="139"/>
      <w:bookmarkEnd w:id="140"/>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1" w:name="_Toc383441865"/>
            <w:bookmarkStart w:id="142" w:name="_Toc383444080"/>
            <w:bookmarkStart w:id="143" w:name="_Toc388623255"/>
            <w:r w:rsidRPr="00A33342">
              <w:t>Parameter AC-2(3):</w:t>
            </w:r>
            <w:bookmarkEnd w:id="141"/>
            <w:bookmarkEnd w:id="142"/>
            <w:bookmarkEnd w:id="143"/>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42490" w14:textId="6E5BAB7C" w:rsidR="00501F02" w:rsidRPr="00A33342" w:rsidRDefault="00F76291" w:rsidP="00F3719A">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w:t>
            </w:r>
            <w:r w:rsidRPr="00B452E7">
              <w:rPr>
                <w:rFonts w:asciiTheme="minorHAnsi" w:eastAsia="Calibri" w:hAnsiTheme="minorHAnsi" w:cs="Calibri"/>
                <w:i/>
                <w:sz w:val="20"/>
                <w:szCs w:val="20"/>
              </w:rPr>
              <w:lastRenderedPageBreak/>
              <w:t xml:space="preserve">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5BCBA3" w14:textId="6A1BC636" w:rsidR="00501F02" w:rsidRPr="00A33342" w:rsidRDefault="00F76291" w:rsidP="00F3719A">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lastRenderedPageBreak/>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lastRenderedPageBreak/>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5"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lastRenderedPageBreak/>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6"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lastRenderedPageBreak/>
              <w:t xml:space="preserve">&lt;A review of OpenShift networking can be found here: </w:t>
            </w:r>
            <w:hyperlink r:id="rId27"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lastRenderedPageBreak/>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lastRenderedPageBreak/>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 xml:space="preserve">locks the account/node until released by an administrator; delays next </w:t>
      </w:r>
      <w:r w:rsidRPr="00AE3199">
        <w:rPr>
          <w:rFonts w:eastAsia="Times New Roman"/>
          <w:i/>
        </w:rPr>
        <w:lastRenderedPageBreak/>
        <w:t>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2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lastRenderedPageBreak/>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lastRenderedPageBreak/>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lastRenderedPageBreak/>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lastRenderedPageBreak/>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lastRenderedPageBreak/>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lastRenderedPageBreak/>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lastRenderedPageBreak/>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 xml:space="preserve">The organization provides basic security awareness training to information system users </w:t>
      </w:r>
      <w:r>
        <w:rPr>
          <w:rFonts w:eastAsia="Times New Roman"/>
        </w:rPr>
        <w:lastRenderedPageBreak/>
        <w:t>(including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1"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providing updated basic security awareness training as required by information system changes. A successful control response will discuss the process for </w:t>
            </w:r>
            <w:r>
              <w:rPr>
                <w:rFonts w:asciiTheme="minorHAnsi" w:eastAsia="Calibri" w:hAnsiTheme="minorHAnsi" w:cs="Calibri"/>
                <w:i/>
                <w:color w:val="auto"/>
                <w:sz w:val="20"/>
                <w:szCs w:val="20"/>
              </w:rPr>
              <w:lastRenderedPageBreak/>
              <w:t>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lastRenderedPageBreak/>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2"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3"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4"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5"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 xml:space="preserve">A successful control response will discuss how audit records are generated, and how </w:t>
            </w:r>
            <w:r>
              <w:rPr>
                <w:rFonts w:asciiTheme="minorHAnsi" w:eastAsia="Calibri" w:hAnsiTheme="minorHAnsi" w:cs="Calibri"/>
                <w:i/>
                <w:color w:val="auto"/>
                <w:sz w:val="20"/>
                <w:szCs w:val="20"/>
              </w:rPr>
              <w:lastRenderedPageBreak/>
              <w:t>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color w:val="auto"/>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6"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7"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38"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39"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40"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1"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3"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4"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5"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6"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kern w:val="0"/>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4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4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 xml:space="preserve">Assignment: All </w:t>
      </w:r>
      <w:r w:rsidRPr="00AE3199">
        <w:rPr>
          <w:rFonts w:eastAsia="Times New Roman"/>
          <w:bCs/>
          <w:i/>
        </w:rPr>
        <w:lastRenderedPageBreak/>
        <w:t>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w:t>
      </w:r>
      <w:r w:rsidRPr="00393FB6">
        <w:rPr>
          <w:rFonts w:eastAsia="Times New Roman"/>
        </w:rPr>
        <w:lastRenderedPageBreak/>
        <w:t xml:space="preserve">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lastRenderedPageBreak/>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5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5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9E3A4" w14:textId="77777777" w:rsidR="009E72CE" w:rsidRDefault="009E72CE" w:rsidP="00B1327B">
      <w:r>
        <w:separator/>
      </w:r>
    </w:p>
  </w:endnote>
  <w:endnote w:type="continuationSeparator" w:id="0">
    <w:p w14:paraId="30F3597B" w14:textId="77777777" w:rsidR="009E72CE" w:rsidRDefault="009E72CE" w:rsidP="00B1327B">
      <w:r>
        <w:continuationSeparator/>
      </w:r>
    </w:p>
  </w:endnote>
  <w:endnote w:type="continuationNotice" w:id="1">
    <w:p w14:paraId="16F44660" w14:textId="77777777" w:rsidR="009E72CE" w:rsidRDefault="009E7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00165C" w:rsidRPr="0000165C">
      <w:rPr>
        <w:noProof/>
        <w:sz w:val="24"/>
        <w:szCs w:val="24"/>
      </w:rPr>
      <w:t>11</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8392E" w14:textId="77777777" w:rsidR="009E72CE" w:rsidRDefault="009E72CE" w:rsidP="00B1327B">
      <w:r>
        <w:separator/>
      </w:r>
    </w:p>
  </w:footnote>
  <w:footnote w:type="continuationSeparator" w:id="0">
    <w:p w14:paraId="25D94C01" w14:textId="77777777" w:rsidR="009E72CE" w:rsidRDefault="009E72CE" w:rsidP="00B1327B">
      <w:r>
        <w:continuationSeparator/>
      </w:r>
    </w:p>
  </w:footnote>
  <w:footnote w:type="continuationNotice" w:id="1">
    <w:p w14:paraId="2FEEC8F8" w14:textId="77777777" w:rsidR="009E72CE" w:rsidRDefault="009E72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E72CE"/>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technet.microsoft.com/en-us/windowsserver/dd448615.aspx" TargetMode="External"/><Relationship Id="rId51" Type="http://schemas.openxmlformats.org/officeDocument/2006/relationships/hyperlink" Target="http://msdn.microsoft.com/en-us/library/azure/dn715779.aspx" TargetMode="External"/><Relationship Id="rId52" Type="http://schemas.openxmlformats.org/officeDocument/2006/relationships/hyperlink" Target="http://usgcb.nist.gov/usgcb_faq.html" TargetMode="External"/><Relationship Id="rId53" Type="http://schemas.openxmlformats.org/officeDocument/2006/relationships/hyperlink" Target="https://technet.microsoft.com/en-us/windowsserver/dd448615.aspx" TargetMode="External"/><Relationship Id="rId54" Type="http://schemas.openxmlformats.org/officeDocument/2006/relationships/hyperlink" Target="https://azure.microsoft.com/en-us/documentation/articles/active-directory-hybrid-identity-design-considerations-overview/" TargetMode="External"/><Relationship Id="rId55" Type="http://schemas.openxmlformats.org/officeDocument/2006/relationships/hyperlink" Target="https://technet.microsoft.com/en-us/magazine/dn250023.aspx" TargetMode="External"/><Relationship Id="rId56" Type="http://schemas.openxmlformats.org/officeDocument/2006/relationships/hyperlink" Target="https://technet.microsoft.com/en-us/windowsserver/dd448615.aspx"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msdn.microsoft.com/en-us/library/azure/dn715779.aspx"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azure.microsoft.com/en-us/documentation/learning-paths/site-recovery/" TargetMode="External"/><Relationship Id="rId41" Type="http://schemas.openxmlformats.org/officeDocument/2006/relationships/hyperlink" Target="https://www.microsoft.com/en-us/trustcenter/security/auditingandlogging" TargetMode="External"/><Relationship Id="rId42" Type="http://schemas.openxmlformats.org/officeDocument/2006/relationships/hyperlink" Target="https://technet.microsoft.com/en-us/magazine/dn250023.aspx" TargetMode="External"/><Relationship Id="rId43" Type="http://schemas.openxmlformats.org/officeDocument/2006/relationships/hyperlink" Target="http://scap.nist.gov/" TargetMode="External"/><Relationship Id="rId44" Type="http://schemas.openxmlformats.org/officeDocument/2006/relationships/hyperlink" Target="http://usgcb.nist.gov/usgcb_faq.html" TargetMode="External"/><Relationship Id="rId45" Type="http://schemas.openxmlformats.org/officeDocument/2006/relationships/hyperlink" Target="https://azure.microsoft.com/en-us/documentation/articles/multi-factor-authentication-security-best-practices/" TargetMode="External"/><Relationship Id="rId46" Type="http://schemas.openxmlformats.org/officeDocument/2006/relationships/hyperlink" Target="https://azure.microsoft.com/en-us/documentation/articles/sql-database-disaster-recovery-drills/" TargetMode="External"/><Relationship Id="rId47" Type="http://schemas.openxmlformats.org/officeDocument/2006/relationships/hyperlink" Target="https://www.microsoft.com/en-us/TrustCenter/Security/Identit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www.microsoft.com/en-us/TrustCenter/Security/Ident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microsoft.com/en-us/TrustCenter/Security/Identity" TargetMode="External"/><Relationship Id="rId31" Type="http://schemas.openxmlformats.org/officeDocument/2006/relationships/hyperlink" Target="https://www.microsoft.com/en-us/TrustCenter/Security/Identity" TargetMode="External"/><Relationship Id="rId32" Type="http://schemas.openxmlformats.org/officeDocument/2006/relationships/hyperlink" Target="http://usgcb.nist.gov/usgcb_faq.htm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tf.nist.gov/tf-cgi/servers.cgi"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www.microsoft.com/en-us/TrustCenter/Resources/" TargetMode="External"/><Relationship Id="rId37" Type="http://schemas.openxmlformats.org/officeDocument/2006/relationships/hyperlink" Target="http://tf.nist.gov/tf-cgi/servers.cgi" TargetMode="External"/><Relationship Id="rId38" Type="http://schemas.openxmlformats.org/officeDocument/2006/relationships/hyperlink" Target="http://tf.nist.gov/tf-cgi/servers.cgi" TargetMode="External"/><Relationship Id="rId39" Type="http://schemas.openxmlformats.org/officeDocument/2006/relationships/hyperlink" Target="https://azure.microsoft.com/en-us/documentation/articles/active-directory-hybrid-identity-design-considerations-overview/" TargetMode="External"/><Relationship Id="rId20" Type="http://schemas.openxmlformats.org/officeDocument/2006/relationships/hyperlink" Target="https://www.microsoft.com/en-us/TrustCenter/Security/Identity" TargetMode="External"/><Relationship Id="rId21" Type="http://schemas.openxmlformats.org/officeDocument/2006/relationships/hyperlink" Target="http://usgcb.nist.gov/usgcb_faq.html" TargetMode="External"/><Relationship Id="rId22" Type="http://schemas.openxmlformats.org/officeDocument/2006/relationships/hyperlink" Target="https://www.microsoft.com/en-us/TrustCenter/Security/Identity" TargetMode="External"/><Relationship Id="rId23" Type="http://schemas.openxmlformats.org/officeDocument/2006/relationships/hyperlink" Target="https://www.microsoft.com/en-us/TrustCenter/Security/Identity" TargetMode="External"/><Relationship Id="rId24" Type="http://schemas.openxmlformats.org/officeDocument/2006/relationships/hyperlink" Target="https://www.microsoft.com/en-us/TrustCenter/Security/Identity" TargetMode="External"/><Relationship Id="rId25" Type="http://schemas.openxmlformats.org/officeDocument/2006/relationships/hyperlink" Target="https://docs.openshift.com/container-platform/3.3/architecture/additional_concepts/authorization.html" TargetMode="External"/><Relationship Id="rId26" Type="http://schemas.openxmlformats.org/officeDocument/2006/relationships/hyperlink" Target="https://docs.openshift.com/container-platform/3.3/architecture/additional_concepts/networking.html" TargetMode="External"/><Relationship Id="rId27" Type="http://schemas.openxmlformats.org/officeDocument/2006/relationships/hyperlink" Target="https://docs.openshift.com/container-platform/3.3/architecture/additional_concepts/networking.html" TargetMode="External"/><Relationship Id="rId28" Type="http://schemas.openxmlformats.org/officeDocument/2006/relationships/hyperlink" Target="http://www.niap-ccevs.org/vpl" TargetMode="External"/><Relationship Id="rId29" Type="http://schemas.openxmlformats.org/officeDocument/2006/relationships/hyperlink" Target="https://www.microsoft.com/en-us/TrustCenter/Security/Identity" TargetMode="External"/><Relationship Id="rId60" Type="http://schemas.openxmlformats.org/officeDocument/2006/relationships/hyperlink" Target="https://technet.microsoft.com/en-us/magazine/dn250023.aspx" TargetMode="External"/><Relationship Id="rId61" Type="http://schemas.openxmlformats.org/officeDocument/2006/relationships/hyperlink" Target="https://azure.microsoft.com/en-us/documentation/articles/security-center-intro/" TargetMode="External"/><Relationship Id="rId62"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37580FB1-07E4-1E4C-8846-02E6DF82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351</Pages>
  <Words>101725</Words>
  <Characters>579837</Characters>
  <Application>Microsoft Macintosh Word</Application>
  <DocSecurity>0</DocSecurity>
  <Lines>4831</Lines>
  <Paragraphs>1360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cp:revision>
  <dcterms:created xsi:type="dcterms:W3CDTF">2016-10-14T05:27:00Z</dcterms:created>
  <dcterms:modified xsi:type="dcterms:W3CDTF">2016-10-17T23:34:00Z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