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9AE8" w14:textId="06A839D5" w:rsidR="00890A85" w:rsidRDefault="00B1022B">
      <w:pPr>
        <w:rPr>
          <w:lang w:val="es-419"/>
        </w:rPr>
      </w:pPr>
      <w:r w:rsidRPr="00B1022B">
        <w:rPr>
          <w:lang w:val="es-419"/>
        </w:rPr>
        <w:t xml:space="preserve">AI Cloud </w:t>
      </w:r>
      <w:proofErr w:type="spellStart"/>
      <w:r w:rsidRPr="00B1022B">
        <w:rPr>
          <w:lang w:val="es-419"/>
        </w:rPr>
        <w:t>Service</w:t>
      </w:r>
      <w:proofErr w:type="spellEnd"/>
      <w:r w:rsidRPr="00B1022B">
        <w:rPr>
          <w:lang w:val="es-419"/>
        </w:rPr>
        <w:t xml:space="preserve"> </w:t>
      </w:r>
      <w:proofErr w:type="spellStart"/>
      <w:r w:rsidRPr="00B1022B">
        <w:rPr>
          <w:lang w:val="es-419"/>
        </w:rPr>
        <w:t>Compliance</w:t>
      </w:r>
      <w:proofErr w:type="spellEnd"/>
      <w:r w:rsidRPr="00B1022B">
        <w:rPr>
          <w:lang w:val="es-419"/>
        </w:rPr>
        <w:t xml:space="preserve"> </w:t>
      </w:r>
      <w:proofErr w:type="spellStart"/>
      <w:r w:rsidRPr="00B1022B">
        <w:rPr>
          <w:lang w:val="es-419"/>
        </w:rPr>
        <w:t>Criteria</w:t>
      </w:r>
      <w:proofErr w:type="spellEnd"/>
      <w:r w:rsidRPr="00B1022B">
        <w:rPr>
          <w:lang w:val="es-419"/>
        </w:rPr>
        <w:t xml:space="preserve"> Cata</w:t>
      </w:r>
      <w:r>
        <w:rPr>
          <w:lang w:val="es-419"/>
        </w:rPr>
        <w:t>logue (AIC4)</w:t>
      </w:r>
    </w:p>
    <w:p w14:paraId="2B176324" w14:textId="54873A64" w:rsidR="00B1022B" w:rsidRDefault="00B1022B" w:rsidP="00B1022B">
      <w:proofErr w:type="spellStart"/>
      <w:r>
        <w:rPr>
          <w:rFonts w:ascii="Segoe UI" w:hAnsi="Segoe UI" w:cs="Segoe UI"/>
        </w:rPr>
        <w:t>Bundesamt</w:t>
      </w:r>
      <w:proofErr w:type="spellEnd"/>
      <w:r>
        <w:rPr>
          <w:rFonts w:ascii="Segoe UI" w:hAnsi="Segoe UI" w:cs="Segoe UI"/>
        </w:rPr>
        <w:t xml:space="preserve"> für Sicherheit in der </w:t>
      </w:r>
      <w:proofErr w:type="spellStart"/>
      <w:r>
        <w:rPr>
          <w:rFonts w:ascii="Segoe UI" w:hAnsi="Segoe UI" w:cs="Segoe UI"/>
        </w:rPr>
        <w:t>Informationstechnik</w:t>
      </w:r>
      <w:proofErr w:type="spellEnd"/>
      <w:r w:rsidRPr="00687910">
        <w:rPr>
          <w:rFonts w:ascii="Segoe UI" w:hAnsi="Segoe UI" w:cs="Segoe UI"/>
        </w:rPr>
        <w:t>. (202</w:t>
      </w:r>
      <w:r>
        <w:rPr>
          <w:rFonts w:ascii="Segoe UI" w:hAnsi="Segoe UI" w:cs="Segoe UI"/>
        </w:rPr>
        <w:t>3</w:t>
      </w:r>
      <w:r w:rsidRPr="00687910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May</w:t>
      </w:r>
      <w:r w:rsidRPr="0068791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22</w:t>
      </w:r>
      <w:r w:rsidRPr="00687910">
        <w:rPr>
          <w:rFonts w:ascii="Segoe UI" w:hAnsi="Segoe UI" w:cs="Segoe UI"/>
        </w:rPr>
        <w:t xml:space="preserve">). </w:t>
      </w:r>
      <w:r w:rsidRPr="00B1022B">
        <w:rPr>
          <w:lang w:val="es-419"/>
        </w:rPr>
        <w:t xml:space="preserve">AI Cloud </w:t>
      </w:r>
      <w:proofErr w:type="spellStart"/>
      <w:r w:rsidRPr="00B1022B">
        <w:rPr>
          <w:lang w:val="es-419"/>
        </w:rPr>
        <w:t>Service</w:t>
      </w:r>
      <w:proofErr w:type="spellEnd"/>
      <w:r w:rsidRPr="00B1022B">
        <w:rPr>
          <w:lang w:val="es-419"/>
        </w:rPr>
        <w:t xml:space="preserve"> </w:t>
      </w:r>
      <w:proofErr w:type="spellStart"/>
      <w:r w:rsidRPr="00B1022B">
        <w:rPr>
          <w:lang w:val="es-419"/>
        </w:rPr>
        <w:t>Compliance</w:t>
      </w:r>
      <w:proofErr w:type="spellEnd"/>
      <w:r w:rsidRPr="00B1022B">
        <w:rPr>
          <w:lang w:val="es-419"/>
        </w:rPr>
        <w:t xml:space="preserve"> </w:t>
      </w:r>
      <w:proofErr w:type="spellStart"/>
      <w:r w:rsidRPr="00B1022B">
        <w:rPr>
          <w:lang w:val="es-419"/>
        </w:rPr>
        <w:t>Criteria</w:t>
      </w:r>
      <w:proofErr w:type="spellEnd"/>
      <w:r w:rsidRPr="00B1022B">
        <w:rPr>
          <w:lang w:val="es-419"/>
        </w:rPr>
        <w:t xml:space="preserve"> Cata</w:t>
      </w:r>
      <w:r>
        <w:rPr>
          <w:lang w:val="es-419"/>
        </w:rPr>
        <w:t>logue (AIC4)</w:t>
      </w:r>
      <w:r w:rsidRPr="00687910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BSI</w:t>
      </w:r>
      <w:r w:rsidRPr="00687910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hyperlink r:id="rId4" w:history="1">
        <w:r w:rsidRPr="007D6A38">
          <w:rPr>
            <w:rStyle w:val="Hyperlink"/>
          </w:rPr>
          <w:t>https://www.bsi.bund.de/SharedDocs/Downloads/EN/BSI/CloudComputing/AIC4/AI-Cloud-Service-Compliance-Criteria-Catalogue_AIC4.pdf?__blob=publicationFile&amp;v=</w:t>
        </w:r>
        <w:r w:rsidRPr="007D6A38">
          <w:rPr>
            <w:rStyle w:val="Hyperlink"/>
          </w:rPr>
          <w:t>4</w:t>
        </w:r>
      </w:hyperlink>
    </w:p>
    <w:p w14:paraId="05E72E74" w14:textId="6ACD346D" w:rsidR="003223A2" w:rsidRPr="003223A2" w:rsidRDefault="003223A2" w:rsidP="00B1022B">
      <w:r>
        <w:t>The document is a guide for auditors to evaluate the compliance of an AI service provider.</w:t>
      </w:r>
    </w:p>
    <w:p w14:paraId="0F3CD07F" w14:textId="4EA69887" w:rsidR="00B1022B" w:rsidRDefault="00B1022B">
      <w:pPr>
        <w:rPr>
          <w:rFonts w:ascii="Segoe UI" w:hAnsi="Segoe UI" w:cs="Segoe UI"/>
        </w:rPr>
      </w:pPr>
      <w:r>
        <w:rPr>
          <w:rFonts w:ascii="Segoe UI" w:hAnsi="Segoe UI" w:cs="Segoe UI"/>
        </w:rPr>
        <w:t>Compliance Criteria are divided into 8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1022B" w14:paraId="4F18DAF4" w14:textId="77777777" w:rsidTr="00B1022B">
        <w:tc>
          <w:tcPr>
            <w:tcW w:w="2155" w:type="dxa"/>
          </w:tcPr>
          <w:p w14:paraId="50920BBA" w14:textId="67A986D5" w:rsidR="00B1022B" w:rsidRDefault="00B1022B">
            <w:r>
              <w:t>Preliminary Criteria</w:t>
            </w:r>
          </w:p>
        </w:tc>
        <w:tc>
          <w:tcPr>
            <w:tcW w:w="7195" w:type="dxa"/>
          </w:tcPr>
          <w:p w14:paraId="0D5286DB" w14:textId="77777777" w:rsidR="00B1022B" w:rsidRDefault="00B1022B" w:rsidP="00B1022B">
            <w:r>
              <w:t>Ensure that the AI service provider demonstrates compliance of its</w:t>
            </w:r>
          </w:p>
          <w:p w14:paraId="0DD8BEB5" w14:textId="2840500E" w:rsidR="00B1022B" w:rsidRDefault="00B1022B" w:rsidP="00B1022B">
            <w:r>
              <w:t>AI service with general cloud computing compliance criteria according to C5</w:t>
            </w:r>
            <w:r w:rsidR="003223A2">
              <w:t xml:space="preserve"> (Cloud Computing Compliance Criteria Catalogue)</w:t>
            </w:r>
            <w:r>
              <w:t xml:space="preserve"> as well as consistent documentation of policies and instructions applicable for the AI service</w:t>
            </w:r>
          </w:p>
        </w:tc>
      </w:tr>
      <w:tr w:rsidR="00B1022B" w14:paraId="66DBC66A" w14:textId="77777777" w:rsidTr="00B1022B">
        <w:tc>
          <w:tcPr>
            <w:tcW w:w="2155" w:type="dxa"/>
          </w:tcPr>
          <w:p w14:paraId="07949B22" w14:textId="65B613B5" w:rsidR="00B1022B" w:rsidRDefault="00B1022B">
            <w:r>
              <w:t>Security and robustness</w:t>
            </w:r>
          </w:p>
        </w:tc>
        <w:tc>
          <w:tcPr>
            <w:tcW w:w="7195" w:type="dxa"/>
          </w:tcPr>
          <w:p w14:paraId="5DF8A392" w14:textId="77777777" w:rsidR="00B1022B" w:rsidRDefault="00B1022B" w:rsidP="00B1022B">
            <w:r>
              <w:t>Secure the AI service and improve its robustness against attacks by</w:t>
            </w:r>
          </w:p>
          <w:p w14:paraId="26A80A02" w14:textId="77777777" w:rsidR="00B1022B" w:rsidRDefault="00B1022B" w:rsidP="00B1022B">
            <w:r>
              <w:t>ensuring confidentiality and integrity of data along the service’s</w:t>
            </w:r>
          </w:p>
          <w:p w14:paraId="1794ACC5" w14:textId="77777777" w:rsidR="00B1022B" w:rsidRDefault="00B1022B" w:rsidP="00B1022B">
            <w:r>
              <w:t>training pipeline through testing against malicious input data as well</w:t>
            </w:r>
          </w:p>
          <w:p w14:paraId="6B102EAE" w14:textId="3DB4C454" w:rsidR="00B1022B" w:rsidRDefault="00B1022B" w:rsidP="00B1022B">
            <w:r>
              <w:t>as the implementation of countermeasures.</w:t>
            </w:r>
          </w:p>
        </w:tc>
      </w:tr>
      <w:tr w:rsidR="00B1022B" w14:paraId="728ADC73" w14:textId="77777777" w:rsidTr="00B1022B">
        <w:tc>
          <w:tcPr>
            <w:tcW w:w="2155" w:type="dxa"/>
          </w:tcPr>
          <w:p w14:paraId="1857BE6E" w14:textId="1FC5124D" w:rsidR="00B1022B" w:rsidRDefault="00B1022B">
            <w:r>
              <w:t>Performance and Functionality</w:t>
            </w:r>
          </w:p>
        </w:tc>
        <w:tc>
          <w:tcPr>
            <w:tcW w:w="7195" w:type="dxa"/>
          </w:tcPr>
          <w:p w14:paraId="783234D7" w14:textId="77777777" w:rsidR="00B1022B" w:rsidRDefault="00B1022B" w:rsidP="00B1022B">
            <w:r>
              <w:t>Ensure accurate processing in line with performance requirements</w:t>
            </w:r>
          </w:p>
          <w:p w14:paraId="79314757" w14:textId="394CA275" w:rsidR="00B1022B" w:rsidRDefault="00B1022B" w:rsidP="00B1022B">
            <w:r>
              <w:t>for the AI service by training, evaluating and testing extensively be</w:t>
            </w:r>
            <w:r>
              <w:t>f</w:t>
            </w:r>
            <w:r>
              <w:t>ore deployment. Tailored assessment methods are used in accordance with requirements for accurate processing. Training of AI</w:t>
            </w:r>
            <w:r>
              <w:t xml:space="preserve"> </w:t>
            </w:r>
            <w:r>
              <w:t>model(s) within the scope of the AI service follows established</w:t>
            </w:r>
            <w:r>
              <w:t xml:space="preserve"> </w:t>
            </w:r>
            <w:r>
              <w:t>procedures.</w:t>
            </w:r>
          </w:p>
        </w:tc>
      </w:tr>
      <w:tr w:rsidR="00B1022B" w14:paraId="62735A16" w14:textId="77777777" w:rsidTr="00B1022B">
        <w:tc>
          <w:tcPr>
            <w:tcW w:w="2155" w:type="dxa"/>
          </w:tcPr>
          <w:p w14:paraId="54380DC1" w14:textId="0BDE1BA3" w:rsidR="00B1022B" w:rsidRDefault="00B1022B">
            <w:r>
              <w:t>Reliability</w:t>
            </w:r>
          </w:p>
        </w:tc>
        <w:tc>
          <w:tcPr>
            <w:tcW w:w="7195" w:type="dxa"/>
          </w:tcPr>
          <w:p w14:paraId="05748733" w14:textId="16B358AC" w:rsidR="00B1022B" w:rsidRDefault="00B1022B" w:rsidP="00B1022B">
            <w:r>
              <w:t>Ensure continuous operation of the AI service in the production environment and investigate possible failures through appropriate procedures for resource management, logging, failure management and</w:t>
            </w:r>
            <w:r>
              <w:t xml:space="preserve"> </w:t>
            </w:r>
            <w:r>
              <w:t>backups.</w:t>
            </w:r>
          </w:p>
        </w:tc>
      </w:tr>
      <w:tr w:rsidR="00B1022B" w14:paraId="0520AAA5" w14:textId="77777777" w:rsidTr="00B1022B">
        <w:tc>
          <w:tcPr>
            <w:tcW w:w="2155" w:type="dxa"/>
          </w:tcPr>
          <w:p w14:paraId="7E53DE6C" w14:textId="7BB5FB44" w:rsidR="00B1022B" w:rsidRDefault="00B1022B">
            <w:r>
              <w:t>Data Quality</w:t>
            </w:r>
          </w:p>
        </w:tc>
        <w:tc>
          <w:tcPr>
            <w:tcW w:w="7195" w:type="dxa"/>
          </w:tcPr>
          <w:p w14:paraId="60558907" w14:textId="77777777" w:rsidR="00B1022B" w:rsidRDefault="00B1022B" w:rsidP="00B1022B">
            <w:r>
              <w:t xml:space="preserve">Ensure that data </w:t>
            </w:r>
            <w:proofErr w:type="gramStart"/>
            <w:r>
              <w:t>used</w:t>
            </w:r>
            <w:proofErr w:type="gramEnd"/>
            <w:r>
              <w:t xml:space="preserve"> by the AI service (e.g. training and test data)</w:t>
            </w:r>
          </w:p>
          <w:p w14:paraId="7288CCAB" w14:textId="06A2E706" w:rsidR="00B1022B" w:rsidRDefault="00B1022B" w:rsidP="00B1022B">
            <w:r>
              <w:t xml:space="preserve">comes from trustworthy sources, fulfills quality criteria, is </w:t>
            </w:r>
            <w:r>
              <w:t>a</w:t>
            </w:r>
            <w:r>
              <w:t>nnotated</w:t>
            </w:r>
            <w:r>
              <w:t xml:space="preserve"> </w:t>
            </w:r>
            <w:r>
              <w:t>correctly and is protected adequately.</w:t>
            </w:r>
          </w:p>
        </w:tc>
      </w:tr>
      <w:tr w:rsidR="00B1022B" w14:paraId="03473B43" w14:textId="77777777" w:rsidTr="00B1022B">
        <w:tc>
          <w:tcPr>
            <w:tcW w:w="2155" w:type="dxa"/>
          </w:tcPr>
          <w:p w14:paraId="513F2C6B" w14:textId="23887097" w:rsidR="00B1022B" w:rsidRDefault="00B1022B">
            <w:r>
              <w:t>Data Management</w:t>
            </w:r>
          </w:p>
        </w:tc>
        <w:tc>
          <w:tcPr>
            <w:tcW w:w="7195" w:type="dxa"/>
          </w:tcPr>
          <w:p w14:paraId="7F97F2B6" w14:textId="69279EA3" w:rsidR="00B1022B" w:rsidRDefault="00B1022B" w:rsidP="00B1022B">
            <w:r>
              <w:t>Ensure that a framework providing guidelines for data handling, data</w:t>
            </w:r>
            <w:r>
              <w:t xml:space="preserve"> </w:t>
            </w:r>
            <w:r>
              <w:t>quality</w:t>
            </w:r>
            <w:r w:rsidR="003223A2">
              <w:t>, and data</w:t>
            </w:r>
            <w:r>
              <w:t xml:space="preserve"> access as well as handling of data sources for the AI service is in place.</w:t>
            </w:r>
          </w:p>
        </w:tc>
      </w:tr>
      <w:tr w:rsidR="00B1022B" w14:paraId="4226F193" w14:textId="77777777" w:rsidTr="00B1022B">
        <w:tc>
          <w:tcPr>
            <w:tcW w:w="2155" w:type="dxa"/>
          </w:tcPr>
          <w:p w14:paraId="52F38AE0" w14:textId="4BAE0A8C" w:rsidR="00B1022B" w:rsidRDefault="00B1022B">
            <w:r>
              <w:t>Explainability</w:t>
            </w:r>
          </w:p>
        </w:tc>
        <w:tc>
          <w:tcPr>
            <w:tcW w:w="7195" w:type="dxa"/>
          </w:tcPr>
          <w:p w14:paraId="6423880B" w14:textId="05E8A7E3" w:rsidR="00B1022B" w:rsidRDefault="003223A2" w:rsidP="003223A2">
            <w:r>
              <w:t>Provide measures so that users can understand and explain decisions</w:t>
            </w:r>
            <w:r>
              <w:t xml:space="preserve"> </w:t>
            </w:r>
            <w:r>
              <w:t>made by the service when necessary while depending on the sensitivity of the target application making the lack of explainability</w:t>
            </w:r>
            <w:r>
              <w:t xml:space="preserve"> </w:t>
            </w:r>
            <w:r>
              <w:t>transparent to users.</w:t>
            </w:r>
          </w:p>
        </w:tc>
      </w:tr>
      <w:tr w:rsidR="00B1022B" w14:paraId="494A21D9" w14:textId="77777777" w:rsidTr="00B1022B">
        <w:tc>
          <w:tcPr>
            <w:tcW w:w="2155" w:type="dxa"/>
          </w:tcPr>
          <w:p w14:paraId="5031AD37" w14:textId="7D8F5BEA" w:rsidR="00B1022B" w:rsidRDefault="00B1022B">
            <w:r>
              <w:t>Bias</w:t>
            </w:r>
          </w:p>
        </w:tc>
        <w:tc>
          <w:tcPr>
            <w:tcW w:w="7195" w:type="dxa"/>
          </w:tcPr>
          <w:p w14:paraId="1CCEEC40" w14:textId="7E4C75EA" w:rsidR="00B1022B" w:rsidRDefault="003223A2" w:rsidP="003223A2">
            <w:r>
              <w:t>Provide methods to assess and mitigate possible bias within the service or training data using appropriate techniques.</w:t>
            </w:r>
          </w:p>
        </w:tc>
      </w:tr>
    </w:tbl>
    <w:p w14:paraId="06F982B9" w14:textId="77777777" w:rsidR="00B1022B" w:rsidRPr="00B1022B" w:rsidRDefault="00B1022B"/>
    <w:sectPr w:rsidR="00B1022B" w:rsidRPr="00B1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2B"/>
    <w:rsid w:val="003223A2"/>
    <w:rsid w:val="005F3172"/>
    <w:rsid w:val="00890A85"/>
    <w:rsid w:val="009A2E09"/>
    <w:rsid w:val="00B1022B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ADC6"/>
  <w15:chartTrackingRefBased/>
  <w15:docId w15:val="{92A11381-C0E6-46B6-B819-2E708EA1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si.bund.de/SharedDocs/Downloads/EN/BSI/CloudComputing/AIC4/AI-Cloud-Service-Compliance-Criteria-Catalogue_AIC4.pdf?__blob=publicationFile&amp;v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2202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MONCADA LARREA</dc:creator>
  <cp:keywords/>
  <dc:description/>
  <cp:lastModifiedBy>ANDRES MONCADA LARREA</cp:lastModifiedBy>
  <cp:revision>1</cp:revision>
  <dcterms:created xsi:type="dcterms:W3CDTF">2025-10-16T21:39:00Z</dcterms:created>
  <dcterms:modified xsi:type="dcterms:W3CDTF">2025-10-16T22:04:00Z</dcterms:modified>
</cp:coreProperties>
</file>