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9883F1" w14:textId="01641FFF" w:rsidR="00C15971" w:rsidRPr="00C15971" w:rsidRDefault="00C15971" w:rsidP="00C15971">
      <w:pPr>
        <w:rPr>
          <w:rFonts w:cs="Times New Roman"/>
          <w:b w:val="0"/>
          <w:bCs/>
          <w:sz w:val="22"/>
        </w:rPr>
      </w:pPr>
      <w:r>
        <w:rPr>
          <w:rFonts w:cs="Times New Roman"/>
          <w:b w:val="0"/>
          <w:bCs/>
          <w:sz w:val="22"/>
        </w:rPr>
        <w:t>RED MEDICRON IPS</w:t>
      </w:r>
      <w:r w:rsidRPr="00C15971">
        <w:rPr>
          <w:rFonts w:cs="Times New Roman"/>
          <w:b w:val="0"/>
          <w:bCs/>
          <w:sz w:val="22"/>
        </w:rPr>
        <w:t>, comprometida en brindar ambientes laborales sanos de confianza y armonía entre los diferentes actores que hacen parte de la institución, implementa la presente política como mecanismo de prevención y control de las conductas del acoso laboral incluyendo la desconexión laboral, con el fin de propiciar un ambiente de trabajo seguro, equitativo, respetuoso, al igual que el fomento de un equilibrio entre la vida laboral y personal, independiente de la vinculación y/o modalidad de contratación.</w:t>
      </w:r>
    </w:p>
    <w:p w14:paraId="1E0A94FC" w14:textId="026CC8EA" w:rsidR="00C15971" w:rsidRPr="00C15971" w:rsidRDefault="00C15971" w:rsidP="00C15971">
      <w:pPr>
        <w:rPr>
          <w:rFonts w:cs="Times New Roman"/>
          <w:b w:val="0"/>
          <w:bCs/>
          <w:sz w:val="22"/>
        </w:rPr>
      </w:pPr>
      <w:r w:rsidRPr="00C15971">
        <w:rPr>
          <w:rFonts w:cs="Times New Roman"/>
          <w:b w:val="0"/>
          <w:bCs/>
          <w:sz w:val="22"/>
        </w:rPr>
        <w:t>Esta política contiene las siguientes estrategias:</w:t>
      </w:r>
    </w:p>
    <w:p w14:paraId="226465E4" w14:textId="77777777" w:rsidR="00C15971" w:rsidRPr="00C15971" w:rsidRDefault="00C15971" w:rsidP="00C15971">
      <w:pPr>
        <w:rPr>
          <w:rFonts w:cs="Times New Roman"/>
          <w:b w:val="0"/>
          <w:bCs/>
          <w:sz w:val="22"/>
        </w:rPr>
      </w:pPr>
    </w:p>
    <w:p w14:paraId="1702589F" w14:textId="77777777" w:rsidR="00C15971" w:rsidRPr="00C15971" w:rsidRDefault="00C15971" w:rsidP="00C15971">
      <w:pPr>
        <w:pStyle w:val="Prrafodelista"/>
        <w:numPr>
          <w:ilvl w:val="0"/>
          <w:numId w:val="8"/>
        </w:numPr>
        <w:spacing w:after="160" w:line="259" w:lineRule="auto"/>
        <w:rPr>
          <w:rFonts w:cs="Times New Roman"/>
          <w:b w:val="0"/>
          <w:bCs/>
          <w:sz w:val="22"/>
        </w:rPr>
      </w:pPr>
      <w:r w:rsidRPr="00C15971">
        <w:rPr>
          <w:rFonts w:cs="Times New Roman"/>
          <w:b w:val="0"/>
          <w:bCs/>
          <w:sz w:val="22"/>
        </w:rPr>
        <w:t>Conformar y verificar el funcionamiento del Comité de Convivencia Laboral y ejecutar un procedimiento interno confidencial conciliatorio y efectivo para prevenir las conductas de presunto acoso laboral.</w:t>
      </w:r>
    </w:p>
    <w:p w14:paraId="500E93C4" w14:textId="77777777" w:rsidR="00C15971" w:rsidRPr="00C15971" w:rsidRDefault="00C15971" w:rsidP="00C15971">
      <w:pPr>
        <w:pStyle w:val="Prrafodelista"/>
        <w:numPr>
          <w:ilvl w:val="0"/>
          <w:numId w:val="8"/>
        </w:numPr>
        <w:spacing w:after="160" w:line="259" w:lineRule="auto"/>
        <w:rPr>
          <w:rFonts w:cs="Times New Roman"/>
          <w:b w:val="0"/>
          <w:bCs/>
          <w:sz w:val="22"/>
        </w:rPr>
      </w:pPr>
      <w:r w:rsidRPr="00C15971">
        <w:rPr>
          <w:rFonts w:cs="Times New Roman"/>
          <w:b w:val="0"/>
          <w:bCs/>
          <w:sz w:val="22"/>
        </w:rPr>
        <w:t>Contar con el procedimiento para formular la queja a través del cual se puedan denunciar los hechos constitutivos de un presunto acoso laboral, asegurando la confidencialidad y el respeto por el colaborador.</w:t>
      </w:r>
    </w:p>
    <w:p w14:paraId="5A47B565" w14:textId="77777777" w:rsidR="00C15971" w:rsidRPr="00C15971" w:rsidRDefault="00C15971" w:rsidP="00C15971">
      <w:pPr>
        <w:pStyle w:val="Prrafodelista"/>
        <w:numPr>
          <w:ilvl w:val="0"/>
          <w:numId w:val="8"/>
        </w:numPr>
        <w:spacing w:after="160" w:line="259" w:lineRule="auto"/>
        <w:rPr>
          <w:rFonts w:cs="Times New Roman"/>
          <w:b w:val="0"/>
          <w:bCs/>
          <w:sz w:val="22"/>
        </w:rPr>
      </w:pPr>
      <w:r w:rsidRPr="00C15971">
        <w:rPr>
          <w:rFonts w:cs="Times New Roman"/>
          <w:b w:val="0"/>
          <w:bCs/>
          <w:sz w:val="22"/>
        </w:rPr>
        <w:t>Promover actividades de sensibilización y capacitación en materia de prevención y mitigación de los factores de riesgo psicosocial Intralaboral de tal forma que se promueva la importancia de los valores y el buen trato, en pro de la dignidad humana, la salud mental, la intimidad, la honra y el respeto por los derechos humanos, mediante la promoción de una sana convivencia y un trabajo colectivo basado en relaciones de respeto entre todos.</w:t>
      </w:r>
    </w:p>
    <w:p w14:paraId="0C06D2D0" w14:textId="77777777" w:rsidR="00C15971" w:rsidRPr="00C15971" w:rsidRDefault="00C15971" w:rsidP="00C15971">
      <w:pPr>
        <w:pStyle w:val="Prrafodelista"/>
        <w:numPr>
          <w:ilvl w:val="0"/>
          <w:numId w:val="8"/>
        </w:numPr>
        <w:spacing w:after="160" w:line="259" w:lineRule="auto"/>
        <w:rPr>
          <w:rFonts w:cs="Times New Roman"/>
          <w:b w:val="0"/>
          <w:bCs/>
          <w:sz w:val="22"/>
        </w:rPr>
      </w:pPr>
      <w:r w:rsidRPr="00C15971">
        <w:rPr>
          <w:rFonts w:cs="Times New Roman"/>
          <w:b w:val="0"/>
          <w:bCs/>
          <w:sz w:val="22"/>
        </w:rPr>
        <w:t>Educación sobre los efectos de la desconexión laboral y seguimiento a la vulneración del derecho de la desconexión laboral.</w:t>
      </w:r>
    </w:p>
    <w:p w14:paraId="7CD23759" w14:textId="77777777" w:rsidR="00C15971" w:rsidRPr="00C15971" w:rsidRDefault="00C15971" w:rsidP="00C15971">
      <w:pPr>
        <w:pStyle w:val="Prrafodelista"/>
        <w:numPr>
          <w:ilvl w:val="0"/>
          <w:numId w:val="8"/>
        </w:numPr>
        <w:spacing w:after="160" w:line="259" w:lineRule="auto"/>
        <w:rPr>
          <w:rFonts w:cs="Times New Roman"/>
          <w:b w:val="0"/>
          <w:bCs/>
          <w:sz w:val="22"/>
        </w:rPr>
      </w:pPr>
      <w:r w:rsidRPr="00C15971">
        <w:rPr>
          <w:rFonts w:cs="Times New Roman"/>
          <w:b w:val="0"/>
          <w:bCs/>
          <w:sz w:val="22"/>
        </w:rPr>
        <w:t>Promoción de la Equidad: Fomento de espacios de trabajo inclusivos y libres de discriminación.</w:t>
      </w:r>
    </w:p>
    <w:p w14:paraId="27A23D9B" w14:textId="77777777" w:rsidR="00C15971" w:rsidRPr="00C15971" w:rsidRDefault="00C15971" w:rsidP="00C15971">
      <w:pPr>
        <w:pStyle w:val="Prrafodelista"/>
        <w:numPr>
          <w:ilvl w:val="0"/>
          <w:numId w:val="8"/>
        </w:numPr>
        <w:spacing w:after="160" w:line="259" w:lineRule="auto"/>
        <w:rPr>
          <w:rFonts w:cs="Times New Roman"/>
          <w:b w:val="0"/>
          <w:bCs/>
          <w:sz w:val="22"/>
        </w:rPr>
      </w:pPr>
      <w:r w:rsidRPr="00C15971">
        <w:rPr>
          <w:rFonts w:cs="Times New Roman"/>
          <w:b w:val="0"/>
          <w:bCs/>
          <w:sz w:val="22"/>
        </w:rPr>
        <w:t>Evaluación Psicosocial: Monitoreo de los factores de riesgo psicosocial en el entorno laboral, conforme a la Resolución 2646 de 2008.</w:t>
      </w:r>
    </w:p>
    <w:p w14:paraId="162228EB" w14:textId="2FE81668" w:rsidR="00C15971" w:rsidRPr="00C15971" w:rsidRDefault="00C15971" w:rsidP="00C15971">
      <w:pPr>
        <w:rPr>
          <w:rFonts w:cs="Times New Roman"/>
          <w:b w:val="0"/>
          <w:bCs/>
          <w:sz w:val="22"/>
        </w:rPr>
      </w:pPr>
      <w:r w:rsidRPr="00C15971">
        <w:rPr>
          <w:rFonts w:cs="Times New Roman"/>
          <w:b w:val="0"/>
          <w:bCs/>
          <w:sz w:val="22"/>
        </w:rPr>
        <w:t xml:space="preserve">Por lo anterior, </w:t>
      </w:r>
      <w:r>
        <w:rPr>
          <w:rFonts w:cs="Times New Roman"/>
          <w:b w:val="0"/>
          <w:bCs/>
          <w:sz w:val="22"/>
        </w:rPr>
        <w:t>RED MEDICRON IPS</w:t>
      </w:r>
      <w:r w:rsidRPr="00C15971">
        <w:rPr>
          <w:rFonts w:cs="Times New Roman"/>
          <w:b w:val="0"/>
          <w:bCs/>
          <w:sz w:val="22"/>
        </w:rPr>
        <w:t xml:space="preserve"> se compromete a implementar y vigilar el cumplimiento de las normas dirigidas a prevenir cualquier conducta o comportamiento que implique la calificación de acoso laboral, a Salvaguardar la información que sea recolectada, a la vez que a dar trámite oportuno a las quejas que puedan presentarse a través del Comité de Convivencia Laboral.</w:t>
      </w:r>
    </w:p>
    <w:p w14:paraId="37888F65" w14:textId="77777777" w:rsidR="00C15971" w:rsidRPr="00C15971" w:rsidRDefault="00C15971" w:rsidP="00C15971">
      <w:pPr>
        <w:rPr>
          <w:rFonts w:cs="Times New Roman"/>
          <w:b w:val="0"/>
          <w:bCs/>
          <w:sz w:val="22"/>
        </w:rPr>
      </w:pPr>
      <w:r w:rsidRPr="00C15971">
        <w:rPr>
          <w:rFonts w:cs="Times New Roman"/>
          <w:b w:val="0"/>
          <w:bCs/>
          <w:sz w:val="22"/>
        </w:rPr>
        <w:t>El no cumplimiento de esta política por parte de los colaboradores será sancionado según el reglamento interno de trabajo.</w:t>
      </w:r>
    </w:p>
    <w:p w14:paraId="0CF1EF3C" w14:textId="77777777" w:rsidR="00C15971" w:rsidRPr="00C15971" w:rsidRDefault="00C15971" w:rsidP="00C15971">
      <w:pPr>
        <w:rPr>
          <w:rFonts w:eastAsiaTheme="minorEastAsia"/>
          <w:b w:val="0"/>
          <w:bCs/>
          <w:color w:val="000000" w:themeColor="text1"/>
          <w:kern w:val="24"/>
          <w:sz w:val="22"/>
          <w:lang w:eastAsia="es-CO"/>
        </w:rPr>
      </w:pPr>
      <w:r w:rsidRPr="00C15971">
        <w:rPr>
          <w:rFonts w:eastAsiaTheme="minorEastAsia"/>
          <w:b w:val="0"/>
          <w:bCs/>
          <w:color w:val="000000" w:themeColor="text1"/>
          <w:kern w:val="24"/>
          <w:sz w:val="22"/>
          <w:lang w:eastAsia="es-CO"/>
        </w:rPr>
        <w:t>Para constancia se firma en San Juan de Pasto, a los 10 días del mes de febrero del año 2025.</w:t>
      </w:r>
    </w:p>
    <w:p w14:paraId="38738699" w14:textId="77777777" w:rsidR="00C15971" w:rsidRPr="00AF6827" w:rsidRDefault="00C15971" w:rsidP="00C15971">
      <w:pPr>
        <w:rPr>
          <w:rFonts w:ascii="Times New Roman" w:eastAsia="Times New Roman" w:hAnsi="Times New Roman"/>
          <w:sz w:val="20"/>
          <w:szCs w:val="20"/>
          <w:lang w:eastAsia="es-CO"/>
        </w:rPr>
      </w:pPr>
    </w:p>
    <w:p w14:paraId="42FF5F18" w14:textId="1281351C" w:rsidR="00C15971" w:rsidRDefault="00C15971" w:rsidP="00C15971">
      <w:pPr>
        <w:rPr>
          <w:rFonts w:ascii="Times New Roman" w:eastAsia="Times New Roman" w:hAnsi="Times New Roman"/>
          <w:sz w:val="20"/>
          <w:szCs w:val="20"/>
          <w:lang w:eastAsia="es-CO"/>
        </w:rPr>
      </w:pPr>
    </w:p>
    <w:p w14:paraId="01DF33C4" w14:textId="6AD18958" w:rsidR="00C15971" w:rsidRDefault="00C15971" w:rsidP="00C15971">
      <w:pPr>
        <w:rPr>
          <w:rFonts w:ascii="Times New Roman" w:eastAsia="Times New Roman" w:hAnsi="Times New Roman"/>
          <w:sz w:val="20"/>
          <w:szCs w:val="20"/>
          <w:lang w:eastAsia="es-CO"/>
        </w:rPr>
      </w:pPr>
    </w:p>
    <w:p w14:paraId="038ED615" w14:textId="77777777" w:rsidR="00C15971" w:rsidRPr="00AF6827" w:rsidRDefault="00C15971" w:rsidP="00C15971">
      <w:pPr>
        <w:rPr>
          <w:rFonts w:ascii="Times New Roman" w:eastAsia="Times New Roman" w:hAnsi="Times New Roman"/>
          <w:sz w:val="20"/>
          <w:szCs w:val="20"/>
          <w:lang w:eastAsia="es-CO"/>
        </w:rPr>
      </w:pPr>
    </w:p>
    <w:p w14:paraId="59EFE872" w14:textId="77777777" w:rsidR="00C15971" w:rsidRPr="00AF6827" w:rsidRDefault="00C15971" w:rsidP="00C15971">
      <w:pPr>
        <w:rPr>
          <w:rFonts w:ascii="Times New Roman" w:eastAsia="Times New Roman" w:hAnsi="Times New Roman"/>
          <w:sz w:val="20"/>
          <w:szCs w:val="20"/>
          <w:lang w:eastAsia="es-CO"/>
        </w:rPr>
      </w:pPr>
      <w:r w:rsidRPr="00AF6827">
        <w:rPr>
          <w:rFonts w:ascii="Times New Roman" w:eastAsia="Times New Roman" w:hAnsi="Times New Roman"/>
          <w:sz w:val="20"/>
          <w:szCs w:val="20"/>
          <w:lang w:eastAsia="es-CO"/>
        </w:rPr>
        <w:t>_____________________________</w:t>
      </w:r>
    </w:p>
    <w:p w14:paraId="63B53740" w14:textId="77777777" w:rsidR="00C15971" w:rsidRPr="00AF6827" w:rsidRDefault="00C15971" w:rsidP="00C15971">
      <w:pPr>
        <w:rPr>
          <w:rFonts w:eastAsiaTheme="minorEastAsia"/>
          <w:color w:val="000000" w:themeColor="text1"/>
          <w:kern w:val="24"/>
          <w:sz w:val="20"/>
          <w:szCs w:val="20"/>
          <w:lang w:eastAsia="es-CO"/>
        </w:rPr>
      </w:pPr>
      <w:r w:rsidRPr="00AF6827">
        <w:rPr>
          <w:rFonts w:eastAsiaTheme="minorEastAsia"/>
          <w:color w:val="000000" w:themeColor="text1"/>
          <w:kern w:val="24"/>
          <w:sz w:val="20"/>
          <w:szCs w:val="20"/>
          <w:lang w:eastAsia="es-CO"/>
        </w:rPr>
        <w:t>Mauricio Enríquez Velásquez.</w:t>
      </w:r>
    </w:p>
    <w:p w14:paraId="3A158A49" w14:textId="77777777" w:rsidR="00C15971" w:rsidRPr="00AF6827" w:rsidRDefault="00C15971" w:rsidP="00C15971">
      <w:pPr>
        <w:rPr>
          <w:rFonts w:eastAsiaTheme="minorEastAsia"/>
          <w:color w:val="000000" w:themeColor="text1"/>
          <w:kern w:val="24"/>
          <w:sz w:val="20"/>
          <w:szCs w:val="20"/>
          <w:lang w:eastAsia="es-CO"/>
        </w:rPr>
      </w:pPr>
      <w:r w:rsidRPr="00AF6827">
        <w:rPr>
          <w:rFonts w:eastAsiaTheme="minorEastAsia"/>
          <w:color w:val="000000" w:themeColor="text1"/>
          <w:kern w:val="24"/>
          <w:sz w:val="20"/>
          <w:szCs w:val="20"/>
          <w:lang w:eastAsia="es-CO"/>
        </w:rPr>
        <w:t xml:space="preserve">Director Ejecutivo </w:t>
      </w:r>
    </w:p>
    <w:p w14:paraId="6766EBE8" w14:textId="0A705533" w:rsidR="00C15971" w:rsidRPr="00D71C5E" w:rsidRDefault="00C15971" w:rsidP="00C15971">
      <w:pPr>
        <w:rPr>
          <w:rFonts w:eastAsiaTheme="minorEastAsia"/>
          <w:color w:val="000000" w:themeColor="text1"/>
          <w:kern w:val="24"/>
          <w:sz w:val="20"/>
          <w:szCs w:val="20"/>
          <w:lang w:eastAsia="es-CO"/>
        </w:rPr>
      </w:pPr>
      <w:r>
        <w:rPr>
          <w:rFonts w:eastAsiaTheme="minorEastAsia"/>
          <w:color w:val="000000" w:themeColor="text1"/>
          <w:kern w:val="24"/>
          <w:sz w:val="20"/>
          <w:szCs w:val="20"/>
          <w:lang w:eastAsia="es-CO"/>
        </w:rPr>
        <w:t>RED MEDICRON IPS</w:t>
      </w:r>
      <w:r w:rsidRPr="00AF6827">
        <w:rPr>
          <w:rFonts w:eastAsiaTheme="minorEastAsia"/>
          <w:color w:val="000000" w:themeColor="text1"/>
          <w:kern w:val="24"/>
          <w:sz w:val="20"/>
          <w:szCs w:val="20"/>
          <w:lang w:eastAsia="es-CO"/>
        </w:rPr>
        <w:t xml:space="preserve">                                                                                                                                                                                                                                                                           </w:t>
      </w:r>
      <w:r>
        <w:rPr>
          <w:rFonts w:eastAsiaTheme="minorEastAsia"/>
          <w:color w:val="000000" w:themeColor="text1"/>
          <w:kern w:val="24"/>
          <w:sz w:val="20"/>
          <w:szCs w:val="20"/>
          <w:lang w:eastAsia="es-CO"/>
        </w:rPr>
        <w:t xml:space="preserve">                         </w:t>
      </w:r>
      <w:r>
        <w:rPr>
          <w:rFonts w:eastAsiaTheme="minorEastAsia"/>
          <w:color w:val="000000" w:themeColor="text1"/>
          <w:kern w:val="24"/>
          <w:lang w:eastAsia="es-CO"/>
        </w:rPr>
        <w:t xml:space="preserve">                                                                                                                                                                                                                                                                </w:t>
      </w:r>
    </w:p>
    <w:p w14:paraId="2CB5639E" w14:textId="4E7E4A02" w:rsidR="00185CE5" w:rsidRPr="00185CE5" w:rsidRDefault="00185CE5" w:rsidP="00C15971">
      <w:pPr>
        <w:spacing w:after="160" w:line="259" w:lineRule="auto"/>
        <w:jc w:val="left"/>
        <w:rPr>
          <w:b w:val="0"/>
        </w:rPr>
      </w:pPr>
    </w:p>
    <w:sectPr w:rsidR="00185CE5" w:rsidRPr="00185CE5" w:rsidSect="00217632">
      <w:headerReference w:type="even" r:id="rId8"/>
      <w:headerReference w:type="default" r:id="rId9"/>
      <w:footerReference w:type="even" r:id="rId10"/>
      <w:footerReference w:type="default" r:id="rId11"/>
      <w:headerReference w:type="first" r:id="rId12"/>
      <w:footerReference w:type="first" r:id="rId13"/>
      <w:pgSz w:w="12240" w:h="15840" w:code="1"/>
      <w:pgMar w:top="1134" w:right="1134" w:bottom="1134" w:left="1134"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497A9" w14:textId="77777777" w:rsidR="00EB03E6" w:rsidRDefault="00EB03E6" w:rsidP="004F611A">
      <w:r>
        <w:separator/>
      </w:r>
    </w:p>
  </w:endnote>
  <w:endnote w:type="continuationSeparator" w:id="0">
    <w:p w14:paraId="17F3CE4A" w14:textId="77777777" w:rsidR="00EB03E6" w:rsidRDefault="00EB03E6" w:rsidP="004F6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6C2DB" w14:textId="77777777" w:rsidR="006B3F59" w:rsidRDefault="006B3F59">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9048F" w14:textId="1F583B06" w:rsidR="00C15971" w:rsidRDefault="00C15971">
    <w:pPr>
      <w:pStyle w:val="Piedepgina"/>
    </w:pPr>
    <w:r>
      <w:rPr>
        <w:noProof/>
        <w:lang w:eastAsia="es-MX"/>
      </w:rPr>
      <w:drawing>
        <wp:anchor distT="0" distB="0" distL="114300" distR="114300" simplePos="0" relativeHeight="251661312" behindDoc="1" locked="0" layoutInCell="1" allowOverlap="1" wp14:anchorId="16DD292D" wp14:editId="3D570EF8">
          <wp:simplePos x="0" y="0"/>
          <wp:positionH relativeFrom="margin">
            <wp:align>center</wp:align>
          </wp:positionH>
          <wp:positionV relativeFrom="paragraph">
            <wp:posOffset>-54610</wp:posOffset>
          </wp:positionV>
          <wp:extent cx="5931227" cy="504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5931227" cy="504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ABD3C" w14:textId="77777777" w:rsidR="006B3F59" w:rsidRDefault="006B3F5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B33EA" w14:textId="77777777" w:rsidR="00EB03E6" w:rsidRDefault="00EB03E6" w:rsidP="004F611A">
      <w:r>
        <w:separator/>
      </w:r>
    </w:p>
  </w:footnote>
  <w:footnote w:type="continuationSeparator" w:id="0">
    <w:p w14:paraId="7D0F6583" w14:textId="77777777" w:rsidR="00EB03E6" w:rsidRDefault="00EB03E6" w:rsidP="004F611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8A898" w14:textId="77777777" w:rsidR="006B3F59" w:rsidRDefault="006B3F59">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Normal"/>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2"/>
      <w:gridCol w:w="5463"/>
      <w:gridCol w:w="2126"/>
    </w:tblGrid>
    <w:tr w:rsidR="004F611A" w:rsidRPr="0096325F" w14:paraId="0B402524" w14:textId="77777777" w:rsidTr="00C15971">
      <w:trPr>
        <w:trHeight w:val="285"/>
      </w:trPr>
      <w:tc>
        <w:tcPr>
          <w:tcW w:w="2192" w:type="dxa"/>
          <w:vMerge w:val="restart"/>
        </w:tcPr>
        <w:p w14:paraId="03A5BFA7" w14:textId="77777777" w:rsidR="004F611A" w:rsidRPr="004F611A" w:rsidRDefault="004F611A" w:rsidP="004F611A">
          <w:pPr>
            <w:rPr>
              <w:rFonts w:ascii="Times New Roman" w:eastAsia="Verdana" w:cs="Verdana"/>
              <w:sz w:val="20"/>
              <w:lang w:val="es-ES"/>
            </w:rPr>
          </w:pPr>
          <w:r w:rsidRPr="004F611A">
            <w:rPr>
              <w:rFonts w:eastAsia="Verdana" w:cs="Verdana"/>
              <w:noProof/>
              <w:szCs w:val="18"/>
              <w:lang w:eastAsia="es-MX"/>
            </w:rPr>
            <w:drawing>
              <wp:anchor distT="0" distB="0" distL="114300" distR="114300" simplePos="0" relativeHeight="251659264" behindDoc="1" locked="0" layoutInCell="1" allowOverlap="1" wp14:anchorId="6A4A7B76" wp14:editId="466F4F3C">
                <wp:simplePos x="0" y="0"/>
                <wp:positionH relativeFrom="column">
                  <wp:posOffset>19685</wp:posOffset>
                </wp:positionH>
                <wp:positionV relativeFrom="paragraph">
                  <wp:posOffset>254000</wp:posOffset>
                </wp:positionV>
                <wp:extent cx="1333500" cy="391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Red Medicron IPS en png.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33500" cy="391795"/>
                        </a:xfrm>
                        <a:prstGeom prst="rect">
                          <a:avLst/>
                        </a:prstGeom>
                      </pic:spPr>
                    </pic:pic>
                  </a:graphicData>
                </a:graphic>
                <wp14:sizeRelH relativeFrom="margin">
                  <wp14:pctWidth>0</wp14:pctWidth>
                </wp14:sizeRelH>
                <wp14:sizeRelV relativeFrom="margin">
                  <wp14:pctHeight>0</wp14:pctHeight>
                </wp14:sizeRelV>
              </wp:anchor>
            </w:drawing>
          </w:r>
        </w:p>
      </w:tc>
      <w:tc>
        <w:tcPr>
          <w:tcW w:w="5463" w:type="dxa"/>
          <w:vMerge w:val="restart"/>
          <w:vAlign w:val="center"/>
        </w:tcPr>
        <w:p w14:paraId="4E691C06" w14:textId="459AAC46" w:rsidR="004F611A" w:rsidRPr="00C15971" w:rsidRDefault="00C15971" w:rsidP="00C15971">
          <w:pPr>
            <w:jc w:val="center"/>
            <w:rPr>
              <w:bCs/>
              <w:sz w:val="22"/>
            </w:rPr>
          </w:pPr>
          <w:r>
            <w:rPr>
              <w:bCs/>
              <w:sz w:val="22"/>
            </w:rPr>
            <w:t>PROCESO DIRECCIONAMIENTO ESTRATÉGICO</w:t>
          </w:r>
        </w:p>
      </w:tc>
      <w:tc>
        <w:tcPr>
          <w:tcW w:w="2126" w:type="dxa"/>
        </w:tcPr>
        <w:p w14:paraId="31650366" w14:textId="2A92CBC3" w:rsidR="004F611A" w:rsidRPr="0096325F" w:rsidRDefault="004F611A" w:rsidP="004F611A">
          <w:pPr>
            <w:rPr>
              <w:b w:val="0"/>
              <w:szCs w:val="18"/>
            </w:rPr>
          </w:pPr>
          <w:r w:rsidRPr="0096325F">
            <w:rPr>
              <w:b w:val="0"/>
              <w:szCs w:val="18"/>
            </w:rPr>
            <w:t xml:space="preserve">Código: </w:t>
          </w:r>
          <w:r w:rsidR="00C15971">
            <w:rPr>
              <w:b w:val="0"/>
              <w:szCs w:val="18"/>
            </w:rPr>
            <w:t>DI-DIR-003</w:t>
          </w:r>
        </w:p>
      </w:tc>
    </w:tr>
    <w:tr w:rsidR="004F611A" w:rsidRPr="0096325F" w14:paraId="2225AC85" w14:textId="77777777" w:rsidTr="00C15971">
      <w:trPr>
        <w:trHeight w:val="285"/>
      </w:trPr>
      <w:tc>
        <w:tcPr>
          <w:tcW w:w="2192" w:type="dxa"/>
          <w:vMerge/>
          <w:tcBorders>
            <w:top w:val="nil"/>
          </w:tcBorders>
        </w:tcPr>
        <w:p w14:paraId="36DD9BB0" w14:textId="77777777" w:rsidR="004F611A" w:rsidRPr="004F611A" w:rsidRDefault="004F611A" w:rsidP="004F611A">
          <w:pPr>
            <w:rPr>
              <w:sz w:val="2"/>
              <w:szCs w:val="2"/>
            </w:rPr>
          </w:pPr>
        </w:p>
      </w:tc>
      <w:tc>
        <w:tcPr>
          <w:tcW w:w="5463" w:type="dxa"/>
          <w:vMerge/>
          <w:tcBorders>
            <w:top w:val="nil"/>
          </w:tcBorders>
          <w:vAlign w:val="center"/>
        </w:tcPr>
        <w:p w14:paraId="6EAA7EF5" w14:textId="77777777" w:rsidR="004F611A" w:rsidRPr="0096325F" w:rsidRDefault="004F611A" w:rsidP="00C15971">
          <w:pPr>
            <w:jc w:val="center"/>
            <w:rPr>
              <w:sz w:val="22"/>
            </w:rPr>
          </w:pPr>
        </w:p>
      </w:tc>
      <w:tc>
        <w:tcPr>
          <w:tcW w:w="2126" w:type="dxa"/>
        </w:tcPr>
        <w:p w14:paraId="1DD57CE9" w14:textId="793EDD43" w:rsidR="004F611A" w:rsidRPr="0096325F" w:rsidRDefault="004F611A" w:rsidP="004F611A">
          <w:pPr>
            <w:rPr>
              <w:b w:val="0"/>
            </w:rPr>
          </w:pPr>
          <w:proofErr w:type="spellStart"/>
          <w:r w:rsidRPr="0096325F">
            <w:rPr>
              <w:b w:val="0"/>
              <w:w w:val="85"/>
            </w:rPr>
            <w:t>Versión</w:t>
          </w:r>
          <w:proofErr w:type="spellEnd"/>
          <w:r w:rsidRPr="0096325F">
            <w:rPr>
              <w:b w:val="0"/>
              <w:w w:val="85"/>
            </w:rPr>
            <w:t>:</w:t>
          </w:r>
          <w:r w:rsidRPr="0096325F">
            <w:rPr>
              <w:b w:val="0"/>
              <w:spacing w:val="16"/>
            </w:rPr>
            <w:t xml:space="preserve"> </w:t>
          </w:r>
          <w:r w:rsidR="00C15971">
            <w:rPr>
              <w:b w:val="0"/>
              <w:spacing w:val="16"/>
            </w:rPr>
            <w:t>00</w:t>
          </w:r>
        </w:p>
      </w:tc>
    </w:tr>
    <w:tr w:rsidR="004F611A" w:rsidRPr="0096325F" w14:paraId="380196D1" w14:textId="77777777" w:rsidTr="00C15971">
      <w:trPr>
        <w:trHeight w:val="441"/>
      </w:trPr>
      <w:tc>
        <w:tcPr>
          <w:tcW w:w="2192" w:type="dxa"/>
          <w:vMerge/>
          <w:tcBorders>
            <w:top w:val="nil"/>
          </w:tcBorders>
        </w:tcPr>
        <w:p w14:paraId="1A5834CC" w14:textId="77777777" w:rsidR="004F611A" w:rsidRPr="004F611A" w:rsidRDefault="004F611A" w:rsidP="004F611A">
          <w:pPr>
            <w:rPr>
              <w:sz w:val="2"/>
              <w:szCs w:val="2"/>
            </w:rPr>
          </w:pPr>
        </w:p>
      </w:tc>
      <w:tc>
        <w:tcPr>
          <w:tcW w:w="5463" w:type="dxa"/>
          <w:vMerge w:val="restart"/>
          <w:vAlign w:val="center"/>
        </w:tcPr>
        <w:p w14:paraId="44EE3EB7" w14:textId="0DA921D7" w:rsidR="004F611A" w:rsidRPr="0096325F" w:rsidRDefault="00C15971" w:rsidP="00C15971">
          <w:pPr>
            <w:jc w:val="center"/>
            <w:rPr>
              <w:sz w:val="22"/>
            </w:rPr>
          </w:pPr>
          <w:bookmarkStart w:id="0" w:name="_GoBack"/>
          <w:r>
            <w:rPr>
              <w:sz w:val="22"/>
            </w:rPr>
            <w:t>POLÍTICA DE PREVENCIÓN DE ACOSO LABORAL</w:t>
          </w:r>
          <w:bookmarkEnd w:id="0"/>
        </w:p>
      </w:tc>
      <w:tc>
        <w:tcPr>
          <w:tcW w:w="2126" w:type="dxa"/>
        </w:tcPr>
        <w:p w14:paraId="594AB23B" w14:textId="77777777" w:rsidR="004F611A" w:rsidRDefault="004F611A" w:rsidP="004F611A">
          <w:pPr>
            <w:rPr>
              <w:b w:val="0"/>
            </w:rPr>
          </w:pPr>
          <w:r w:rsidRPr="0096325F">
            <w:rPr>
              <w:b w:val="0"/>
            </w:rPr>
            <w:t xml:space="preserve">Fecha de aprobación: </w:t>
          </w:r>
        </w:p>
        <w:p w14:paraId="02E8CCB3" w14:textId="6C8FC0DA" w:rsidR="00C15971" w:rsidRPr="0096325F" w:rsidRDefault="00381187" w:rsidP="004F611A">
          <w:pPr>
            <w:rPr>
              <w:b w:val="0"/>
            </w:rPr>
          </w:pPr>
          <w:r>
            <w:rPr>
              <w:b w:val="0"/>
            </w:rPr>
            <w:t xml:space="preserve">10 de </w:t>
          </w:r>
          <w:proofErr w:type="spellStart"/>
          <w:r>
            <w:rPr>
              <w:b w:val="0"/>
            </w:rPr>
            <w:t>febrero</w:t>
          </w:r>
          <w:proofErr w:type="spellEnd"/>
          <w:r w:rsidR="00C15971">
            <w:rPr>
              <w:b w:val="0"/>
            </w:rPr>
            <w:t xml:space="preserve"> de 2025</w:t>
          </w:r>
        </w:p>
      </w:tc>
    </w:tr>
    <w:tr w:rsidR="004F611A" w:rsidRPr="0096325F" w14:paraId="5F199FE2" w14:textId="77777777" w:rsidTr="004F611A">
      <w:trPr>
        <w:trHeight w:val="371"/>
      </w:trPr>
      <w:tc>
        <w:tcPr>
          <w:tcW w:w="2192" w:type="dxa"/>
          <w:vMerge/>
          <w:tcBorders>
            <w:top w:val="nil"/>
          </w:tcBorders>
        </w:tcPr>
        <w:p w14:paraId="300394B7" w14:textId="77777777" w:rsidR="004F611A" w:rsidRPr="004F611A" w:rsidRDefault="004F611A" w:rsidP="004F611A">
          <w:pPr>
            <w:rPr>
              <w:sz w:val="2"/>
              <w:szCs w:val="2"/>
            </w:rPr>
          </w:pPr>
        </w:p>
      </w:tc>
      <w:tc>
        <w:tcPr>
          <w:tcW w:w="5463" w:type="dxa"/>
          <w:vMerge/>
          <w:tcBorders>
            <w:top w:val="nil"/>
          </w:tcBorders>
        </w:tcPr>
        <w:p w14:paraId="146CF139" w14:textId="77777777" w:rsidR="004F611A" w:rsidRPr="0096325F" w:rsidRDefault="004F611A" w:rsidP="004F611A">
          <w:pPr>
            <w:rPr>
              <w:sz w:val="2"/>
              <w:szCs w:val="2"/>
            </w:rPr>
          </w:pPr>
        </w:p>
      </w:tc>
      <w:tc>
        <w:tcPr>
          <w:tcW w:w="2126" w:type="dxa"/>
        </w:tcPr>
        <w:p w14:paraId="326EC8C9" w14:textId="370CD2B6" w:rsidR="004F611A" w:rsidRPr="0096325F" w:rsidRDefault="004F611A" w:rsidP="004F611A">
          <w:pPr>
            <w:rPr>
              <w:b w:val="0"/>
            </w:rPr>
          </w:pPr>
          <w:r w:rsidRPr="0096325F">
            <w:rPr>
              <w:b w:val="0"/>
            </w:rPr>
            <w:t>Página:</w:t>
          </w:r>
          <w:r w:rsidRPr="0096325F">
            <w:rPr>
              <w:b w:val="0"/>
              <w:spacing w:val="-10"/>
            </w:rPr>
            <w:t xml:space="preserve"> </w:t>
          </w:r>
          <w:r w:rsidRPr="0096325F">
            <w:rPr>
              <w:b w:val="0"/>
            </w:rPr>
            <w:fldChar w:fldCharType="begin"/>
          </w:r>
          <w:r w:rsidRPr="0096325F">
            <w:rPr>
              <w:b w:val="0"/>
            </w:rPr>
            <w:instrText xml:space="preserve"> PAGE </w:instrText>
          </w:r>
          <w:r w:rsidRPr="0096325F">
            <w:rPr>
              <w:b w:val="0"/>
            </w:rPr>
            <w:fldChar w:fldCharType="separate"/>
          </w:r>
          <w:r w:rsidR="006B3F59">
            <w:rPr>
              <w:b w:val="0"/>
              <w:noProof/>
            </w:rPr>
            <w:t>1</w:t>
          </w:r>
          <w:r w:rsidRPr="0096325F">
            <w:rPr>
              <w:b w:val="0"/>
            </w:rPr>
            <w:fldChar w:fldCharType="end"/>
          </w:r>
          <w:r w:rsidRPr="0096325F">
            <w:rPr>
              <w:b w:val="0"/>
              <w:spacing w:val="-8"/>
            </w:rPr>
            <w:t xml:space="preserve"> </w:t>
          </w:r>
          <w:r w:rsidRPr="0096325F">
            <w:rPr>
              <w:b w:val="0"/>
            </w:rPr>
            <w:t>de</w:t>
          </w:r>
          <w:r w:rsidRPr="0096325F">
            <w:rPr>
              <w:b w:val="0"/>
              <w:spacing w:val="-9"/>
            </w:rPr>
            <w:t xml:space="preserve"> </w:t>
          </w:r>
          <w:r w:rsidRPr="0096325F">
            <w:rPr>
              <w:b w:val="0"/>
              <w:spacing w:val="-5"/>
            </w:rPr>
            <w:fldChar w:fldCharType="begin"/>
          </w:r>
          <w:r w:rsidRPr="0096325F">
            <w:rPr>
              <w:b w:val="0"/>
              <w:spacing w:val="-5"/>
            </w:rPr>
            <w:instrText xml:space="preserve"> NUMPAGES </w:instrText>
          </w:r>
          <w:r w:rsidRPr="0096325F">
            <w:rPr>
              <w:b w:val="0"/>
              <w:spacing w:val="-5"/>
            </w:rPr>
            <w:fldChar w:fldCharType="separate"/>
          </w:r>
          <w:r w:rsidR="006B3F59">
            <w:rPr>
              <w:b w:val="0"/>
              <w:noProof/>
              <w:spacing w:val="-5"/>
            </w:rPr>
            <w:t>1</w:t>
          </w:r>
          <w:r w:rsidRPr="0096325F">
            <w:rPr>
              <w:b w:val="0"/>
              <w:spacing w:val="-5"/>
            </w:rPr>
            <w:fldChar w:fldCharType="end"/>
          </w:r>
        </w:p>
      </w:tc>
    </w:tr>
  </w:tbl>
  <w:p w14:paraId="75178B46" w14:textId="77777777" w:rsidR="004F611A" w:rsidRDefault="004F611A">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96CEF9" w14:textId="77777777" w:rsidR="006B3F59" w:rsidRDefault="006B3F5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A1C6E"/>
    <w:multiLevelType w:val="multilevel"/>
    <w:tmpl w:val="88E2D30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15:restartNumberingAfterBreak="0">
    <w:nsid w:val="04D335E5"/>
    <w:multiLevelType w:val="multilevel"/>
    <w:tmpl w:val="9544D110"/>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5C054B9"/>
    <w:multiLevelType w:val="multilevel"/>
    <w:tmpl w:val="F1C6DA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7F61E6"/>
    <w:multiLevelType w:val="hybridMultilevel"/>
    <w:tmpl w:val="F5FA1F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BCD347E"/>
    <w:multiLevelType w:val="hybridMultilevel"/>
    <w:tmpl w:val="FB78A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C2A7A1E"/>
    <w:multiLevelType w:val="hybridMultilevel"/>
    <w:tmpl w:val="D87465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3E73E1A"/>
    <w:multiLevelType w:val="hybridMultilevel"/>
    <w:tmpl w:val="3288E762"/>
    <w:lvl w:ilvl="0" w:tplc="080A0001">
      <w:start w:val="1"/>
      <w:numFmt w:val="bullet"/>
      <w:lvlText w:val=""/>
      <w:lvlJc w:val="left"/>
      <w:pPr>
        <w:ind w:left="1140" w:hanging="360"/>
      </w:pPr>
      <w:rPr>
        <w:rFonts w:ascii="Symbol" w:hAnsi="Symbol" w:hint="default"/>
      </w:rPr>
    </w:lvl>
    <w:lvl w:ilvl="1" w:tplc="080A0003" w:tentative="1">
      <w:start w:val="1"/>
      <w:numFmt w:val="bullet"/>
      <w:lvlText w:val="o"/>
      <w:lvlJc w:val="left"/>
      <w:pPr>
        <w:ind w:left="1860" w:hanging="360"/>
      </w:pPr>
      <w:rPr>
        <w:rFonts w:ascii="Courier New" w:hAnsi="Courier New" w:cs="Courier New" w:hint="default"/>
      </w:rPr>
    </w:lvl>
    <w:lvl w:ilvl="2" w:tplc="080A0005" w:tentative="1">
      <w:start w:val="1"/>
      <w:numFmt w:val="bullet"/>
      <w:lvlText w:val=""/>
      <w:lvlJc w:val="left"/>
      <w:pPr>
        <w:ind w:left="2580" w:hanging="360"/>
      </w:pPr>
      <w:rPr>
        <w:rFonts w:ascii="Wingdings" w:hAnsi="Wingdings" w:hint="default"/>
      </w:rPr>
    </w:lvl>
    <w:lvl w:ilvl="3" w:tplc="080A0001" w:tentative="1">
      <w:start w:val="1"/>
      <w:numFmt w:val="bullet"/>
      <w:lvlText w:val=""/>
      <w:lvlJc w:val="left"/>
      <w:pPr>
        <w:ind w:left="3300" w:hanging="360"/>
      </w:pPr>
      <w:rPr>
        <w:rFonts w:ascii="Symbol" w:hAnsi="Symbol" w:hint="default"/>
      </w:rPr>
    </w:lvl>
    <w:lvl w:ilvl="4" w:tplc="080A0003" w:tentative="1">
      <w:start w:val="1"/>
      <w:numFmt w:val="bullet"/>
      <w:lvlText w:val="o"/>
      <w:lvlJc w:val="left"/>
      <w:pPr>
        <w:ind w:left="4020" w:hanging="360"/>
      </w:pPr>
      <w:rPr>
        <w:rFonts w:ascii="Courier New" w:hAnsi="Courier New" w:cs="Courier New" w:hint="default"/>
      </w:rPr>
    </w:lvl>
    <w:lvl w:ilvl="5" w:tplc="080A0005" w:tentative="1">
      <w:start w:val="1"/>
      <w:numFmt w:val="bullet"/>
      <w:lvlText w:val=""/>
      <w:lvlJc w:val="left"/>
      <w:pPr>
        <w:ind w:left="4740" w:hanging="360"/>
      </w:pPr>
      <w:rPr>
        <w:rFonts w:ascii="Wingdings" w:hAnsi="Wingdings" w:hint="default"/>
      </w:rPr>
    </w:lvl>
    <w:lvl w:ilvl="6" w:tplc="080A0001" w:tentative="1">
      <w:start w:val="1"/>
      <w:numFmt w:val="bullet"/>
      <w:lvlText w:val=""/>
      <w:lvlJc w:val="left"/>
      <w:pPr>
        <w:ind w:left="5460" w:hanging="360"/>
      </w:pPr>
      <w:rPr>
        <w:rFonts w:ascii="Symbol" w:hAnsi="Symbol" w:hint="default"/>
      </w:rPr>
    </w:lvl>
    <w:lvl w:ilvl="7" w:tplc="080A0003" w:tentative="1">
      <w:start w:val="1"/>
      <w:numFmt w:val="bullet"/>
      <w:lvlText w:val="o"/>
      <w:lvlJc w:val="left"/>
      <w:pPr>
        <w:ind w:left="6180" w:hanging="360"/>
      </w:pPr>
      <w:rPr>
        <w:rFonts w:ascii="Courier New" w:hAnsi="Courier New" w:cs="Courier New" w:hint="default"/>
      </w:rPr>
    </w:lvl>
    <w:lvl w:ilvl="8" w:tplc="080A0005" w:tentative="1">
      <w:start w:val="1"/>
      <w:numFmt w:val="bullet"/>
      <w:lvlText w:val=""/>
      <w:lvlJc w:val="left"/>
      <w:pPr>
        <w:ind w:left="6900" w:hanging="360"/>
      </w:pPr>
      <w:rPr>
        <w:rFonts w:ascii="Wingdings" w:hAnsi="Wingdings" w:hint="default"/>
      </w:rPr>
    </w:lvl>
  </w:abstractNum>
  <w:abstractNum w:abstractNumId="7" w15:restartNumberingAfterBreak="0">
    <w:nsid w:val="4E1675BB"/>
    <w:multiLevelType w:val="hybridMultilevel"/>
    <w:tmpl w:val="D2FA3A12"/>
    <w:lvl w:ilvl="0" w:tplc="65F26608">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0"/>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11A"/>
    <w:rsid w:val="00117918"/>
    <w:rsid w:val="00185CE5"/>
    <w:rsid w:val="001B6157"/>
    <w:rsid w:val="00217632"/>
    <w:rsid w:val="00251E0E"/>
    <w:rsid w:val="00300CC1"/>
    <w:rsid w:val="00381187"/>
    <w:rsid w:val="003D55FD"/>
    <w:rsid w:val="003D66A4"/>
    <w:rsid w:val="003F398A"/>
    <w:rsid w:val="00471EC6"/>
    <w:rsid w:val="004863FA"/>
    <w:rsid w:val="004A33C1"/>
    <w:rsid w:val="004F611A"/>
    <w:rsid w:val="00575DB3"/>
    <w:rsid w:val="00654F74"/>
    <w:rsid w:val="00660EFB"/>
    <w:rsid w:val="006B3F59"/>
    <w:rsid w:val="00766FE2"/>
    <w:rsid w:val="008056A3"/>
    <w:rsid w:val="00837A93"/>
    <w:rsid w:val="008C0173"/>
    <w:rsid w:val="008C36BD"/>
    <w:rsid w:val="008E3439"/>
    <w:rsid w:val="009032EE"/>
    <w:rsid w:val="0091053D"/>
    <w:rsid w:val="00921A45"/>
    <w:rsid w:val="0094063A"/>
    <w:rsid w:val="00941140"/>
    <w:rsid w:val="009571A5"/>
    <w:rsid w:val="0096325F"/>
    <w:rsid w:val="009959B6"/>
    <w:rsid w:val="00BE7E8B"/>
    <w:rsid w:val="00BF374F"/>
    <w:rsid w:val="00C15971"/>
    <w:rsid w:val="00C72070"/>
    <w:rsid w:val="00C92CD1"/>
    <w:rsid w:val="00D03EB3"/>
    <w:rsid w:val="00DD4E39"/>
    <w:rsid w:val="00DF51AE"/>
    <w:rsid w:val="00EA5D97"/>
    <w:rsid w:val="00EB03E6"/>
    <w:rsid w:val="00FD2D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F2C655"/>
  <w15:chartTrackingRefBased/>
  <w15:docId w15:val="{FAA3C41F-7D06-4E91-B82A-1C87CCDB7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EFB"/>
    <w:pPr>
      <w:spacing w:after="0" w:line="240" w:lineRule="auto"/>
      <w:jc w:val="both"/>
    </w:pPr>
    <w:rPr>
      <w:rFonts w:ascii="Century Gothic" w:hAnsi="Century Gothic"/>
      <w:b/>
      <w:sz w:val="18"/>
    </w:rPr>
  </w:style>
  <w:style w:type="paragraph" w:styleId="Ttulo1">
    <w:name w:val="heading 1"/>
    <w:basedOn w:val="Normal"/>
    <w:next w:val="Normal"/>
    <w:link w:val="Ttulo1Car"/>
    <w:uiPriority w:val="9"/>
    <w:qFormat/>
    <w:rsid w:val="00EA5D97"/>
    <w:pPr>
      <w:keepNext/>
      <w:keepLines/>
      <w:spacing w:before="240" w:line="259" w:lineRule="auto"/>
      <w:jc w:val="left"/>
      <w:outlineLvl w:val="0"/>
    </w:pPr>
    <w:rPr>
      <w:rFonts w:asciiTheme="majorHAnsi" w:eastAsiaTheme="majorEastAsia" w:hAnsiTheme="majorHAnsi" w:cstheme="majorBidi"/>
      <w:b w:val="0"/>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11A"/>
    <w:pPr>
      <w:tabs>
        <w:tab w:val="center" w:pos="4419"/>
        <w:tab w:val="right" w:pos="8838"/>
      </w:tabs>
    </w:pPr>
  </w:style>
  <w:style w:type="character" w:customStyle="1" w:styleId="EncabezadoCar">
    <w:name w:val="Encabezado Car"/>
    <w:basedOn w:val="Fuentedeprrafopredeter"/>
    <w:link w:val="Encabezado"/>
    <w:uiPriority w:val="99"/>
    <w:rsid w:val="004F611A"/>
  </w:style>
  <w:style w:type="paragraph" w:styleId="Piedepgina">
    <w:name w:val="footer"/>
    <w:basedOn w:val="Normal"/>
    <w:link w:val="PiedepginaCar"/>
    <w:uiPriority w:val="99"/>
    <w:unhideWhenUsed/>
    <w:rsid w:val="004F611A"/>
    <w:pPr>
      <w:tabs>
        <w:tab w:val="center" w:pos="4419"/>
        <w:tab w:val="right" w:pos="8838"/>
      </w:tabs>
    </w:pPr>
  </w:style>
  <w:style w:type="character" w:customStyle="1" w:styleId="PiedepginaCar">
    <w:name w:val="Pie de página Car"/>
    <w:basedOn w:val="Fuentedeprrafopredeter"/>
    <w:link w:val="Piedepgina"/>
    <w:uiPriority w:val="99"/>
    <w:rsid w:val="004F611A"/>
  </w:style>
  <w:style w:type="table" w:customStyle="1" w:styleId="TableNormal">
    <w:name w:val="Table Normal"/>
    <w:uiPriority w:val="2"/>
    <w:semiHidden/>
    <w:unhideWhenUsed/>
    <w:qFormat/>
    <w:rsid w:val="004F611A"/>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inespaciado">
    <w:name w:val="No Spacing"/>
    <w:uiPriority w:val="1"/>
    <w:qFormat/>
    <w:rsid w:val="00660EFB"/>
    <w:pPr>
      <w:spacing w:after="0" w:line="240" w:lineRule="auto"/>
      <w:jc w:val="both"/>
    </w:pPr>
    <w:rPr>
      <w:rFonts w:ascii="Century Gothic" w:hAnsi="Century Gothic"/>
    </w:rPr>
  </w:style>
  <w:style w:type="paragraph" w:styleId="Prrafodelista">
    <w:name w:val="List Paragraph"/>
    <w:basedOn w:val="Normal"/>
    <w:uiPriority w:val="34"/>
    <w:qFormat/>
    <w:rsid w:val="00185CE5"/>
    <w:pPr>
      <w:ind w:left="720"/>
      <w:contextualSpacing/>
    </w:pPr>
  </w:style>
  <w:style w:type="table" w:styleId="Tablaconcuadrcula">
    <w:name w:val="Table Grid"/>
    <w:basedOn w:val="Tablanormal"/>
    <w:uiPriority w:val="39"/>
    <w:rsid w:val="003D6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D66A4"/>
    <w:rPr>
      <w:sz w:val="16"/>
      <w:szCs w:val="16"/>
    </w:rPr>
  </w:style>
  <w:style w:type="paragraph" w:styleId="Textocomentario">
    <w:name w:val="annotation text"/>
    <w:basedOn w:val="Normal"/>
    <w:link w:val="TextocomentarioCar"/>
    <w:uiPriority w:val="99"/>
    <w:semiHidden/>
    <w:unhideWhenUsed/>
    <w:rsid w:val="003D66A4"/>
    <w:rPr>
      <w:sz w:val="20"/>
      <w:szCs w:val="20"/>
    </w:rPr>
  </w:style>
  <w:style w:type="character" w:customStyle="1" w:styleId="TextocomentarioCar">
    <w:name w:val="Texto comentario Car"/>
    <w:basedOn w:val="Fuentedeprrafopredeter"/>
    <w:link w:val="Textocomentario"/>
    <w:uiPriority w:val="99"/>
    <w:semiHidden/>
    <w:rsid w:val="003D66A4"/>
    <w:rPr>
      <w:rFonts w:ascii="Century Gothic" w:hAnsi="Century Gothic"/>
      <w:b/>
      <w:sz w:val="20"/>
      <w:szCs w:val="20"/>
    </w:rPr>
  </w:style>
  <w:style w:type="paragraph" w:styleId="Asuntodelcomentario">
    <w:name w:val="annotation subject"/>
    <w:basedOn w:val="Textocomentario"/>
    <w:next w:val="Textocomentario"/>
    <w:link w:val="AsuntodelcomentarioCar"/>
    <w:uiPriority w:val="99"/>
    <w:semiHidden/>
    <w:unhideWhenUsed/>
    <w:rsid w:val="003D66A4"/>
    <w:rPr>
      <w:bCs/>
    </w:rPr>
  </w:style>
  <w:style w:type="character" w:customStyle="1" w:styleId="AsuntodelcomentarioCar">
    <w:name w:val="Asunto del comentario Car"/>
    <w:basedOn w:val="TextocomentarioCar"/>
    <w:link w:val="Asuntodelcomentario"/>
    <w:uiPriority w:val="99"/>
    <w:semiHidden/>
    <w:rsid w:val="003D66A4"/>
    <w:rPr>
      <w:rFonts w:ascii="Century Gothic" w:hAnsi="Century Gothic"/>
      <w:b/>
      <w:bCs/>
      <w:sz w:val="20"/>
      <w:szCs w:val="20"/>
    </w:rPr>
  </w:style>
  <w:style w:type="paragraph" w:styleId="Textodeglobo">
    <w:name w:val="Balloon Text"/>
    <w:basedOn w:val="Normal"/>
    <w:link w:val="TextodegloboCar"/>
    <w:uiPriority w:val="99"/>
    <w:semiHidden/>
    <w:unhideWhenUsed/>
    <w:rsid w:val="003D66A4"/>
    <w:rPr>
      <w:rFonts w:ascii="Segoe UI" w:hAnsi="Segoe UI" w:cs="Segoe UI"/>
      <w:szCs w:val="18"/>
    </w:rPr>
  </w:style>
  <w:style w:type="character" w:customStyle="1" w:styleId="TextodegloboCar">
    <w:name w:val="Texto de globo Car"/>
    <w:basedOn w:val="Fuentedeprrafopredeter"/>
    <w:link w:val="Textodeglobo"/>
    <w:uiPriority w:val="99"/>
    <w:semiHidden/>
    <w:rsid w:val="003D66A4"/>
    <w:rPr>
      <w:rFonts w:ascii="Segoe UI" w:hAnsi="Segoe UI" w:cs="Segoe UI"/>
      <w:b/>
      <w:sz w:val="18"/>
      <w:szCs w:val="18"/>
    </w:rPr>
  </w:style>
  <w:style w:type="character" w:customStyle="1" w:styleId="Ttulo1Car">
    <w:name w:val="Título 1 Car"/>
    <w:basedOn w:val="Fuentedeprrafopredeter"/>
    <w:link w:val="Ttulo1"/>
    <w:uiPriority w:val="9"/>
    <w:rsid w:val="00EA5D97"/>
    <w:rPr>
      <w:rFonts w:asciiTheme="majorHAnsi" w:eastAsiaTheme="majorEastAsia" w:hAnsiTheme="majorHAnsi" w:cstheme="majorBidi"/>
      <w:color w:val="2E74B5" w:themeColor="accent1" w:themeShade="BF"/>
      <w:sz w:val="32"/>
      <w:szCs w:val="32"/>
      <w:lang w:eastAsia="es-MX"/>
    </w:rPr>
  </w:style>
  <w:style w:type="paragraph" w:styleId="Descripcin">
    <w:name w:val="caption"/>
    <w:basedOn w:val="Normal"/>
    <w:next w:val="Normal"/>
    <w:uiPriority w:val="35"/>
    <w:semiHidden/>
    <w:unhideWhenUsed/>
    <w:qFormat/>
    <w:rsid w:val="009571A5"/>
    <w:pPr>
      <w:spacing w:after="200"/>
    </w:pPr>
    <w:rPr>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A3535-FAAD-43B4-BCAC-AB4C34871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463</Words>
  <Characters>2548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IPS OBRERO</cp:lastModifiedBy>
  <cp:revision>4</cp:revision>
  <cp:lastPrinted>2025-04-14T15:06:00Z</cp:lastPrinted>
  <dcterms:created xsi:type="dcterms:W3CDTF">2025-04-10T16:43:00Z</dcterms:created>
  <dcterms:modified xsi:type="dcterms:W3CDTF">2025-04-14T16:52:00Z</dcterms:modified>
</cp:coreProperties>
</file>